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both"/>
        <w:rPr>
          <w:rFonts w:hint="eastAsia" w:ascii="Arial" w:hAnsi="Arial" w:eastAsia="Times New Roman" w:cs="Arial"/>
          <w:b/>
          <w:bCs/>
          <w:kern w:val="32"/>
          <w:sz w:val="32"/>
          <w:szCs w:val="32"/>
          <w:lang w:val="en-US" w:eastAsia="en-US" w:bidi="ar-SA"/>
        </w:rPr>
      </w:pPr>
      <w:r>
        <w:rPr>
          <w:rFonts w:ascii="Arial" w:hAnsi="Arial" w:eastAsia="Times New Roman" w:cs="Arial"/>
          <w:b/>
          <w:bCs/>
          <w:kern w:val="32"/>
          <w:sz w:val="32"/>
          <w:szCs w:val="32"/>
          <w:lang w:val="en-US" w:eastAsia="en-US" w:bidi="ar-SA"/>
        </w:rPr>
        <w:t>Supplement</w:t>
      </w:r>
      <w:r>
        <w:rPr>
          <w:rFonts w:hint="eastAsia" w:ascii="Arial" w:hAnsi="Arial" w:eastAsia="Times New Roman" w:cs="Arial"/>
          <w:b/>
          <w:bCs/>
          <w:kern w:val="32"/>
          <w:sz w:val="32"/>
          <w:szCs w:val="32"/>
          <w:lang w:val="en-US" w:eastAsia="en-US" w:bidi="ar-SA"/>
        </w:rPr>
        <w:t xml:space="preserve"> materials</w:t>
      </w:r>
      <w:bookmarkStart w:id="0" w:name="_GoBack"/>
      <w:bookmarkEnd w:id="0"/>
    </w:p>
    <w:p>
      <w:pPr>
        <w:jc w:val="center"/>
        <w:rPr>
          <w:rFonts w:ascii="Times New Roman" w:hAnsi="Times New Roman" w:eastAsia="宋体" w:cs="Times New Roman"/>
          <w:kern w:val="0"/>
          <w:sz w:val="18"/>
          <w:szCs w:val="18"/>
        </w:rPr>
      </w:pPr>
    </w:p>
    <w:p>
      <w:pPr>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drawing>
          <wp:inline distT="0" distB="0" distL="114300" distR="114300">
            <wp:extent cx="5273675" cy="4079875"/>
            <wp:effectExtent l="0" t="0" r="9525" b="9525"/>
            <wp:docPr id="1" name="图片 1" descr="补充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补充图片1"/>
                    <pic:cNvPicPr>
                      <a:picLocks noChangeAspect="1"/>
                    </pic:cNvPicPr>
                  </pic:nvPicPr>
                  <pic:blipFill>
                    <a:blip r:embed="rId4"/>
                    <a:stretch>
                      <a:fillRect/>
                    </a:stretch>
                  </pic:blipFill>
                  <pic:spPr>
                    <a:xfrm>
                      <a:off x="0" y="0"/>
                      <a:ext cx="5273675" cy="4079875"/>
                    </a:xfrm>
                    <a:prstGeom prst="rect">
                      <a:avLst/>
                    </a:prstGeom>
                  </pic:spPr>
                </pic:pic>
              </a:graphicData>
            </a:graphic>
          </wp:inline>
        </w:drawing>
      </w:r>
    </w:p>
    <w:p>
      <w:pPr>
        <w:jc w:val="center"/>
        <w:rPr>
          <w:rFonts w:ascii="Times New Roman" w:hAnsi="Times New Roman" w:eastAsia="宋体" w:cs="Times New Roman"/>
          <w:sz w:val="24"/>
        </w:rPr>
      </w:pPr>
    </w:p>
    <w:p>
      <w:pPr>
        <w:spacing w:line="360" w:lineRule="auto"/>
        <w:jc w:val="both"/>
        <w:rPr>
          <w:rFonts w:hint="eastAsia" w:ascii="Arial" w:hAnsi="Arial" w:eastAsia="Times New Roman" w:cs="Times New Roman"/>
          <w:kern w:val="0"/>
          <w:sz w:val="20"/>
          <w:lang w:eastAsia="en-US"/>
        </w:rPr>
      </w:pPr>
      <w:r>
        <w:rPr>
          <w:rFonts w:hint="eastAsia" w:ascii="Arial" w:hAnsi="Arial" w:eastAsia="Times New Roman" w:cs="Times New Roman"/>
          <w:b/>
          <w:bCs/>
          <w:kern w:val="0"/>
          <w:sz w:val="20"/>
          <w:lang w:eastAsia="en-US"/>
        </w:rPr>
        <w:t>Supplement Figure 1.</w:t>
      </w:r>
      <w:r>
        <w:rPr>
          <w:rFonts w:hint="eastAsia" w:ascii="Times New Roman" w:hAnsi="Times New Roman" w:eastAsia="宋体" w:cs="Times New Roman"/>
          <w:sz w:val="24"/>
        </w:rPr>
        <w:t xml:space="preserve"> </w:t>
      </w:r>
      <w:r>
        <w:rPr>
          <w:rFonts w:hint="eastAsia" w:ascii="Arial" w:hAnsi="Arial" w:eastAsia="Times New Roman" w:cs="Times New Roman"/>
          <w:kern w:val="0"/>
          <w:sz w:val="20"/>
          <w:lang w:val="en-US" w:eastAsia="zh-CN"/>
        </w:rPr>
        <w:t xml:space="preserve">The detailed process for the selection of patients in the derivation cohort. Totally 737 T2DKD patients hospitalized in the Institute of Nephrology, Zhongda Hospital, Southeast University School of Medicine (baseline from June 2013 to June 2017) were screened for the derivation cohort. After excluding patients with CKD stage 5, nondiabetic kidney disease and incomplete baseline data, 307 patients were included as the derivation cohort. </w:t>
      </w:r>
      <w:r>
        <w:rPr>
          <w:rFonts w:hint="eastAsia" w:ascii="Arial" w:hAnsi="Arial" w:eastAsia="Times New Roman" w:cs="Times New Roman"/>
          <w:b/>
          <w:bCs/>
          <w:kern w:val="0"/>
          <w:sz w:val="20"/>
          <w:lang w:val="en-US" w:eastAsia="zh-CN"/>
        </w:rPr>
        <w:t xml:space="preserve">Abbreviations: </w:t>
      </w:r>
      <w:r>
        <w:rPr>
          <w:rFonts w:hint="eastAsia" w:ascii="Arial" w:hAnsi="Arial" w:eastAsia="Times New Roman" w:cs="Times New Roman"/>
          <w:kern w:val="0"/>
          <w:sz w:val="20"/>
          <w:lang w:val="en-US" w:eastAsia="zh-CN"/>
        </w:rPr>
        <w:t>T2DKD: type 2 diabetic kidney disease; CKD: chronic kidney disease.</w:t>
      </w:r>
    </w:p>
    <w:p>
      <w:pPr>
        <w:spacing w:line="360" w:lineRule="auto"/>
        <w:rPr>
          <w:rFonts w:hint="eastAsia" w:ascii="Times New Roman" w:hAnsi="Times New Roman" w:eastAsia="宋体" w:cs="Times New Roman"/>
          <w:b/>
          <w:bCs/>
          <w:sz w:val="32"/>
          <w:szCs w:val="28"/>
        </w:rPr>
      </w:pPr>
    </w:p>
    <w:p>
      <w:pPr>
        <w:spacing w:line="360" w:lineRule="auto"/>
        <w:jc w:val="both"/>
        <w:rPr>
          <w:rFonts w:hint="eastAsia" w:ascii="Arial" w:hAnsi="Arial" w:eastAsia="Times New Roman" w:cs="Times New Roman"/>
          <w:kern w:val="0"/>
          <w:sz w:val="20"/>
          <w:lang w:val="en-US" w:eastAsia="zh-CN"/>
        </w:rPr>
      </w:pPr>
      <w:r>
        <w:rPr>
          <w:rFonts w:hint="eastAsia" w:ascii="Arial" w:hAnsi="Arial" w:eastAsia="Times New Roman" w:cs="Times New Roman"/>
          <w:b/>
          <w:bCs/>
          <w:kern w:val="0"/>
          <w:sz w:val="20"/>
          <w:lang w:eastAsia="en-US"/>
        </w:rPr>
        <w:t>Supplement</w:t>
      </w:r>
      <w:r>
        <w:rPr>
          <w:rFonts w:hint="eastAsia" w:ascii="Arial" w:hAnsi="Arial" w:eastAsia="Times New Roman" w:cs="Times New Roman"/>
          <w:b/>
          <w:bCs/>
          <w:kern w:val="0"/>
          <w:sz w:val="20"/>
          <w:lang w:val="en-US" w:eastAsia="zh-CN"/>
        </w:rPr>
        <w:t xml:space="preserve"> </w:t>
      </w:r>
      <w:r>
        <w:rPr>
          <w:rFonts w:hint="eastAsia" w:ascii="Arial" w:hAnsi="Arial" w:eastAsia="Times New Roman" w:cs="Times New Roman"/>
          <w:b/>
          <w:bCs/>
          <w:kern w:val="0"/>
          <w:sz w:val="20"/>
          <w:lang w:eastAsia="en-US"/>
        </w:rPr>
        <w:t xml:space="preserve">Table 1. </w:t>
      </w:r>
      <w:r>
        <w:rPr>
          <w:rFonts w:hint="eastAsia" w:ascii="Arial" w:hAnsi="Arial" w:eastAsia="Times New Roman" w:cs="Times New Roman"/>
          <w:kern w:val="0"/>
          <w:sz w:val="20"/>
          <w:lang w:val="en-US" w:eastAsia="zh-CN"/>
        </w:rPr>
        <w:t>The HR value and corresponding score of each variable in the risk table</w:t>
      </w:r>
    </w:p>
    <w:tbl>
      <w:tblPr>
        <w:tblStyle w:val="2"/>
        <w:tblW w:w="5520" w:type="dxa"/>
        <w:jc w:val="center"/>
        <w:shd w:val="clear" w:color="auto" w:fill="D8D8D8" w:themeFill="background1" w:themeFillShade="D9"/>
        <w:tblLayout w:type="autofit"/>
        <w:tblCellMar>
          <w:top w:w="0" w:type="dxa"/>
          <w:left w:w="108" w:type="dxa"/>
          <w:bottom w:w="0" w:type="dxa"/>
          <w:right w:w="108" w:type="dxa"/>
        </w:tblCellMar>
      </w:tblPr>
      <w:tblGrid>
        <w:gridCol w:w="2220"/>
        <w:gridCol w:w="2220"/>
        <w:gridCol w:w="1080"/>
      </w:tblGrid>
      <w:tr>
        <w:tblPrEx>
          <w:tblCellMar>
            <w:top w:w="0" w:type="dxa"/>
            <w:left w:w="108" w:type="dxa"/>
            <w:bottom w:w="0" w:type="dxa"/>
            <w:right w:w="108" w:type="dxa"/>
          </w:tblCellMar>
        </w:tblPrEx>
        <w:trPr>
          <w:trHeight w:val="300" w:hRule="atLeast"/>
          <w:jc w:val="center"/>
        </w:trPr>
        <w:tc>
          <w:tcPr>
            <w:tcW w:w="2220" w:type="dxa"/>
            <w:tcBorders>
              <w:bottom w:val="single" w:color="auto" w:sz="4"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Variable</w:t>
            </w:r>
          </w:p>
        </w:tc>
        <w:tc>
          <w:tcPr>
            <w:tcW w:w="2220" w:type="dxa"/>
            <w:tcBorders>
              <w:bottom w:val="single" w:color="auto" w:sz="4"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HR</w:t>
            </w:r>
          </w:p>
        </w:tc>
        <w:tc>
          <w:tcPr>
            <w:tcW w:w="1080" w:type="dxa"/>
            <w:tcBorders>
              <w:bottom w:val="single" w:color="auto" w:sz="4"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Score</w:t>
            </w: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tcBorders>
              <w:top w:val="single" w:color="auto" w:sz="4" w:space="0"/>
            </w:tcBorders>
            <w:shd w:val="clear" w:color="auto" w:fill="D8D8D8" w:themeFill="background1" w:themeFillShade="D9"/>
            <w:noWrap/>
            <w:vAlign w:val="center"/>
          </w:tcPr>
          <w:p>
            <w:pPr>
              <w:widowControl/>
              <w:jc w:val="left"/>
              <w:rPr>
                <w:rFonts w:hint="default" w:ascii="Arial" w:hAnsi="Arial" w:eastAsia="宋体" w:cs="Arial"/>
                <w:b/>
                <w:bCs/>
                <w:color w:val="000000"/>
                <w:kern w:val="0"/>
                <w:sz w:val="20"/>
                <w:szCs w:val="20"/>
                <w:lang w:val="en-US" w:eastAsia="zh-CN"/>
              </w:rPr>
            </w:pPr>
            <w:r>
              <w:rPr>
                <w:rFonts w:hint="default" w:ascii="Arial" w:hAnsi="Arial" w:eastAsia="宋体" w:cs="Arial"/>
                <w:b/>
                <w:bCs/>
                <w:color w:val="000000"/>
                <w:kern w:val="0"/>
                <w:sz w:val="20"/>
                <w:szCs w:val="20"/>
              </w:rPr>
              <w:t>Scr</w:t>
            </w:r>
            <w:r>
              <w:rPr>
                <w:rFonts w:hint="default" w:ascii="Arial" w:hAnsi="Arial" w:eastAsia="宋体" w:cs="Arial"/>
                <w:b/>
                <w:bCs/>
                <w:color w:val="000000"/>
                <w:kern w:val="0"/>
                <w:sz w:val="20"/>
                <w:szCs w:val="20"/>
                <w:lang w:val="en-US" w:eastAsia="zh-CN"/>
              </w:rPr>
              <w:t xml:space="preserve"> (µmol/L)</w:t>
            </w:r>
          </w:p>
        </w:tc>
        <w:tc>
          <w:tcPr>
            <w:tcW w:w="2220" w:type="dxa"/>
            <w:tcBorders>
              <w:top w:val="single" w:color="auto" w:sz="4"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tcBorders>
              <w:top w:val="single" w:color="auto" w:sz="4" w:space="0"/>
            </w:tcBorders>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＜180（ref）</w:t>
            </w:r>
          </w:p>
        </w:tc>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tcBorders>
              <w:bottom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≥180</w:t>
            </w:r>
          </w:p>
        </w:tc>
        <w:tc>
          <w:tcPr>
            <w:tcW w:w="2220" w:type="dxa"/>
            <w:tcBorders>
              <w:bottom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2.74</w:t>
            </w:r>
          </w:p>
        </w:tc>
        <w:tc>
          <w:tcPr>
            <w:tcW w:w="1080" w:type="dxa"/>
            <w:tcBorders>
              <w:bottom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4</w:t>
            </w: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tcBorders>
              <w:top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b/>
                <w:bCs/>
                <w:color w:val="000000"/>
                <w:kern w:val="0"/>
                <w:sz w:val="20"/>
                <w:szCs w:val="20"/>
                <w:lang w:val="en-US" w:eastAsia="zh-CN"/>
              </w:rPr>
            </w:pPr>
            <w:r>
              <w:rPr>
                <w:rFonts w:hint="default" w:ascii="Arial" w:hAnsi="Arial" w:eastAsia="宋体" w:cs="Arial"/>
                <w:b/>
                <w:bCs/>
                <w:color w:val="000000"/>
                <w:kern w:val="0"/>
                <w:sz w:val="20"/>
                <w:szCs w:val="20"/>
                <w:lang w:val="en-US" w:eastAsia="zh-CN"/>
              </w:rPr>
              <w:t xml:space="preserve">Plasma </w:t>
            </w:r>
            <w:r>
              <w:rPr>
                <w:rFonts w:hint="default" w:ascii="Arial" w:hAnsi="Arial" w:eastAsia="宋体" w:cs="Arial"/>
                <w:b/>
                <w:bCs/>
                <w:color w:val="000000"/>
                <w:kern w:val="0"/>
                <w:sz w:val="20"/>
                <w:szCs w:val="20"/>
              </w:rPr>
              <w:t>Al</w:t>
            </w:r>
            <w:r>
              <w:rPr>
                <w:rFonts w:hint="default" w:ascii="Arial" w:hAnsi="Arial" w:eastAsia="宋体" w:cs="Arial"/>
                <w:b/>
                <w:bCs/>
                <w:color w:val="000000"/>
                <w:kern w:val="0"/>
                <w:sz w:val="20"/>
                <w:szCs w:val="20"/>
                <w:lang w:val="en-US" w:eastAsia="zh-CN"/>
              </w:rPr>
              <w:t>B (g/L)</w:t>
            </w:r>
          </w:p>
        </w:tc>
        <w:tc>
          <w:tcPr>
            <w:tcW w:w="2220" w:type="dxa"/>
            <w:tcBorders>
              <w:top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tcBorders>
              <w:top w:val="single" w:color="FFFFFF" w:themeColor="background1" w:sz="8" w:space="0"/>
            </w:tcBorders>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≥35（ref）</w:t>
            </w:r>
          </w:p>
        </w:tc>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[25,35)</w:t>
            </w:r>
          </w:p>
        </w:tc>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2.12</w:t>
            </w:r>
          </w:p>
        </w:tc>
        <w:tc>
          <w:tcPr>
            <w:tcW w:w="108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w:t>
            </w:r>
          </w:p>
        </w:tc>
      </w:tr>
      <w:tr>
        <w:tblPrEx>
          <w:tblCellMar>
            <w:top w:w="0" w:type="dxa"/>
            <w:left w:w="108" w:type="dxa"/>
            <w:bottom w:w="0" w:type="dxa"/>
            <w:right w:w="108" w:type="dxa"/>
          </w:tblCellMar>
        </w:tblPrEx>
        <w:trPr>
          <w:trHeight w:val="300" w:hRule="atLeast"/>
          <w:jc w:val="center"/>
        </w:trPr>
        <w:tc>
          <w:tcPr>
            <w:tcW w:w="2220" w:type="dxa"/>
            <w:tcBorders>
              <w:bottom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＜25</w:t>
            </w:r>
          </w:p>
        </w:tc>
        <w:tc>
          <w:tcPr>
            <w:tcW w:w="2220" w:type="dxa"/>
            <w:tcBorders>
              <w:bottom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 xml:space="preserve">6.10 </w:t>
            </w:r>
          </w:p>
        </w:tc>
        <w:tc>
          <w:tcPr>
            <w:tcW w:w="1080" w:type="dxa"/>
            <w:tcBorders>
              <w:bottom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4</w:t>
            </w:r>
          </w:p>
        </w:tc>
      </w:tr>
      <w:tr>
        <w:tblPrEx>
          <w:tblCellMar>
            <w:top w:w="0" w:type="dxa"/>
            <w:left w:w="108" w:type="dxa"/>
            <w:bottom w:w="0" w:type="dxa"/>
            <w:right w:w="108" w:type="dxa"/>
          </w:tblCellMar>
        </w:tblPrEx>
        <w:trPr>
          <w:trHeight w:val="300" w:hRule="atLeast"/>
          <w:jc w:val="center"/>
        </w:trPr>
        <w:tc>
          <w:tcPr>
            <w:tcW w:w="2220" w:type="dxa"/>
            <w:tcBorders>
              <w:top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b/>
                <w:bCs/>
                <w:color w:val="000000"/>
                <w:kern w:val="0"/>
                <w:sz w:val="20"/>
                <w:szCs w:val="20"/>
                <w:lang w:val="en-US" w:eastAsia="zh-CN"/>
              </w:rPr>
            </w:pPr>
            <w:r>
              <w:rPr>
                <w:rFonts w:hint="default" w:ascii="Arial" w:hAnsi="Arial" w:eastAsia="宋体" w:cs="Arial"/>
                <w:b/>
                <w:bCs/>
                <w:color w:val="000000"/>
                <w:kern w:val="0"/>
                <w:sz w:val="20"/>
                <w:szCs w:val="20"/>
                <w:lang w:val="en-US" w:eastAsia="zh-CN"/>
              </w:rPr>
              <w:t>U</w:t>
            </w:r>
            <w:r>
              <w:rPr>
                <w:rFonts w:hint="default" w:ascii="Arial" w:hAnsi="Arial" w:eastAsia="宋体" w:cs="Arial"/>
                <w:b/>
                <w:bCs/>
                <w:color w:val="000000"/>
                <w:kern w:val="0"/>
                <w:sz w:val="20"/>
                <w:szCs w:val="20"/>
              </w:rPr>
              <w:t>ACR</w:t>
            </w:r>
            <w:r>
              <w:rPr>
                <w:rFonts w:hint="default" w:ascii="Arial" w:hAnsi="Arial" w:eastAsia="宋体" w:cs="Arial"/>
                <w:b/>
                <w:bCs/>
                <w:color w:val="000000"/>
                <w:kern w:val="0"/>
                <w:sz w:val="20"/>
                <w:szCs w:val="20"/>
                <w:lang w:val="en-US" w:eastAsia="zh-CN"/>
              </w:rPr>
              <w:t xml:space="preserve"> (mg/g)</w:t>
            </w:r>
          </w:p>
        </w:tc>
        <w:tc>
          <w:tcPr>
            <w:tcW w:w="2220" w:type="dxa"/>
            <w:tcBorders>
              <w:top w:val="single" w:color="FFFFFF" w:themeColor="background1" w:sz="8"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tcBorders>
              <w:top w:val="single" w:color="FFFFFF" w:themeColor="background1" w:sz="8" w:space="0"/>
            </w:tcBorders>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shd w:val="clear" w:color="auto" w:fill="D8D8D8" w:themeFill="background1" w:themeFillShade="D9"/>
          <w:tblCellMar>
            <w:top w:w="0" w:type="dxa"/>
            <w:left w:w="108" w:type="dxa"/>
            <w:bottom w:w="0" w:type="dxa"/>
            <w:right w:w="108" w:type="dxa"/>
          </w:tblCellMar>
        </w:tblPrEx>
        <w:trPr>
          <w:trHeight w:val="300" w:hRule="atLeast"/>
          <w:jc w:val="center"/>
        </w:trPr>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＜300（ref）</w:t>
            </w:r>
          </w:p>
        </w:tc>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tblCellMar>
            <w:top w:w="0" w:type="dxa"/>
            <w:left w:w="108" w:type="dxa"/>
            <w:bottom w:w="0" w:type="dxa"/>
            <w:right w:w="108" w:type="dxa"/>
          </w:tblCellMar>
        </w:tblPrEx>
        <w:trPr>
          <w:trHeight w:val="300" w:hRule="atLeast"/>
          <w:jc w:val="center"/>
        </w:trPr>
        <w:tc>
          <w:tcPr>
            <w:tcW w:w="2220" w:type="dxa"/>
            <w:tcBorders>
              <w:bottom w:val="single" w:color="FFFFFF" w:themeColor="background1" w:sz="12"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≥300</w:t>
            </w:r>
          </w:p>
        </w:tc>
        <w:tc>
          <w:tcPr>
            <w:tcW w:w="2220" w:type="dxa"/>
            <w:tcBorders>
              <w:bottom w:val="single" w:color="FFFFFF" w:themeColor="background1" w:sz="12"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2.21</w:t>
            </w:r>
          </w:p>
        </w:tc>
        <w:tc>
          <w:tcPr>
            <w:tcW w:w="1080" w:type="dxa"/>
            <w:tcBorders>
              <w:bottom w:val="single" w:color="FFFFFF" w:themeColor="background1" w:sz="12"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2</w:t>
            </w:r>
          </w:p>
        </w:tc>
      </w:tr>
      <w:tr>
        <w:tblPrEx>
          <w:tblCellMar>
            <w:top w:w="0" w:type="dxa"/>
            <w:left w:w="108" w:type="dxa"/>
            <w:bottom w:w="0" w:type="dxa"/>
            <w:right w:w="108" w:type="dxa"/>
          </w:tblCellMar>
        </w:tblPrEx>
        <w:trPr>
          <w:trHeight w:val="300" w:hRule="atLeast"/>
          <w:jc w:val="center"/>
        </w:trPr>
        <w:tc>
          <w:tcPr>
            <w:tcW w:w="2220" w:type="dxa"/>
            <w:tcBorders>
              <w:top w:val="single" w:color="FFFFFF" w:themeColor="background1" w:sz="12" w:space="0"/>
            </w:tcBorders>
            <w:shd w:val="clear" w:color="auto" w:fill="D8D8D8" w:themeFill="background1" w:themeFillShade="D9"/>
            <w:noWrap/>
            <w:vAlign w:val="center"/>
          </w:tcPr>
          <w:p>
            <w:pPr>
              <w:widowControl/>
              <w:jc w:val="left"/>
              <w:rPr>
                <w:rFonts w:hint="default" w:ascii="Arial" w:hAnsi="Arial" w:eastAsia="宋体" w:cs="Arial"/>
                <w:b/>
                <w:bCs/>
                <w:color w:val="000000"/>
                <w:kern w:val="0"/>
                <w:sz w:val="20"/>
                <w:szCs w:val="20"/>
                <w:lang w:val="en-US" w:eastAsia="zh-CN"/>
              </w:rPr>
            </w:pPr>
            <w:r>
              <w:rPr>
                <w:rFonts w:hint="default" w:ascii="Arial" w:hAnsi="Arial" w:eastAsia="宋体" w:cs="Arial"/>
                <w:b/>
                <w:bCs/>
                <w:color w:val="000000"/>
                <w:kern w:val="0"/>
                <w:sz w:val="20"/>
                <w:szCs w:val="20"/>
              </w:rPr>
              <w:t xml:space="preserve">Insulin </w:t>
            </w:r>
            <w:r>
              <w:rPr>
                <w:rFonts w:hint="default" w:ascii="Arial" w:hAnsi="Arial" w:eastAsia="宋体" w:cs="Arial"/>
                <w:b/>
                <w:bCs/>
                <w:color w:val="000000"/>
                <w:kern w:val="0"/>
                <w:sz w:val="20"/>
                <w:szCs w:val="20"/>
                <w:lang w:val="en-US" w:eastAsia="zh-CN"/>
              </w:rPr>
              <w:t>treatment</w:t>
            </w:r>
          </w:p>
        </w:tc>
        <w:tc>
          <w:tcPr>
            <w:tcW w:w="2220" w:type="dxa"/>
            <w:tcBorders>
              <w:top w:val="single" w:color="FFFFFF" w:themeColor="background1" w:sz="12" w:space="0"/>
            </w:tcBorders>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tcBorders>
              <w:top w:val="single" w:color="FFFFFF" w:themeColor="background1" w:sz="12" w:space="0"/>
            </w:tcBorders>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tblCellMar>
            <w:top w:w="0" w:type="dxa"/>
            <w:left w:w="108" w:type="dxa"/>
            <w:bottom w:w="0" w:type="dxa"/>
            <w:right w:w="108" w:type="dxa"/>
          </w:tblCellMar>
        </w:tblPrEx>
        <w:trPr>
          <w:trHeight w:val="300" w:hRule="atLeast"/>
          <w:jc w:val="center"/>
        </w:trPr>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no（ref）</w:t>
            </w:r>
          </w:p>
        </w:tc>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p>
        </w:tc>
        <w:tc>
          <w:tcPr>
            <w:tcW w:w="1080" w:type="dxa"/>
            <w:shd w:val="clear" w:color="auto" w:fill="D8D8D8" w:themeFill="background1" w:themeFillShade="D9"/>
            <w:noWrap/>
            <w:vAlign w:val="center"/>
          </w:tcPr>
          <w:p>
            <w:pPr>
              <w:widowControl/>
              <w:jc w:val="left"/>
              <w:rPr>
                <w:rFonts w:hint="default" w:ascii="Arial" w:hAnsi="Arial" w:eastAsia="Times New Roman" w:cs="Arial"/>
                <w:kern w:val="0"/>
                <w:sz w:val="20"/>
                <w:szCs w:val="20"/>
              </w:rPr>
            </w:pPr>
          </w:p>
        </w:tc>
      </w:tr>
      <w:tr>
        <w:tblPrEx>
          <w:tblCellMar>
            <w:top w:w="0" w:type="dxa"/>
            <w:left w:w="108" w:type="dxa"/>
            <w:bottom w:w="0" w:type="dxa"/>
            <w:right w:w="108" w:type="dxa"/>
          </w:tblCellMar>
        </w:tblPrEx>
        <w:trPr>
          <w:trHeight w:val="300" w:hRule="atLeast"/>
          <w:jc w:val="center"/>
        </w:trPr>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yes</w:t>
            </w:r>
          </w:p>
        </w:tc>
        <w:tc>
          <w:tcPr>
            <w:tcW w:w="222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1.51</w:t>
            </w:r>
          </w:p>
        </w:tc>
        <w:tc>
          <w:tcPr>
            <w:tcW w:w="1080" w:type="dxa"/>
            <w:shd w:val="clear" w:color="auto" w:fill="D8D8D8" w:themeFill="background1" w:themeFillShade="D9"/>
            <w:noWrap/>
            <w:vAlign w:val="center"/>
          </w:tcPr>
          <w:p>
            <w:pPr>
              <w:widowControl/>
              <w:jc w:val="left"/>
              <w:rPr>
                <w:rFonts w:hint="default" w:ascii="Arial" w:hAnsi="Arial" w:eastAsia="宋体" w:cs="Arial"/>
                <w:color w:val="000000"/>
                <w:kern w:val="0"/>
                <w:sz w:val="20"/>
                <w:szCs w:val="20"/>
              </w:rPr>
            </w:pPr>
            <w:r>
              <w:rPr>
                <w:rFonts w:hint="default" w:ascii="Arial" w:hAnsi="Arial" w:eastAsia="宋体" w:cs="Arial"/>
                <w:color w:val="000000"/>
                <w:kern w:val="0"/>
                <w:sz w:val="20"/>
                <w:szCs w:val="20"/>
              </w:rPr>
              <w:t>1.5</w:t>
            </w:r>
          </w:p>
        </w:tc>
      </w:tr>
    </w:tbl>
    <w:p>
      <w:pPr>
        <w:spacing w:line="360" w:lineRule="auto"/>
        <w:jc w:val="both"/>
        <w:rPr>
          <w:rFonts w:hint="default" w:ascii="Arial" w:hAnsi="Arial" w:eastAsia="Times New Roman" w:cs="Times New Roman"/>
          <w:kern w:val="0"/>
          <w:sz w:val="20"/>
          <w:lang w:val="en-US" w:eastAsia="zh-CN"/>
        </w:rPr>
      </w:pPr>
      <w:r>
        <w:rPr>
          <w:rFonts w:hint="default" w:ascii="Arial" w:hAnsi="Arial" w:eastAsia="Times New Roman" w:cs="Times New Roman"/>
          <w:kern w:val="0"/>
          <w:sz w:val="20"/>
          <w:lang w:val="en-US" w:eastAsia="zh-CN"/>
        </w:rPr>
        <w:t xml:space="preserve">Scr was categorized as &lt;180 and ≥180 µmol/L. Plasma AlB was categorized as ≥35, 25–35, and &lt;25 g/L. UACR was categorized as &lt;300 and ≥300 mg/g. After continuous variables were transformed into categorical variables, HR values were obtained through multivariate regression analysis. The score of each category of the variable was assigned according to the HR value. The final score of each variable is as follow: Scr (µmol/L; &lt;180 scores 0 and ≥180 scores 4), plasma ALB (g/L; ≥35 scores 0, 25–35 scores 2, and &lt;25 scores 4), UACR (mg/g; &lt;300 scores 0 and ≥300 scores 2), insulin treatment (no scores 0 and yes scores 1.5). </w:t>
      </w:r>
      <w:r>
        <w:rPr>
          <w:rFonts w:hint="default" w:ascii="Arial" w:hAnsi="Arial" w:eastAsia="Times New Roman" w:cs="Times New Roman"/>
          <w:b/>
          <w:bCs/>
          <w:kern w:val="0"/>
          <w:sz w:val="20"/>
          <w:lang w:val="en-US" w:eastAsia="zh-CN"/>
        </w:rPr>
        <w:t>Abbreviations:</w:t>
      </w:r>
      <w:r>
        <w:rPr>
          <w:rFonts w:hint="default" w:ascii="Arial" w:hAnsi="Arial" w:eastAsia="Times New Roman" w:cs="Times New Roman"/>
          <w:kern w:val="0"/>
          <w:sz w:val="20"/>
          <w:lang w:val="en-US" w:eastAsia="zh-CN"/>
        </w:rPr>
        <w:t xml:space="preserve"> HR</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hazard ratio</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Scr</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serum creatinine</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ALB</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albumin</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UACR</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urinary albumin creatinine ratio</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ref</w:t>
      </w:r>
      <w:r>
        <w:rPr>
          <w:rFonts w:hint="eastAsia" w:ascii="Arial" w:hAnsi="Arial" w:eastAsia="Times New Roman" w:cs="Times New Roman"/>
          <w:kern w:val="0"/>
          <w:sz w:val="20"/>
          <w:lang w:val="en-US" w:eastAsia="zh-CN"/>
        </w:rPr>
        <w:t xml:space="preserve">, </w:t>
      </w:r>
      <w:r>
        <w:rPr>
          <w:rFonts w:hint="default" w:ascii="Arial" w:hAnsi="Arial" w:eastAsia="Times New Roman" w:cs="Times New Roman"/>
          <w:kern w:val="0"/>
          <w:sz w:val="20"/>
          <w:lang w:val="en-US" w:eastAsia="zh-CN"/>
        </w:rPr>
        <w:t>reference.</w:t>
      </w:r>
    </w:p>
    <w:p>
      <w:pPr>
        <w:spacing w:line="360" w:lineRule="auto"/>
        <w:jc w:val="both"/>
        <w:rPr>
          <w:rFonts w:hint="default" w:ascii="Times New Roman" w:hAnsi="Times New Roman" w:eastAsia="宋体" w:cs="Times New Roman"/>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1341C"/>
    <w:rsid w:val="00921FC3"/>
    <w:rsid w:val="02745B85"/>
    <w:rsid w:val="05982B02"/>
    <w:rsid w:val="07BF078D"/>
    <w:rsid w:val="08875FAD"/>
    <w:rsid w:val="10591FAE"/>
    <w:rsid w:val="12AE6CB9"/>
    <w:rsid w:val="175E5C9E"/>
    <w:rsid w:val="1F282099"/>
    <w:rsid w:val="1F603473"/>
    <w:rsid w:val="25C96E1D"/>
    <w:rsid w:val="279A3D98"/>
    <w:rsid w:val="29310446"/>
    <w:rsid w:val="2CD427A4"/>
    <w:rsid w:val="2DDD5590"/>
    <w:rsid w:val="2DEF7749"/>
    <w:rsid w:val="2F237827"/>
    <w:rsid w:val="302A34AB"/>
    <w:rsid w:val="332F1D8C"/>
    <w:rsid w:val="37D921E5"/>
    <w:rsid w:val="39C121FB"/>
    <w:rsid w:val="3C1C3F95"/>
    <w:rsid w:val="3EFC0302"/>
    <w:rsid w:val="40B40584"/>
    <w:rsid w:val="43235F76"/>
    <w:rsid w:val="47F95BBA"/>
    <w:rsid w:val="47FB6712"/>
    <w:rsid w:val="493B543D"/>
    <w:rsid w:val="49924C2A"/>
    <w:rsid w:val="4AA677A3"/>
    <w:rsid w:val="4ADE4513"/>
    <w:rsid w:val="4E23738B"/>
    <w:rsid w:val="56C6110D"/>
    <w:rsid w:val="57CD0F09"/>
    <w:rsid w:val="5BB454BD"/>
    <w:rsid w:val="606D3E4A"/>
    <w:rsid w:val="60E51D27"/>
    <w:rsid w:val="61FC498E"/>
    <w:rsid w:val="62C84708"/>
    <w:rsid w:val="69003583"/>
    <w:rsid w:val="6F2E39E8"/>
    <w:rsid w:val="7B2E360C"/>
    <w:rsid w:val="7C535BEC"/>
    <w:rsid w:val="7D20753B"/>
    <w:rsid w:val="7D71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2021-09-22T13:56:00Z</dcterms:created>
  <dc:creator>高月明</dc:creator>
  <cp:lastModifiedBy>高月明</cp:lastModifiedBy>
  <dcterms:modified xsi:type="dcterms:W3CDTF">2021-12-02T14:18:48Z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2052-11.1.0.11188</vt:lpwstr>
  </property>
  <property fmtid="{D5CDD505-2E9C-101B-9397-08002B2CF9AE}" pid="3" name="ICV">
    <vt:lpwstr>B1A49FC91128462FB4AE6EA8670895FA</vt:lpwstr>
  </property>
</Properties>
</file>