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95F8" w14:textId="3E542728" w:rsidR="00DD3459" w:rsidRPr="006E665C" w:rsidRDefault="00DD3459" w:rsidP="00DD3459">
      <w:pPr>
        <w:pStyle w:val="Ttulo1"/>
        <w:spacing w:before="120"/>
      </w:pPr>
      <w:r w:rsidRPr="006E665C">
        <w:t>Supplementary materials</w:t>
      </w:r>
    </w:p>
    <w:p w14:paraId="11BC260F" w14:textId="77777777" w:rsidR="00DD3459" w:rsidRPr="006E665C" w:rsidRDefault="00DD3459" w:rsidP="00DD3459">
      <w:pPr>
        <w:widowControl w:val="0"/>
        <w:autoSpaceDE w:val="0"/>
        <w:autoSpaceDN w:val="0"/>
        <w:adjustRightInd w:val="0"/>
        <w:spacing w:before="120" w:after="60"/>
        <w:mirrorIndents/>
        <w:jc w:val="left"/>
        <w:rPr>
          <w:rFonts w:cs="Arial"/>
          <w:bCs/>
          <w:szCs w:val="20"/>
        </w:rPr>
      </w:pPr>
      <w:r w:rsidRPr="006E665C">
        <w:rPr>
          <w:rFonts w:cs="Arial"/>
          <w:b/>
          <w:szCs w:val="20"/>
        </w:rPr>
        <w:t xml:space="preserve">Table S1. </w:t>
      </w:r>
      <w:r w:rsidRPr="006E665C">
        <w:rPr>
          <w:rFonts w:cs="Arial"/>
          <w:bCs/>
          <w:szCs w:val="20"/>
        </w:rPr>
        <w:t xml:space="preserve">Detail of </w:t>
      </w:r>
      <w:r w:rsidRPr="006E665C">
        <w:rPr>
          <w:rFonts w:cs="Arial"/>
          <w:szCs w:val="20"/>
        </w:rPr>
        <w:t>economic</w:t>
      </w:r>
      <w:r w:rsidRPr="006E665C">
        <w:rPr>
          <w:rFonts w:cs="Arial"/>
          <w:bCs/>
          <w:szCs w:val="20"/>
        </w:rPr>
        <w:t xml:space="preserve"> inputs considered in the base case (I)</w:t>
      </w:r>
    </w:p>
    <w:tbl>
      <w:tblPr>
        <w:tblW w:w="5322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39"/>
        <w:gridCol w:w="1520"/>
        <w:gridCol w:w="1245"/>
        <w:gridCol w:w="1274"/>
        <w:gridCol w:w="420"/>
        <w:gridCol w:w="826"/>
        <w:gridCol w:w="965"/>
        <w:gridCol w:w="280"/>
        <w:gridCol w:w="1242"/>
        <w:gridCol w:w="6"/>
      </w:tblGrid>
      <w:tr w:rsidR="00DD3459" w:rsidRPr="006E665C" w14:paraId="594333E3" w14:textId="77777777" w:rsidTr="00344F09">
        <w:trPr>
          <w:gridAfter w:val="1"/>
          <w:wAfter w:w="4" w:type="pct"/>
          <w:trHeight w:val="20"/>
        </w:trPr>
        <w:tc>
          <w:tcPr>
            <w:tcW w:w="4996" w:type="pct"/>
            <w:gridSpan w:val="10"/>
            <w:tcBorders>
              <w:top w:val="single" w:sz="12" w:space="0" w:color="000000"/>
              <w:bottom w:val="single" w:sz="12" w:space="0" w:color="000000"/>
            </w:tcBorders>
          </w:tcPr>
          <w:p w14:paraId="7A0CD48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iCs/>
                <w:szCs w:val="20"/>
              </w:rPr>
            </w:pPr>
            <w:r w:rsidRPr="006E665C">
              <w:rPr>
                <w:rFonts w:cs="Arial"/>
                <w:b/>
                <w:bCs/>
                <w:iCs/>
                <w:szCs w:val="20"/>
              </w:rPr>
              <w:t>Pharmacological costs</w:t>
            </w:r>
          </w:p>
        </w:tc>
      </w:tr>
      <w:tr w:rsidR="00DD3459" w:rsidRPr="006E665C" w14:paraId="42F61B71" w14:textId="77777777" w:rsidTr="00344F09">
        <w:trPr>
          <w:trHeight w:val="20"/>
        </w:trPr>
        <w:tc>
          <w:tcPr>
            <w:tcW w:w="792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022A5F5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iCs/>
                <w:szCs w:val="20"/>
              </w:rPr>
            </w:pPr>
            <w:r w:rsidRPr="006E665C">
              <w:rPr>
                <w:rFonts w:cs="Arial"/>
                <w:b/>
                <w:bCs/>
                <w:iCs/>
                <w:szCs w:val="20"/>
              </w:rPr>
              <w:t>Active substance</w:t>
            </w:r>
          </w:p>
        </w:tc>
        <w:tc>
          <w:tcPr>
            <w:tcW w:w="882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2E973D5B" w14:textId="51CC9A9B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iCs/>
                <w:szCs w:val="20"/>
              </w:rPr>
            </w:pPr>
            <w:r w:rsidRPr="006E665C">
              <w:rPr>
                <w:rFonts w:cs="Arial"/>
                <w:b/>
                <w:bCs/>
                <w:iCs/>
                <w:szCs w:val="20"/>
              </w:rPr>
              <w:t>Recommended dose</w:t>
            </w:r>
            <w:sdt>
              <w:sdtPr>
                <w:rPr>
                  <w:rFonts w:cs="Arial"/>
                  <w:bCs/>
                  <w:iCs/>
                  <w:color w:val="000000"/>
                  <w:szCs w:val="20"/>
                  <w:vertAlign w:val="superscript"/>
                </w:rPr>
                <w:tag w:val="MENDELEY_CITATION_v3_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"/>
                <w:id w:val="-510061373"/>
                <w:placeholder>
                  <w:docPart w:val="5FB794F488B0476989438066AED98321"/>
                </w:placeholder>
              </w:sdtPr>
              <w:sdtEndPr/>
              <w:sdtContent>
                <w:r w:rsidR="00344F09" w:rsidRPr="006E665C">
                  <w:rPr>
                    <w:rFonts w:cs="Arial"/>
                    <w:bCs/>
                    <w:iCs/>
                    <w:color w:val="000000"/>
                    <w:szCs w:val="20"/>
                    <w:vertAlign w:val="superscript"/>
                  </w:rPr>
                  <w:t>1</w:t>
                </w:r>
              </w:sdtContent>
            </w:sdt>
          </w:p>
        </w:tc>
        <w:tc>
          <w:tcPr>
            <w:tcW w:w="662" w:type="pct"/>
            <w:tcBorders>
              <w:top w:val="single" w:sz="12" w:space="0" w:color="000000"/>
              <w:bottom w:val="single" w:sz="4" w:space="0" w:color="000000"/>
            </w:tcBorders>
          </w:tcPr>
          <w:p w14:paraId="7B1995DD" w14:textId="69A87C2E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iCs/>
                <w:szCs w:val="20"/>
              </w:rPr>
            </w:pPr>
            <w:r w:rsidRPr="006E665C">
              <w:rPr>
                <w:rFonts w:cs="Arial"/>
                <w:b/>
                <w:bCs/>
                <w:iCs/>
                <w:szCs w:val="20"/>
              </w:rPr>
              <w:t>Retail price</w:t>
            </w:r>
            <w:sdt>
              <w:sdtPr>
                <w:rPr>
                  <w:rFonts w:cs="Arial"/>
                  <w:bCs/>
                  <w:iCs/>
                  <w:color w:val="000000"/>
                  <w:szCs w:val="20"/>
                  <w:vertAlign w:val="superscript"/>
                </w:rPr>
                <w:tag w:val="MENDELEY_CITATION_v3_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"/>
                <w:id w:val="-722826209"/>
                <w:placeholder>
                  <w:docPart w:val="5FB794F488B0476989438066AED98321"/>
                </w:placeholder>
              </w:sdtPr>
              <w:sdtEndPr>
                <w:rPr>
                  <w:rFonts w:cs="Times New Roman"/>
                  <w:bCs w:val="0"/>
                  <w:iCs w:val="0"/>
                  <w:szCs w:val="24"/>
                </w:rPr>
              </w:sdtEndPr>
              <w:sdtContent>
                <w:r w:rsidR="00344F09" w:rsidRPr="006E665C">
                  <w:rPr>
                    <w:color w:val="000000"/>
                    <w:vertAlign w:val="superscript"/>
                  </w:rPr>
                  <w:t>2</w:t>
                </w:r>
              </w:sdtContent>
            </w:sdt>
          </w:p>
        </w:tc>
        <w:tc>
          <w:tcPr>
            <w:tcW w:w="677" w:type="pct"/>
            <w:tcBorders>
              <w:top w:val="single" w:sz="12" w:space="0" w:color="000000"/>
              <w:bottom w:val="single" w:sz="4" w:space="0" w:color="000000"/>
            </w:tcBorders>
          </w:tcPr>
          <w:p w14:paraId="1F972CE8" w14:textId="51FB264A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iCs/>
                <w:szCs w:val="20"/>
              </w:rPr>
            </w:pPr>
            <w:r w:rsidRPr="006E665C">
              <w:rPr>
                <w:rFonts w:cs="Arial"/>
                <w:b/>
                <w:bCs/>
                <w:iCs/>
                <w:szCs w:val="20"/>
              </w:rPr>
              <w:t>RDL</w:t>
            </w:r>
            <w:r w:rsidR="00344F09" w:rsidRPr="006E665C">
              <w:rPr>
                <w:rFonts w:cs="Arial"/>
                <w:b/>
                <w:bCs/>
                <w:iCs/>
                <w:szCs w:val="20"/>
              </w:rPr>
              <w:t xml:space="preserve"> </w:t>
            </w:r>
            <w:r w:rsidRPr="006E665C">
              <w:rPr>
                <w:rFonts w:cs="Arial"/>
                <w:b/>
                <w:bCs/>
                <w:iCs/>
                <w:szCs w:val="20"/>
              </w:rPr>
              <w:t>8/2010</w:t>
            </w:r>
            <w:sdt>
              <w:sdtPr>
                <w:rPr>
                  <w:rFonts w:cs="Arial"/>
                  <w:bCs/>
                  <w:iCs/>
                  <w:color w:val="000000"/>
                  <w:szCs w:val="20"/>
                  <w:vertAlign w:val="superscript"/>
                </w:rPr>
                <w:tag w:val="MENDELEY_CITATION_v3_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"/>
                <w:id w:val="613405699"/>
                <w:placeholder>
                  <w:docPart w:val="5FB794F488B0476989438066AED98321"/>
                </w:placeholder>
              </w:sdtPr>
              <w:sdtEndPr>
                <w:rPr>
                  <w:rFonts w:cs="Times New Roman"/>
                  <w:bCs w:val="0"/>
                  <w:iCs w:val="0"/>
                  <w:szCs w:val="24"/>
                </w:rPr>
              </w:sdtEndPr>
              <w:sdtContent>
                <w:r w:rsidR="00344F09" w:rsidRPr="006E665C">
                  <w:rPr>
                    <w:color w:val="000000"/>
                    <w:vertAlign w:val="superscript"/>
                  </w:rPr>
                  <w:t>3</w:t>
                </w:r>
              </w:sdtContent>
            </w:sdt>
          </w:p>
        </w:tc>
        <w:tc>
          <w:tcPr>
            <w:tcW w:w="662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05A2903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iCs/>
                <w:szCs w:val="20"/>
              </w:rPr>
            </w:pPr>
            <w:r w:rsidRPr="006E665C">
              <w:rPr>
                <w:rFonts w:cs="Arial"/>
                <w:b/>
                <w:bCs/>
                <w:iCs/>
                <w:szCs w:val="20"/>
              </w:rPr>
              <w:t>Cost/cycle (6 months)</w:t>
            </w:r>
          </w:p>
        </w:tc>
        <w:tc>
          <w:tcPr>
            <w:tcW w:w="662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4883FA0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iCs/>
                <w:szCs w:val="20"/>
              </w:rPr>
            </w:pPr>
            <w:r w:rsidRPr="006E665C">
              <w:rPr>
                <w:rFonts w:cs="Arial"/>
                <w:b/>
                <w:bCs/>
                <w:iCs/>
                <w:szCs w:val="20"/>
              </w:rPr>
              <w:t>Use in SOC (%)</w:t>
            </w:r>
          </w:p>
        </w:tc>
        <w:tc>
          <w:tcPr>
            <w:tcW w:w="663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0A1AD8A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iCs/>
                <w:szCs w:val="20"/>
              </w:rPr>
            </w:pPr>
            <w:r w:rsidRPr="006E665C">
              <w:rPr>
                <w:rFonts w:cs="Arial"/>
                <w:b/>
                <w:bCs/>
                <w:iCs/>
                <w:szCs w:val="20"/>
              </w:rPr>
              <w:t>Use in FLS (%)</w:t>
            </w:r>
          </w:p>
        </w:tc>
      </w:tr>
      <w:tr w:rsidR="00DD3459" w:rsidRPr="006E665C" w14:paraId="69E50EC3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878E4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Vitamin D3 </w:t>
            </w:r>
          </w:p>
        </w:tc>
        <w:tc>
          <w:tcPr>
            <w:tcW w:w="882" w:type="pct"/>
            <w:gridSpan w:val="2"/>
            <w:tcBorders>
              <w:top w:val="nil"/>
              <w:bottom w:val="nil"/>
            </w:tcBorders>
          </w:tcPr>
          <w:p w14:paraId="496AE80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800 IU/day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2555310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€ 3.12 </w:t>
            </w:r>
          </w:p>
        </w:tc>
        <w:tc>
          <w:tcPr>
            <w:tcW w:w="677" w:type="pct"/>
            <w:tcBorders>
              <w:top w:val="nil"/>
              <w:bottom w:val="nil"/>
              <w:right w:val="nil"/>
            </w:tcBorders>
          </w:tcPr>
          <w:p w14:paraId="5046F8D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4DC5306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€ 22.78 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20DE2F7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FB87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</w:tr>
      <w:tr w:rsidR="00DD3459" w:rsidRPr="006E665C" w14:paraId="5F17B22F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74450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Calcium </w:t>
            </w:r>
          </w:p>
        </w:tc>
        <w:tc>
          <w:tcPr>
            <w:tcW w:w="882" w:type="pct"/>
            <w:gridSpan w:val="2"/>
            <w:tcBorders>
              <w:top w:val="nil"/>
              <w:bottom w:val="nil"/>
            </w:tcBorders>
          </w:tcPr>
          <w:p w14:paraId="6E87FBF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1,000 mg/day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71DB4E2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€ 7.43 </w:t>
            </w:r>
          </w:p>
        </w:tc>
        <w:tc>
          <w:tcPr>
            <w:tcW w:w="677" w:type="pct"/>
            <w:tcBorders>
              <w:top w:val="nil"/>
              <w:bottom w:val="nil"/>
              <w:right w:val="nil"/>
            </w:tcBorders>
          </w:tcPr>
          <w:p w14:paraId="055263B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15.0%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44C8682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€ 38.40 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57517A7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4D5B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</w:tr>
      <w:tr w:rsidR="00DD3459" w:rsidRPr="006E665C" w14:paraId="173857AF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1B93B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Raloxifene</w:t>
            </w:r>
          </w:p>
        </w:tc>
        <w:tc>
          <w:tcPr>
            <w:tcW w:w="882" w:type="pct"/>
            <w:gridSpan w:val="2"/>
            <w:tcBorders>
              <w:top w:val="nil"/>
              <w:bottom w:val="nil"/>
            </w:tcBorders>
          </w:tcPr>
          <w:p w14:paraId="5BFE706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60 mg/day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4B2AFD9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€ 20.63 </w:t>
            </w:r>
          </w:p>
        </w:tc>
        <w:tc>
          <w:tcPr>
            <w:tcW w:w="677" w:type="pct"/>
            <w:tcBorders>
              <w:top w:val="nil"/>
              <w:bottom w:val="nil"/>
              <w:right w:val="nil"/>
            </w:tcBorders>
          </w:tcPr>
          <w:p w14:paraId="4B4FE32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52C9F95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€ 134.49 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296FD5A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1.5%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426F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</w:tr>
      <w:tr w:rsidR="00DD3459" w:rsidRPr="006E665C" w14:paraId="74BD985F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8888A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proofErr w:type="spellStart"/>
            <w:r w:rsidRPr="006E665C">
              <w:rPr>
                <w:rFonts w:cs="Arial"/>
                <w:szCs w:val="20"/>
              </w:rPr>
              <w:t>Bazedoxifene</w:t>
            </w:r>
            <w:proofErr w:type="spellEnd"/>
          </w:p>
        </w:tc>
        <w:tc>
          <w:tcPr>
            <w:tcW w:w="882" w:type="pct"/>
            <w:gridSpan w:val="2"/>
            <w:tcBorders>
              <w:top w:val="nil"/>
              <w:bottom w:val="nil"/>
            </w:tcBorders>
          </w:tcPr>
          <w:p w14:paraId="7BEF2B5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20 mg/day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215F473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€ 34.40 </w:t>
            </w:r>
          </w:p>
        </w:tc>
        <w:tc>
          <w:tcPr>
            <w:tcW w:w="677" w:type="pct"/>
            <w:tcBorders>
              <w:top w:val="nil"/>
              <w:bottom w:val="nil"/>
              <w:right w:val="nil"/>
            </w:tcBorders>
          </w:tcPr>
          <w:p w14:paraId="5F3B8D8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7.5%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0AB2372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€ 207.42 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71F9F62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1.5%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632F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</w:tr>
      <w:tr w:rsidR="00DD3459" w:rsidRPr="006E665C" w14:paraId="3B581B94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8B7DA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Teriparatide </w:t>
            </w:r>
          </w:p>
        </w:tc>
        <w:tc>
          <w:tcPr>
            <w:tcW w:w="882" w:type="pct"/>
            <w:gridSpan w:val="2"/>
            <w:tcBorders>
              <w:top w:val="nil"/>
              <w:bottom w:val="nil"/>
            </w:tcBorders>
          </w:tcPr>
          <w:p w14:paraId="0A5F72E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20 μg/day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0AC8444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€ 317.27 </w:t>
            </w:r>
          </w:p>
        </w:tc>
        <w:tc>
          <w:tcPr>
            <w:tcW w:w="677" w:type="pct"/>
            <w:tcBorders>
              <w:top w:val="nil"/>
              <w:bottom w:val="nil"/>
              <w:right w:val="nil"/>
            </w:tcBorders>
          </w:tcPr>
          <w:p w14:paraId="3FF0971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7.5%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0BE0F66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€ 1,912.84 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505A2F0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1.0%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AF65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1.0%</w:t>
            </w:r>
          </w:p>
        </w:tc>
      </w:tr>
      <w:tr w:rsidR="00DD3459" w:rsidRPr="006E665C" w14:paraId="705C88F9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26BF4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Alendronate</w:t>
            </w:r>
          </w:p>
        </w:tc>
        <w:tc>
          <w:tcPr>
            <w:tcW w:w="882" w:type="pct"/>
            <w:gridSpan w:val="2"/>
            <w:tcBorders>
              <w:top w:val="nil"/>
              <w:bottom w:val="nil"/>
            </w:tcBorders>
          </w:tcPr>
          <w:p w14:paraId="6F85D23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70 mg/week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7BDDD79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€ 9.99 </w:t>
            </w:r>
          </w:p>
        </w:tc>
        <w:tc>
          <w:tcPr>
            <w:tcW w:w="677" w:type="pct"/>
            <w:tcBorders>
              <w:top w:val="nil"/>
              <w:bottom w:val="nil"/>
              <w:right w:val="nil"/>
            </w:tcBorders>
          </w:tcPr>
          <w:p w14:paraId="08A415B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19E1FC4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€ 65.14 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0D98E24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35.5%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C87A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35.0%</w:t>
            </w:r>
          </w:p>
        </w:tc>
      </w:tr>
      <w:tr w:rsidR="00DD3459" w:rsidRPr="006E665C" w14:paraId="03FB103B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FFB5F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Ibandronate</w:t>
            </w:r>
          </w:p>
        </w:tc>
        <w:tc>
          <w:tcPr>
            <w:tcW w:w="882" w:type="pct"/>
            <w:gridSpan w:val="2"/>
            <w:tcBorders>
              <w:top w:val="nil"/>
              <w:bottom w:val="nil"/>
            </w:tcBorders>
          </w:tcPr>
          <w:p w14:paraId="74F481C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150 mg/month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63244A5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€ 39.00 </w:t>
            </w:r>
          </w:p>
        </w:tc>
        <w:tc>
          <w:tcPr>
            <w:tcW w:w="677" w:type="pct"/>
            <w:tcBorders>
              <w:top w:val="nil"/>
              <w:bottom w:val="nil"/>
              <w:right w:val="nil"/>
            </w:tcBorders>
          </w:tcPr>
          <w:p w14:paraId="024601A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52B9D65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€ 79.08 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3E6047F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11.8%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6558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11.7%</w:t>
            </w:r>
          </w:p>
        </w:tc>
      </w:tr>
      <w:tr w:rsidR="00DD3459" w:rsidRPr="006E665C" w14:paraId="304DCD37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AA5D2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Risedronate</w:t>
            </w:r>
          </w:p>
        </w:tc>
        <w:tc>
          <w:tcPr>
            <w:tcW w:w="882" w:type="pct"/>
            <w:gridSpan w:val="2"/>
            <w:tcBorders>
              <w:top w:val="nil"/>
              <w:bottom w:val="nil"/>
            </w:tcBorders>
          </w:tcPr>
          <w:p w14:paraId="0FC4AA7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5 mg/day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06CB5B8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€ 19.84 </w:t>
            </w:r>
          </w:p>
        </w:tc>
        <w:tc>
          <w:tcPr>
            <w:tcW w:w="677" w:type="pct"/>
            <w:tcBorders>
              <w:top w:val="nil"/>
              <w:bottom w:val="nil"/>
              <w:right w:val="nil"/>
            </w:tcBorders>
          </w:tcPr>
          <w:p w14:paraId="4283703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477582F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€ 129.34 </w:t>
            </w:r>
          </w:p>
        </w:tc>
        <w:tc>
          <w:tcPr>
            <w:tcW w:w="662" w:type="pct"/>
            <w:gridSpan w:val="2"/>
            <w:tcBorders>
              <w:top w:val="nil"/>
              <w:bottom w:val="nil"/>
              <w:right w:val="nil"/>
            </w:tcBorders>
          </w:tcPr>
          <w:p w14:paraId="022F11E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23.7%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EBDA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23.3%</w:t>
            </w:r>
          </w:p>
        </w:tc>
      </w:tr>
      <w:tr w:rsidR="00DD3459" w:rsidRPr="006E665C" w14:paraId="7ED3D4D5" w14:textId="77777777" w:rsidTr="00344F09">
        <w:trPr>
          <w:trHeight w:val="20"/>
        </w:trPr>
        <w:tc>
          <w:tcPr>
            <w:tcW w:w="792" w:type="pct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33C68DE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Denosumab </w:t>
            </w:r>
          </w:p>
        </w:tc>
        <w:tc>
          <w:tcPr>
            <w:tcW w:w="882" w:type="pct"/>
            <w:gridSpan w:val="2"/>
            <w:tcBorders>
              <w:top w:val="nil"/>
              <w:bottom w:val="single" w:sz="12" w:space="0" w:color="auto"/>
            </w:tcBorders>
          </w:tcPr>
          <w:p w14:paraId="633E7F0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60 mg/6 months</w:t>
            </w:r>
          </w:p>
        </w:tc>
        <w:tc>
          <w:tcPr>
            <w:tcW w:w="662" w:type="pct"/>
            <w:tcBorders>
              <w:top w:val="nil"/>
              <w:bottom w:val="single" w:sz="12" w:space="0" w:color="auto"/>
            </w:tcBorders>
          </w:tcPr>
          <w:p w14:paraId="6F9B2A0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€ 225.59 </w:t>
            </w:r>
          </w:p>
        </w:tc>
        <w:tc>
          <w:tcPr>
            <w:tcW w:w="677" w:type="pct"/>
            <w:tcBorders>
              <w:top w:val="nil"/>
              <w:bottom w:val="single" w:sz="12" w:space="0" w:color="auto"/>
              <w:right w:val="nil"/>
            </w:tcBorders>
          </w:tcPr>
          <w:p w14:paraId="2EA7E7C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7.5%</w:t>
            </w:r>
          </w:p>
        </w:tc>
        <w:tc>
          <w:tcPr>
            <w:tcW w:w="662" w:type="pct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7A7438D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€ 209.45 </w:t>
            </w:r>
          </w:p>
        </w:tc>
        <w:tc>
          <w:tcPr>
            <w:tcW w:w="662" w:type="pct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57B4EDF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25.0%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18F09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29.0%</w:t>
            </w:r>
          </w:p>
        </w:tc>
      </w:tr>
      <w:tr w:rsidR="00DD3459" w:rsidRPr="006E665C" w14:paraId="467FD7A8" w14:textId="77777777" w:rsidTr="00344F09">
        <w:trPr>
          <w:gridAfter w:val="1"/>
          <w:wAfter w:w="4" w:type="pct"/>
          <w:trHeight w:val="20"/>
        </w:trPr>
        <w:tc>
          <w:tcPr>
            <w:tcW w:w="4996" w:type="pct"/>
            <w:gridSpan w:val="10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F98DDC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Costs attributed to FLS</w:t>
            </w:r>
          </w:p>
        </w:tc>
      </w:tr>
      <w:tr w:rsidR="00DD3459" w:rsidRPr="006E665C" w14:paraId="13F01BF2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18117C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Category</w:t>
            </w:r>
          </w:p>
        </w:tc>
        <w:tc>
          <w:tcPr>
            <w:tcW w:w="237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0792B2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Health resource</w:t>
            </w:r>
          </w:p>
        </w:tc>
        <w:tc>
          <w:tcPr>
            <w:tcW w:w="952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378F0B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Frequency of use</w:t>
            </w:r>
          </w:p>
        </w:tc>
        <w:tc>
          <w:tcPr>
            <w:tcW w:w="80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7D195" w14:textId="4986B1C2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Unit cost</w:t>
            </w:r>
            <w:sdt>
              <w:sdtPr>
                <w:rPr>
                  <w:rFonts w:cs="Arial"/>
                  <w:bCs/>
                  <w:color w:val="000000"/>
                  <w:szCs w:val="20"/>
                  <w:vertAlign w:val="superscript"/>
                </w:rPr>
                <w:tag w:val="MENDELEY_CITATION_v3_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"/>
                <w:id w:val="1420912495"/>
                <w:placeholder>
                  <w:docPart w:val="5FB794F488B0476989438066AED98321"/>
                </w:placeholder>
              </w:sdtPr>
              <w:sdtEndPr/>
              <w:sdtContent>
                <w:r w:rsidR="00344F09" w:rsidRPr="006E665C">
                  <w:rPr>
                    <w:color w:val="000000"/>
                    <w:vertAlign w:val="superscript"/>
                  </w:rPr>
                  <w:t>4</w:t>
                </w:r>
              </w:sdtContent>
            </w:sdt>
          </w:p>
        </w:tc>
      </w:tr>
      <w:tr w:rsidR="00DD3459" w:rsidRPr="006E665C" w14:paraId="7CC14629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6CCC1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FLS, initial evaluation</w:t>
            </w:r>
          </w:p>
        </w:tc>
        <w:tc>
          <w:tcPr>
            <w:tcW w:w="2370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DE322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Nursing telephone consultation, first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437953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64CAB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€ 13.71 </w:t>
            </w:r>
          </w:p>
        </w:tc>
      </w:tr>
      <w:tr w:rsidR="00DD3459" w:rsidRPr="006E665C" w14:paraId="5C9FC90D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1DAD8CF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2605426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Specialist consultation, initial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32D2755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C5C5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€ 114.21 </w:t>
            </w:r>
          </w:p>
        </w:tc>
      </w:tr>
      <w:tr w:rsidR="00DD3459" w:rsidRPr="006E665C" w14:paraId="0CFE66B3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78F0E83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4D086BE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Bone densitometry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572151E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55.0%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070A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€ 87.82 </w:t>
            </w:r>
          </w:p>
        </w:tc>
      </w:tr>
      <w:tr w:rsidR="00DD3459" w:rsidRPr="006E665C" w14:paraId="42A31F61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16B6A51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77E72DF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globular sedimentation rate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7ADACCF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7271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€ 1.37 </w:t>
            </w:r>
          </w:p>
        </w:tc>
      </w:tr>
      <w:tr w:rsidR="00DD3459" w:rsidRPr="006E665C" w14:paraId="5C0BB7F2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06F7A26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651E454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Basic blood test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555471E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3C00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€ 5.96 </w:t>
            </w:r>
          </w:p>
        </w:tc>
      </w:tr>
      <w:tr w:rsidR="00DD3459" w:rsidRPr="006E665C" w14:paraId="68702925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489C971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3A5DB8A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Complete biochemical panel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3880DFD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71AE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€ 85.60 </w:t>
            </w:r>
          </w:p>
        </w:tc>
      </w:tr>
      <w:tr w:rsidR="00DD3459" w:rsidRPr="006E665C" w14:paraId="226EF088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31E75BB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13B73FB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serum calcium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781367E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6EE4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€ 1.92 </w:t>
            </w:r>
          </w:p>
        </w:tc>
      </w:tr>
      <w:tr w:rsidR="00DD3459" w:rsidRPr="006E665C" w14:paraId="3AB3B783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150E5EB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6355172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serum alkaline phosphatase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5266309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339F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€ 2.20 </w:t>
            </w:r>
          </w:p>
        </w:tc>
      </w:tr>
      <w:tr w:rsidR="00DD3459" w:rsidRPr="006E665C" w14:paraId="3368B70C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1B93DCF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1290579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vitamin D 25-OH in serum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467D9C6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676C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€ 51.10 </w:t>
            </w:r>
          </w:p>
        </w:tc>
      </w:tr>
      <w:tr w:rsidR="00DD3459" w:rsidRPr="006E665C" w14:paraId="46FD66BF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534304A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16447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Thyrotropin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6A4DAC9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25C5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20.78 </w:t>
            </w:r>
          </w:p>
        </w:tc>
      </w:tr>
      <w:tr w:rsidR="00DD3459" w:rsidRPr="006E665C" w14:paraId="055FF9D3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025B91D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F7BB6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parathyroid hormone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73DC47E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EC38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34.42 </w:t>
            </w:r>
          </w:p>
        </w:tc>
      </w:tr>
      <w:tr w:rsidR="00DD3459" w:rsidRPr="006E665C" w14:paraId="184BE9D5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4DFFB6B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66118AF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phosphorus and calcium in urine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4A0DACB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84AD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5.73 </w:t>
            </w:r>
          </w:p>
        </w:tc>
      </w:tr>
      <w:tr w:rsidR="00DD3459" w:rsidRPr="006E665C" w14:paraId="35613BAD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33564E0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10FCE8A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of free testosterone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5175C3F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B427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20.02 </w:t>
            </w:r>
          </w:p>
        </w:tc>
      </w:tr>
      <w:tr w:rsidR="00DD3459" w:rsidRPr="006E665C" w14:paraId="043E6908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6E3B260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2EADA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Det. luteinizing hormone 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0FC830F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C2D9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15.75 </w:t>
            </w:r>
          </w:p>
        </w:tc>
      </w:tr>
      <w:tr w:rsidR="00DD3459" w:rsidRPr="006E665C" w14:paraId="6B2A8954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6950039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A68DB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follicle-stimulating hormone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3997D23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76F6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15.97 </w:t>
            </w:r>
          </w:p>
        </w:tc>
      </w:tr>
      <w:tr w:rsidR="00DD3459" w:rsidRPr="006E665C" w14:paraId="6EFF623B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59E3487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7F5FB4E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C-reactive protein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15ABDA3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E160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79.56 </w:t>
            </w:r>
          </w:p>
        </w:tc>
      </w:tr>
      <w:tr w:rsidR="00DD3459" w:rsidRPr="006E665C" w14:paraId="7B4E21EC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668561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BA7B8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Patient training (nursing consultation)</w:t>
            </w:r>
          </w:p>
        </w:tc>
        <w:tc>
          <w:tcPr>
            <w:tcW w:w="952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C22C4F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AEB3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29.79 </w:t>
            </w:r>
          </w:p>
        </w:tc>
      </w:tr>
      <w:tr w:rsidR="00DD3459" w:rsidRPr="006E665C" w14:paraId="3DFACA84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785A7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FLS, subsequent follow-up</w:t>
            </w:r>
          </w:p>
        </w:tc>
        <w:tc>
          <w:tcPr>
            <w:tcW w:w="2370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343BB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Follow-up visit to the specialist (month 4)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9E387E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1EAD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86.12 </w:t>
            </w:r>
          </w:p>
        </w:tc>
      </w:tr>
      <w:tr w:rsidR="00DD3459" w:rsidRPr="006E665C" w14:paraId="7A7703BB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5937FB5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53B1830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Nursing telephone consultation, successive (month 3)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5BFCA89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D7FA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7.00 </w:t>
            </w:r>
          </w:p>
        </w:tc>
      </w:tr>
      <w:tr w:rsidR="00DD3459" w:rsidRPr="006E665C" w14:paraId="64F8C547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42D7038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4DAE85B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Nursing telephone consultation, successive (month 6)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3B4BAD9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069D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7.00 </w:t>
            </w:r>
          </w:p>
        </w:tc>
      </w:tr>
      <w:tr w:rsidR="00DD3459" w:rsidRPr="006E665C" w14:paraId="20EF11FA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36B517C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5C5DDEB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Follow-up visit to the specialist (month 12)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18371AB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50.0%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94D8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86.12 </w:t>
            </w:r>
          </w:p>
        </w:tc>
      </w:tr>
      <w:tr w:rsidR="00DD3459" w:rsidRPr="006E665C" w14:paraId="2871DB85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shd w:val="clear" w:color="auto" w:fill="auto"/>
          </w:tcPr>
          <w:p w14:paraId="0E915B9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nil"/>
            </w:tcBorders>
            <w:shd w:val="clear" w:color="auto" w:fill="auto"/>
          </w:tcPr>
          <w:p w14:paraId="7972A8E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Nursing telephone consultation, successive (month 12)</w:t>
            </w:r>
          </w:p>
        </w:tc>
        <w:tc>
          <w:tcPr>
            <w:tcW w:w="952" w:type="pct"/>
            <w:gridSpan w:val="2"/>
            <w:tcBorders>
              <w:top w:val="nil"/>
              <w:bottom w:val="nil"/>
              <w:right w:val="nil"/>
            </w:tcBorders>
          </w:tcPr>
          <w:p w14:paraId="3EC6C75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92BC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7.00 </w:t>
            </w:r>
          </w:p>
        </w:tc>
      </w:tr>
      <w:tr w:rsidR="00DD3459" w:rsidRPr="006E665C" w14:paraId="3B8ACAEE" w14:textId="77777777" w:rsidTr="00344F09">
        <w:trPr>
          <w:gridAfter w:val="1"/>
          <w:wAfter w:w="4" w:type="pct"/>
          <w:trHeight w:val="20"/>
        </w:trPr>
        <w:tc>
          <w:tcPr>
            <w:tcW w:w="866" w:type="pct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32FF4FF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70" w:type="pct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7AB779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Nursing telephone consultation, successive (month 24)</w:t>
            </w:r>
          </w:p>
        </w:tc>
        <w:tc>
          <w:tcPr>
            <w:tcW w:w="952" w:type="pct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5818CDC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A9B1BE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7.00 </w:t>
            </w:r>
          </w:p>
        </w:tc>
      </w:tr>
    </w:tbl>
    <w:p w14:paraId="5697EE04" w14:textId="77777777" w:rsidR="00DD3459" w:rsidRPr="006E665C" w:rsidRDefault="00DD3459" w:rsidP="00DD3459">
      <w:pPr>
        <w:spacing w:line="240" w:lineRule="auto"/>
        <w:mirrorIndents/>
        <w:jc w:val="left"/>
        <w:rPr>
          <w:rFonts w:cs="Arial"/>
          <w:b/>
          <w:szCs w:val="20"/>
        </w:rPr>
      </w:pPr>
      <w:r w:rsidRPr="006E665C">
        <w:rPr>
          <w:rFonts w:cs="Arial"/>
          <w:b/>
          <w:szCs w:val="20"/>
        </w:rPr>
        <w:t>Abbreviations:</w:t>
      </w:r>
      <w:r w:rsidRPr="006E665C">
        <w:rPr>
          <w:rFonts w:cs="Arial"/>
          <w:szCs w:val="20"/>
        </w:rPr>
        <w:t xml:space="preserve"> Det.: Determination; </w:t>
      </w:r>
      <w:r w:rsidRPr="006E665C">
        <w:rPr>
          <w:rFonts w:cs="Arial"/>
          <w:bCs/>
          <w:szCs w:val="20"/>
        </w:rPr>
        <w:t>FLS: Fracture Liaison Service; RDL; Royal Decree Law; SOC: Standard of care.</w:t>
      </w:r>
    </w:p>
    <w:p w14:paraId="1D92FC54" w14:textId="77777777" w:rsidR="00DD3459" w:rsidRPr="006E665C" w:rsidRDefault="00DD3459" w:rsidP="00DD3459">
      <w:pPr>
        <w:widowControl w:val="0"/>
        <w:autoSpaceDE w:val="0"/>
        <w:autoSpaceDN w:val="0"/>
        <w:adjustRightInd w:val="0"/>
        <w:spacing w:before="240" w:after="60"/>
        <w:mirrorIndents/>
        <w:jc w:val="left"/>
        <w:rPr>
          <w:rFonts w:cs="Arial"/>
          <w:bCs/>
          <w:szCs w:val="20"/>
        </w:rPr>
      </w:pPr>
      <w:r w:rsidRPr="006E665C">
        <w:rPr>
          <w:rFonts w:cs="Arial"/>
          <w:b/>
          <w:szCs w:val="20"/>
        </w:rPr>
        <w:lastRenderedPageBreak/>
        <w:t xml:space="preserve">Table S2. </w:t>
      </w:r>
      <w:r w:rsidRPr="006E665C">
        <w:rPr>
          <w:rFonts w:cs="Arial"/>
          <w:bCs/>
          <w:szCs w:val="20"/>
        </w:rPr>
        <w:t xml:space="preserve">Detail of </w:t>
      </w:r>
      <w:r w:rsidRPr="006E665C">
        <w:rPr>
          <w:rFonts w:cs="Arial"/>
          <w:szCs w:val="20"/>
        </w:rPr>
        <w:t>economic</w:t>
      </w:r>
      <w:r w:rsidRPr="006E665C">
        <w:rPr>
          <w:rFonts w:cs="Arial"/>
          <w:bCs/>
          <w:szCs w:val="20"/>
        </w:rPr>
        <w:t xml:space="preserve"> inputs considered in the base case (II)</w:t>
      </w:r>
    </w:p>
    <w:tbl>
      <w:tblPr>
        <w:tblW w:w="5305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332"/>
        <w:gridCol w:w="1300"/>
        <w:gridCol w:w="1806"/>
        <w:gridCol w:w="1791"/>
        <w:gridCol w:w="1521"/>
      </w:tblGrid>
      <w:tr w:rsidR="00DD3459" w:rsidRPr="006E665C" w14:paraId="743C27FC" w14:textId="77777777" w:rsidTr="00873025">
        <w:trPr>
          <w:trHeight w:val="20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E6D31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Costs attributed to subsequent fractures</w:t>
            </w:r>
          </w:p>
        </w:tc>
      </w:tr>
      <w:tr w:rsidR="00DD3459" w:rsidRPr="006E665C" w14:paraId="45A1A86F" w14:textId="77777777" w:rsidTr="00873025">
        <w:trPr>
          <w:trHeight w:val="20"/>
        </w:trPr>
        <w:tc>
          <w:tcPr>
            <w:tcW w:w="86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6F59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Type of fracture</w:t>
            </w:r>
          </w:p>
        </w:tc>
        <w:tc>
          <w:tcPr>
            <w:tcW w:w="236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97A1C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Health resource</w:t>
            </w:r>
          </w:p>
        </w:tc>
        <w:tc>
          <w:tcPr>
            <w:tcW w:w="955" w:type="pc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327256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Frequency of use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33B95" w14:textId="7BEFC8CB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 xml:space="preserve">Unit cost </w:t>
            </w:r>
            <w:sdt>
              <w:sdtPr>
                <w:rPr>
                  <w:rFonts w:cs="Arial"/>
                  <w:bCs/>
                  <w:color w:val="000000"/>
                  <w:szCs w:val="20"/>
                  <w:vertAlign w:val="superscript"/>
                </w:rPr>
                <w:tag w:val="MENDELEY_CITATION_v3_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"/>
                <w:id w:val="-1689132947"/>
                <w:placeholder>
                  <w:docPart w:val="5FB794F488B0476989438066AED98321"/>
                </w:placeholder>
              </w:sdtPr>
              <w:sdtEndPr/>
              <w:sdtContent>
                <w:r w:rsidR="00344F09" w:rsidRPr="006E665C">
                  <w:rPr>
                    <w:color w:val="000000"/>
                    <w:vertAlign w:val="superscript"/>
                  </w:rPr>
                  <w:t>4,5</w:t>
                </w:r>
              </w:sdtContent>
            </w:sdt>
          </w:p>
        </w:tc>
      </w:tr>
      <w:tr w:rsidR="00DD3459" w:rsidRPr="006E665C" w14:paraId="70EE6348" w14:textId="77777777" w:rsidTr="00873025">
        <w:trPr>
          <w:trHeight w:val="20"/>
        </w:trPr>
        <w:tc>
          <w:tcPr>
            <w:tcW w:w="86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C773F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Hip fracture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FB92CD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Hospitalization associated with hip fracture</w:t>
            </w:r>
          </w:p>
        </w:tc>
        <w:tc>
          <w:tcPr>
            <w:tcW w:w="955" w:type="pct"/>
            <w:tcBorders>
              <w:top w:val="single" w:sz="4" w:space="0" w:color="auto"/>
              <w:bottom w:val="nil"/>
              <w:right w:val="nil"/>
            </w:tcBorders>
          </w:tcPr>
          <w:p w14:paraId="6DFAFB7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8DF49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9,028.64 </w:t>
            </w:r>
          </w:p>
        </w:tc>
      </w:tr>
      <w:tr w:rsidR="00DD3459" w:rsidRPr="006E665C" w14:paraId="4374F4B0" w14:textId="77777777" w:rsidTr="00873025">
        <w:trPr>
          <w:trHeight w:val="20"/>
        </w:trPr>
        <w:tc>
          <w:tcPr>
            <w:tcW w:w="868" w:type="pct"/>
            <w:vMerge/>
            <w:tcBorders>
              <w:left w:val="nil"/>
              <w:right w:val="nil"/>
            </w:tcBorders>
            <w:shd w:val="clear" w:color="auto" w:fill="auto"/>
          </w:tcPr>
          <w:p w14:paraId="0463B41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66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00EF2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Emergency consultation, no hospitalization</w:t>
            </w:r>
          </w:p>
        </w:tc>
        <w:tc>
          <w:tcPr>
            <w:tcW w:w="955" w:type="pct"/>
            <w:tcBorders>
              <w:top w:val="nil"/>
              <w:bottom w:val="nil"/>
              <w:right w:val="nil"/>
            </w:tcBorders>
          </w:tcPr>
          <w:p w14:paraId="3EE2D33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D424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173.20 </w:t>
            </w:r>
          </w:p>
        </w:tc>
      </w:tr>
      <w:tr w:rsidR="00DD3459" w:rsidRPr="006E665C" w14:paraId="3A6E028D" w14:textId="77777777" w:rsidTr="00873025">
        <w:trPr>
          <w:trHeight w:val="20"/>
        </w:trPr>
        <w:tc>
          <w:tcPr>
            <w:tcW w:w="86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BDBA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3321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587709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7045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9,201.84 </w:t>
            </w:r>
          </w:p>
        </w:tc>
      </w:tr>
      <w:tr w:rsidR="00DD3459" w:rsidRPr="006E665C" w14:paraId="72A0848B" w14:textId="77777777" w:rsidTr="00873025">
        <w:trPr>
          <w:trHeight w:val="20"/>
        </w:trPr>
        <w:tc>
          <w:tcPr>
            <w:tcW w:w="86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964B49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Vertebral fracture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771B94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Hospitalization associated with vertebral fracture</w:t>
            </w:r>
          </w:p>
        </w:tc>
        <w:tc>
          <w:tcPr>
            <w:tcW w:w="955" w:type="pct"/>
            <w:tcBorders>
              <w:top w:val="single" w:sz="4" w:space="0" w:color="auto"/>
              <w:bottom w:val="nil"/>
              <w:right w:val="nil"/>
            </w:tcBorders>
          </w:tcPr>
          <w:p w14:paraId="00DD0B1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33.3%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FF63B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5,671.99 </w:t>
            </w:r>
          </w:p>
        </w:tc>
      </w:tr>
      <w:tr w:rsidR="00DD3459" w:rsidRPr="006E665C" w14:paraId="75C27A4B" w14:textId="77777777" w:rsidTr="00873025">
        <w:trPr>
          <w:trHeight w:val="20"/>
        </w:trPr>
        <w:tc>
          <w:tcPr>
            <w:tcW w:w="868" w:type="pct"/>
            <w:vMerge/>
            <w:tcBorders>
              <w:left w:val="nil"/>
              <w:right w:val="nil"/>
            </w:tcBorders>
            <w:shd w:val="clear" w:color="auto" w:fill="auto"/>
          </w:tcPr>
          <w:p w14:paraId="1309CED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66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A51022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Emergency consultation, no hospitalization</w:t>
            </w:r>
          </w:p>
        </w:tc>
        <w:tc>
          <w:tcPr>
            <w:tcW w:w="955" w:type="pct"/>
            <w:tcBorders>
              <w:top w:val="nil"/>
              <w:bottom w:val="nil"/>
              <w:right w:val="nil"/>
            </w:tcBorders>
          </w:tcPr>
          <w:p w14:paraId="10CD135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B199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173.20 </w:t>
            </w:r>
          </w:p>
        </w:tc>
      </w:tr>
      <w:tr w:rsidR="00DD3459" w:rsidRPr="006E665C" w14:paraId="22DBB73D" w14:textId="77777777" w:rsidTr="00873025">
        <w:trPr>
          <w:trHeight w:val="20"/>
        </w:trPr>
        <w:tc>
          <w:tcPr>
            <w:tcW w:w="86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DA7C6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3321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8E3E16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9E4C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2,063.86 </w:t>
            </w:r>
          </w:p>
        </w:tc>
      </w:tr>
      <w:tr w:rsidR="00DD3459" w:rsidRPr="006E665C" w14:paraId="12078765" w14:textId="77777777" w:rsidTr="00873025">
        <w:trPr>
          <w:trHeight w:val="20"/>
        </w:trPr>
        <w:tc>
          <w:tcPr>
            <w:tcW w:w="86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211512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Forearm fracture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D628B7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Hospitalization associated with forearm fracture</w:t>
            </w:r>
          </w:p>
        </w:tc>
        <w:tc>
          <w:tcPr>
            <w:tcW w:w="955" w:type="pct"/>
            <w:tcBorders>
              <w:top w:val="single" w:sz="4" w:space="0" w:color="auto"/>
              <w:bottom w:val="nil"/>
              <w:right w:val="nil"/>
            </w:tcBorders>
          </w:tcPr>
          <w:p w14:paraId="588D800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12.5%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75ECB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5,041.30 </w:t>
            </w:r>
          </w:p>
        </w:tc>
      </w:tr>
      <w:tr w:rsidR="00DD3459" w:rsidRPr="006E665C" w14:paraId="5EB97CC2" w14:textId="77777777" w:rsidTr="00873025">
        <w:trPr>
          <w:trHeight w:val="20"/>
        </w:trPr>
        <w:tc>
          <w:tcPr>
            <w:tcW w:w="868" w:type="pct"/>
            <w:vMerge/>
            <w:tcBorders>
              <w:left w:val="nil"/>
              <w:right w:val="nil"/>
            </w:tcBorders>
            <w:shd w:val="clear" w:color="auto" w:fill="auto"/>
          </w:tcPr>
          <w:p w14:paraId="45E1EFC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66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7B8871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Emergency consultation, no hospitalization</w:t>
            </w:r>
          </w:p>
        </w:tc>
        <w:tc>
          <w:tcPr>
            <w:tcW w:w="955" w:type="pct"/>
            <w:tcBorders>
              <w:top w:val="nil"/>
              <w:bottom w:val="nil"/>
              <w:right w:val="nil"/>
            </w:tcBorders>
          </w:tcPr>
          <w:p w14:paraId="4D22BF5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250F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173.20 </w:t>
            </w:r>
          </w:p>
        </w:tc>
      </w:tr>
      <w:tr w:rsidR="00DD3459" w:rsidRPr="006E665C" w14:paraId="02CBB30C" w14:textId="77777777" w:rsidTr="00873025">
        <w:trPr>
          <w:trHeight w:val="20"/>
        </w:trPr>
        <w:tc>
          <w:tcPr>
            <w:tcW w:w="86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3F49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3321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5FA539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Total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64A2F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803.36 </w:t>
            </w:r>
          </w:p>
        </w:tc>
      </w:tr>
      <w:tr w:rsidR="00DD3459" w:rsidRPr="006E665C" w14:paraId="19B510A6" w14:textId="77777777" w:rsidTr="00873025">
        <w:trPr>
          <w:trHeight w:val="20"/>
        </w:trPr>
        <w:tc>
          <w:tcPr>
            <w:tcW w:w="86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BA08F8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Humerus fracture </w:t>
            </w:r>
          </w:p>
        </w:tc>
        <w:tc>
          <w:tcPr>
            <w:tcW w:w="2366" w:type="pct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9AF026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Hospitalization associated with humerus fracture</w:t>
            </w:r>
          </w:p>
        </w:tc>
        <w:tc>
          <w:tcPr>
            <w:tcW w:w="955" w:type="pct"/>
            <w:tcBorders>
              <w:top w:val="single" w:sz="4" w:space="0" w:color="auto"/>
              <w:bottom w:val="nil"/>
              <w:right w:val="nil"/>
            </w:tcBorders>
          </w:tcPr>
          <w:p w14:paraId="09FC7B3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12.5%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FDD9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5,366.84 </w:t>
            </w:r>
          </w:p>
        </w:tc>
      </w:tr>
      <w:tr w:rsidR="00DD3459" w:rsidRPr="006E665C" w14:paraId="10A641DD" w14:textId="77777777" w:rsidTr="00873025">
        <w:trPr>
          <w:trHeight w:val="20"/>
        </w:trPr>
        <w:tc>
          <w:tcPr>
            <w:tcW w:w="868" w:type="pct"/>
            <w:vMerge/>
            <w:tcBorders>
              <w:left w:val="nil"/>
              <w:right w:val="nil"/>
            </w:tcBorders>
            <w:shd w:val="clear" w:color="auto" w:fill="auto"/>
          </w:tcPr>
          <w:p w14:paraId="524C708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66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9856B5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Emergency consultation, no hospitalization</w:t>
            </w:r>
          </w:p>
        </w:tc>
        <w:tc>
          <w:tcPr>
            <w:tcW w:w="955" w:type="pct"/>
            <w:tcBorders>
              <w:top w:val="nil"/>
              <w:bottom w:val="nil"/>
              <w:right w:val="nil"/>
            </w:tcBorders>
          </w:tcPr>
          <w:p w14:paraId="6E73DE5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4B0F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173.20 </w:t>
            </w:r>
          </w:p>
        </w:tc>
      </w:tr>
      <w:tr w:rsidR="00DD3459" w:rsidRPr="006E665C" w14:paraId="47A4F355" w14:textId="77777777" w:rsidTr="00873025">
        <w:trPr>
          <w:trHeight w:val="20"/>
        </w:trPr>
        <w:tc>
          <w:tcPr>
            <w:tcW w:w="86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39631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366" w:type="pct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159A94B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Total</w:t>
            </w:r>
          </w:p>
        </w:tc>
        <w:tc>
          <w:tcPr>
            <w:tcW w:w="955" w:type="pct"/>
            <w:tcBorders>
              <w:top w:val="nil"/>
              <w:bottom w:val="single" w:sz="12" w:space="0" w:color="auto"/>
              <w:right w:val="nil"/>
            </w:tcBorders>
          </w:tcPr>
          <w:p w14:paraId="6646F40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0CDDC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 xml:space="preserve">844.06 </w:t>
            </w:r>
          </w:p>
        </w:tc>
      </w:tr>
      <w:tr w:rsidR="00DD3459" w:rsidRPr="006E665C" w14:paraId="17173132" w14:textId="77777777" w:rsidTr="00873025">
        <w:trPr>
          <w:trHeight w:val="20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17EE2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End-of-life costs</w:t>
            </w:r>
          </w:p>
        </w:tc>
      </w:tr>
      <w:tr w:rsidR="00DD3459" w:rsidRPr="006E665C" w14:paraId="09EBFAEF" w14:textId="77777777" w:rsidTr="00873025">
        <w:trPr>
          <w:trHeight w:val="20"/>
        </w:trPr>
        <w:tc>
          <w:tcPr>
            <w:tcW w:w="157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C7106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Health resource</w:t>
            </w:r>
          </w:p>
        </w:tc>
        <w:tc>
          <w:tcPr>
            <w:tcW w:w="693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CCEC9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color w:val="000000"/>
                <w:szCs w:val="20"/>
                <w:lang w:eastAsia="es-ES"/>
              </w:rPr>
            </w:pPr>
            <w:r w:rsidRPr="006E665C">
              <w:rPr>
                <w:rFonts w:cs="Arial"/>
                <w:b/>
                <w:bCs/>
                <w:szCs w:val="20"/>
              </w:rPr>
              <w:t>Frequency of use</w:t>
            </w:r>
          </w:p>
        </w:tc>
        <w:tc>
          <w:tcPr>
            <w:tcW w:w="1918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A9D97C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Duration of use</w:t>
            </w:r>
          </w:p>
        </w:tc>
        <w:tc>
          <w:tcPr>
            <w:tcW w:w="811" w:type="pct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1AD574BB" w14:textId="6F2F264F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Unit cost</w:t>
            </w:r>
            <w:sdt>
              <w:sdtPr>
                <w:rPr>
                  <w:rFonts w:cs="Arial"/>
                  <w:bCs/>
                  <w:color w:val="000000"/>
                  <w:szCs w:val="20"/>
                  <w:vertAlign w:val="superscript"/>
                </w:rPr>
                <w:tag w:val="MENDELEY_CITATION_v3_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"/>
                <w:id w:val="473720745"/>
                <w:placeholder>
                  <w:docPart w:val="5FB794F488B0476989438066AED98321"/>
                </w:placeholder>
              </w:sdtPr>
              <w:sdtEndPr/>
              <w:sdtContent>
                <w:r w:rsidR="00344F09" w:rsidRPr="006E665C">
                  <w:rPr>
                    <w:color w:val="000000"/>
                    <w:vertAlign w:val="superscript"/>
                  </w:rPr>
                  <w:t>4,5</w:t>
                </w:r>
              </w:sdtContent>
            </w:sdt>
          </w:p>
        </w:tc>
      </w:tr>
      <w:tr w:rsidR="00DD3459" w:rsidRPr="006E665C" w14:paraId="57120459" w14:textId="77777777" w:rsidTr="00873025">
        <w:trPr>
          <w:trHeight w:val="20"/>
        </w:trPr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D0663D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Palliative care unit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931E23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5.0%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9C1068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2–3 weeks until death (mean 14.9 days)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  <w:right w:val="nil"/>
            </w:tcBorders>
          </w:tcPr>
          <w:p w14:paraId="0D24C7C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>399.68 /day</w:t>
            </w:r>
          </w:p>
        </w:tc>
      </w:tr>
      <w:tr w:rsidR="00DD3459" w:rsidRPr="006E665C" w14:paraId="2BEDA232" w14:textId="77777777" w:rsidTr="00873025">
        <w:trPr>
          <w:trHeight w:val="20"/>
        </w:trPr>
        <w:tc>
          <w:tcPr>
            <w:tcW w:w="157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93DB45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Home, with medical follow-up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F3CE1B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12.5%</w:t>
            </w:r>
          </w:p>
        </w:tc>
        <w:tc>
          <w:tcPr>
            <w:tcW w:w="1918" w:type="pct"/>
            <w:gridSpan w:val="2"/>
            <w:tcBorders>
              <w:top w:val="nil"/>
              <w:bottom w:val="nil"/>
              <w:right w:val="nil"/>
            </w:tcBorders>
          </w:tcPr>
          <w:p w14:paraId="5DAC47C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2–3 visits/week until death (mean 8.7 visits)</w:t>
            </w:r>
          </w:p>
        </w:tc>
        <w:tc>
          <w:tcPr>
            <w:tcW w:w="811" w:type="pct"/>
            <w:tcBorders>
              <w:top w:val="nil"/>
              <w:bottom w:val="nil"/>
              <w:right w:val="nil"/>
            </w:tcBorders>
          </w:tcPr>
          <w:p w14:paraId="354B7C5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>85.66 /visit</w:t>
            </w:r>
          </w:p>
        </w:tc>
      </w:tr>
      <w:tr w:rsidR="00DD3459" w:rsidRPr="006E665C" w14:paraId="621EE500" w14:textId="77777777" w:rsidTr="00873025">
        <w:trPr>
          <w:trHeight w:val="20"/>
        </w:trPr>
        <w:tc>
          <w:tcPr>
            <w:tcW w:w="157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6741F6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Home, with nursing follow-up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FE6421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12.5%</w:t>
            </w:r>
          </w:p>
        </w:tc>
        <w:tc>
          <w:tcPr>
            <w:tcW w:w="1918" w:type="pct"/>
            <w:gridSpan w:val="2"/>
            <w:tcBorders>
              <w:top w:val="nil"/>
              <w:bottom w:val="nil"/>
              <w:right w:val="nil"/>
            </w:tcBorders>
          </w:tcPr>
          <w:p w14:paraId="7F82F7C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2–3 visits/week until death (mean 8.7 visits)</w:t>
            </w:r>
          </w:p>
        </w:tc>
        <w:tc>
          <w:tcPr>
            <w:tcW w:w="811" w:type="pct"/>
            <w:tcBorders>
              <w:top w:val="nil"/>
              <w:bottom w:val="nil"/>
              <w:right w:val="nil"/>
            </w:tcBorders>
          </w:tcPr>
          <w:p w14:paraId="5E684B5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>54.46 /visit</w:t>
            </w:r>
          </w:p>
        </w:tc>
      </w:tr>
      <w:tr w:rsidR="00DD3459" w:rsidRPr="006E665C" w14:paraId="05684144" w14:textId="77777777" w:rsidTr="00873025">
        <w:trPr>
          <w:trHeight w:val="20"/>
        </w:trPr>
        <w:tc>
          <w:tcPr>
            <w:tcW w:w="1578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6442B2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Acute hospitalization unit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037940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70.0%</w:t>
            </w:r>
          </w:p>
        </w:tc>
        <w:tc>
          <w:tcPr>
            <w:tcW w:w="1918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F37118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&lt;1 week until death (mean 3.1 days)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  <w:right w:val="nil"/>
            </w:tcBorders>
          </w:tcPr>
          <w:p w14:paraId="3EA9713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color w:val="000000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Cs w:val="20"/>
              </w:rPr>
              <w:t>1,158.65 /day</w:t>
            </w:r>
          </w:p>
        </w:tc>
      </w:tr>
    </w:tbl>
    <w:p w14:paraId="0B9C86BA" w14:textId="77777777" w:rsidR="00DD3459" w:rsidRPr="006E665C" w:rsidRDefault="00DD3459" w:rsidP="00DD3459">
      <w:pPr>
        <w:widowControl w:val="0"/>
        <w:autoSpaceDE w:val="0"/>
        <w:autoSpaceDN w:val="0"/>
        <w:adjustRightInd w:val="0"/>
        <w:spacing w:before="240" w:after="60"/>
        <w:mirrorIndents/>
        <w:jc w:val="left"/>
        <w:rPr>
          <w:rFonts w:cs="Arial"/>
          <w:szCs w:val="20"/>
        </w:rPr>
      </w:pPr>
      <w:r w:rsidRPr="006E665C">
        <w:rPr>
          <w:rFonts w:cs="Arial"/>
          <w:b/>
          <w:szCs w:val="20"/>
        </w:rPr>
        <w:br w:type="page"/>
      </w:r>
      <w:r w:rsidRPr="006E665C">
        <w:rPr>
          <w:rFonts w:cs="Arial"/>
          <w:b/>
          <w:szCs w:val="20"/>
        </w:rPr>
        <w:lastRenderedPageBreak/>
        <w:t>Table</w:t>
      </w:r>
      <w:r w:rsidRPr="006E665C">
        <w:rPr>
          <w:rFonts w:cs="Arial"/>
          <w:szCs w:val="20"/>
        </w:rPr>
        <w:t xml:space="preserve"> </w:t>
      </w:r>
      <w:r w:rsidRPr="006E665C">
        <w:rPr>
          <w:rFonts w:cs="Arial"/>
          <w:b/>
          <w:szCs w:val="20"/>
        </w:rPr>
        <w:t>S3.</w:t>
      </w:r>
      <w:r w:rsidRPr="006E665C">
        <w:rPr>
          <w:rFonts w:cs="Arial"/>
          <w:szCs w:val="20"/>
        </w:rPr>
        <w:t xml:space="preserve"> Inputs and </w:t>
      </w:r>
      <w:r w:rsidRPr="006E665C">
        <w:rPr>
          <w:rFonts w:cs="Arial"/>
          <w:bCs/>
          <w:szCs w:val="20"/>
        </w:rPr>
        <w:t>range</w:t>
      </w:r>
      <w:r w:rsidRPr="006E665C">
        <w:rPr>
          <w:rFonts w:cs="Arial"/>
          <w:szCs w:val="20"/>
        </w:rPr>
        <w:t xml:space="preserve"> of variability assessed through the DSA (I)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229"/>
        <w:gridCol w:w="3997"/>
        <w:gridCol w:w="1198"/>
        <w:gridCol w:w="1198"/>
        <w:gridCol w:w="1216"/>
      </w:tblGrid>
      <w:tr w:rsidR="00DD3459" w:rsidRPr="006E665C" w14:paraId="4FF6912B" w14:textId="77777777" w:rsidTr="00873025">
        <w:trPr>
          <w:trHeight w:val="20"/>
          <w:tblHeader/>
        </w:trPr>
        <w:tc>
          <w:tcPr>
            <w:tcW w:w="695" w:type="pct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EE949D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Category</w:t>
            </w:r>
          </w:p>
        </w:tc>
        <w:tc>
          <w:tcPr>
            <w:tcW w:w="22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C18BE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Variable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20E08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Base case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51889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Lower limit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F0ABA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b/>
                <w:bCs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Upper limit</w:t>
            </w:r>
          </w:p>
        </w:tc>
      </w:tr>
      <w:tr w:rsidR="00DD3459" w:rsidRPr="006E665C" w14:paraId="1EF60B1D" w14:textId="77777777" w:rsidTr="00873025">
        <w:trPr>
          <w:trHeight w:val="20"/>
        </w:trPr>
        <w:tc>
          <w:tcPr>
            <w:tcW w:w="695" w:type="pct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412BF49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General</w:t>
            </w:r>
          </w:p>
        </w:tc>
        <w:tc>
          <w:tcPr>
            <w:tcW w:w="22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521F4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Initial age (years)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863D3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65.00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E6FB5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52.00</w:t>
            </w:r>
          </w:p>
        </w:tc>
        <w:tc>
          <w:tcPr>
            <w:tcW w:w="68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45E1D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78.00</w:t>
            </w:r>
          </w:p>
        </w:tc>
      </w:tr>
      <w:tr w:rsidR="00DD3459" w:rsidRPr="006E665C" w14:paraId="57C999E8" w14:textId="77777777" w:rsidTr="00873025">
        <w:trPr>
          <w:trHeight w:val="20"/>
        </w:trPr>
        <w:tc>
          <w:tcPr>
            <w:tcW w:w="695" w:type="pct"/>
            <w:vMerge/>
            <w:tcBorders>
              <w:right w:val="nil"/>
            </w:tcBorders>
            <w:shd w:val="clear" w:color="auto" w:fill="auto"/>
          </w:tcPr>
          <w:p w14:paraId="601523B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8D91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Proportion of women (%)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C7CE92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90.7%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F092D9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72.5%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3E2620E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100.0%</w:t>
            </w:r>
          </w:p>
        </w:tc>
      </w:tr>
      <w:tr w:rsidR="00DD3459" w:rsidRPr="006E665C" w14:paraId="2638D0C8" w14:textId="77777777" w:rsidTr="00873025">
        <w:trPr>
          <w:trHeight w:val="20"/>
        </w:trPr>
        <w:tc>
          <w:tcPr>
            <w:tcW w:w="695" w:type="pct"/>
            <w:vMerge/>
            <w:tcBorders>
              <w:right w:val="nil"/>
            </w:tcBorders>
            <w:shd w:val="clear" w:color="auto" w:fill="auto"/>
          </w:tcPr>
          <w:p w14:paraId="6C223E8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4EA4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Time-preference deduction – costs (%)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55C72B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3.0%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6AAD1D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524117B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5.0%</w:t>
            </w:r>
          </w:p>
        </w:tc>
      </w:tr>
      <w:tr w:rsidR="00DD3459" w:rsidRPr="006E665C" w14:paraId="61C914E5" w14:textId="77777777" w:rsidTr="00873025">
        <w:trPr>
          <w:trHeight w:val="20"/>
        </w:trPr>
        <w:tc>
          <w:tcPr>
            <w:tcW w:w="695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CAE4CB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0F97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Time-preference deduction – effectiveness (%)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E477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3.0%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9150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0.0%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84AC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5.0%</w:t>
            </w:r>
          </w:p>
        </w:tc>
      </w:tr>
      <w:tr w:rsidR="00DD3459" w:rsidRPr="006E665C" w14:paraId="05CD5FDC" w14:textId="77777777" w:rsidTr="00873025">
        <w:trPr>
          <w:trHeight w:val="20"/>
        </w:trPr>
        <w:tc>
          <w:tcPr>
            <w:tcW w:w="695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A33914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General population utility; women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58FC7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i/>
                <w:szCs w:val="20"/>
              </w:rPr>
            </w:pPr>
            <w:r w:rsidRPr="006E665C">
              <w:rPr>
                <w:rFonts w:cs="Arial"/>
                <w:szCs w:val="20"/>
              </w:rPr>
              <w:t>Age: 60-64 years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DAAA4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i/>
                <w:szCs w:val="20"/>
              </w:rPr>
            </w:pPr>
            <w:r w:rsidRPr="006E665C">
              <w:rPr>
                <w:rFonts w:cs="Arial"/>
                <w:szCs w:val="20"/>
              </w:rPr>
              <w:t>0.865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C2B34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i/>
                <w:szCs w:val="20"/>
              </w:rPr>
            </w:pPr>
            <w:r w:rsidRPr="006E665C">
              <w:rPr>
                <w:rFonts w:cs="Arial"/>
                <w:szCs w:val="20"/>
              </w:rPr>
              <w:t>0.851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50DB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i/>
                <w:szCs w:val="20"/>
              </w:rPr>
            </w:pPr>
            <w:r w:rsidRPr="006E665C">
              <w:rPr>
                <w:rFonts w:cs="Arial"/>
                <w:szCs w:val="20"/>
              </w:rPr>
              <w:t>0.879</w:t>
            </w:r>
          </w:p>
        </w:tc>
      </w:tr>
      <w:tr w:rsidR="00DD3459" w:rsidRPr="006E665C" w14:paraId="122B2DFA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2E33DF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DB5D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Age: 65-69 years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8C5523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0.846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4EFFDC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0.831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05E736B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0.860</w:t>
            </w:r>
          </w:p>
        </w:tc>
      </w:tr>
      <w:tr w:rsidR="00DD3459" w:rsidRPr="006E665C" w14:paraId="5ECDCC15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D8F905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0F5C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Age: 70-74 years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501B88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0.793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E10AF5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0.774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312475F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0.811</w:t>
            </w:r>
          </w:p>
        </w:tc>
      </w:tr>
      <w:tr w:rsidR="00DD3459" w:rsidRPr="006E665C" w14:paraId="2533768B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81B358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1EF4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Age: 75-79 years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4A4A80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0.770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BCF8B8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0.752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2427C81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0.788</w:t>
            </w:r>
          </w:p>
        </w:tc>
      </w:tr>
      <w:tr w:rsidR="00DD3459" w:rsidRPr="006E665C" w14:paraId="7359BE1A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2576CB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2877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Age: 80-84 years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944AC8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0.663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A9BF3B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0.637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5BE1753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0.690</w:t>
            </w:r>
          </w:p>
        </w:tc>
      </w:tr>
      <w:tr w:rsidR="00DD3459" w:rsidRPr="006E665C" w14:paraId="65F66943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4DEDB7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62CF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Age: ≥85 years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8A7B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0.511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643E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0.476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913B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0.545</w:t>
            </w:r>
          </w:p>
        </w:tc>
      </w:tr>
      <w:tr w:rsidR="00DD3459" w:rsidRPr="006E665C" w14:paraId="2A2290D2" w14:textId="77777777" w:rsidTr="00873025">
        <w:trPr>
          <w:trHeight w:val="20"/>
        </w:trPr>
        <w:tc>
          <w:tcPr>
            <w:tcW w:w="695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9310D0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General population utility; men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CC94C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i/>
                <w:iCs/>
                <w:szCs w:val="20"/>
              </w:rPr>
            </w:pPr>
            <w:r w:rsidRPr="006E665C">
              <w:rPr>
                <w:rFonts w:cs="Arial"/>
                <w:szCs w:val="20"/>
              </w:rPr>
              <w:t>Age: 60-64 years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4D06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i/>
                <w:iCs/>
                <w:szCs w:val="20"/>
              </w:rPr>
            </w:pPr>
            <w:r w:rsidRPr="006E665C">
              <w:rPr>
                <w:rFonts w:cs="Arial"/>
                <w:szCs w:val="20"/>
              </w:rPr>
              <w:t>0.922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C53D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i/>
                <w:iCs/>
                <w:szCs w:val="20"/>
              </w:rPr>
            </w:pPr>
            <w:r w:rsidRPr="006E665C">
              <w:rPr>
                <w:rFonts w:cs="Arial"/>
                <w:szCs w:val="20"/>
              </w:rPr>
              <w:t>0.909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9371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i/>
                <w:iCs/>
                <w:szCs w:val="20"/>
              </w:rPr>
            </w:pPr>
            <w:r w:rsidRPr="006E665C">
              <w:rPr>
                <w:rFonts w:cs="Arial"/>
                <w:szCs w:val="20"/>
              </w:rPr>
              <w:t>0.935</w:t>
            </w:r>
          </w:p>
        </w:tc>
      </w:tr>
      <w:tr w:rsidR="00DD3459" w:rsidRPr="006E665C" w14:paraId="5532E716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B1A95B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D732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Age: 65-69 years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1668BE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0.923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6132C9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0.910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08A24B6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0.935</w:t>
            </w:r>
          </w:p>
        </w:tc>
      </w:tr>
      <w:tr w:rsidR="00DD3459" w:rsidRPr="006E665C" w14:paraId="13806A75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CD813D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D87E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Age: 70-74 years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2D290B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0.897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3077FE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0.881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21C1665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0.913</w:t>
            </w:r>
          </w:p>
        </w:tc>
      </w:tr>
      <w:tr w:rsidR="00DD3459" w:rsidRPr="006E665C" w14:paraId="47A075E7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080C33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E4EC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Age: 75-79 years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3B1FA4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0.846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DDBF7B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0.824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2ABA497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0.868</w:t>
            </w:r>
          </w:p>
        </w:tc>
      </w:tr>
      <w:tr w:rsidR="00DD3459" w:rsidRPr="006E665C" w14:paraId="51CD0645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1D7F07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FEA8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Age: 80-84 years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D442D6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0.777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B8EC0C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0.747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2E857B0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0.807</w:t>
            </w:r>
          </w:p>
        </w:tc>
      </w:tr>
      <w:tr w:rsidR="00DD3459" w:rsidRPr="006E665C" w14:paraId="75EB6B95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176594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C25A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Age: ≥85 years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D533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0.673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ED71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0.630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DC92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0.717</w:t>
            </w:r>
          </w:p>
        </w:tc>
      </w:tr>
      <w:tr w:rsidR="00DD3459" w:rsidRPr="006E665C" w14:paraId="1E632F56" w14:textId="77777777" w:rsidTr="00873025">
        <w:trPr>
          <w:trHeight w:val="20"/>
        </w:trPr>
        <w:tc>
          <w:tcPr>
            <w:tcW w:w="695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38B21B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proofErr w:type="spellStart"/>
            <w:r w:rsidRPr="006E665C">
              <w:rPr>
                <w:rFonts w:cs="Arial"/>
                <w:szCs w:val="20"/>
              </w:rPr>
              <w:t>Disutilities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9993F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Treatment with bisphosphonates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D674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-0.006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104C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-0.005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0763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-0.008</w:t>
            </w:r>
          </w:p>
        </w:tc>
      </w:tr>
      <w:tr w:rsidR="00DD3459" w:rsidRPr="006E665C" w14:paraId="4FB25099" w14:textId="77777777" w:rsidTr="00873025">
        <w:trPr>
          <w:trHeight w:val="20"/>
        </w:trPr>
        <w:tc>
          <w:tcPr>
            <w:tcW w:w="695" w:type="pct"/>
            <w:vMerge/>
            <w:tcBorders>
              <w:right w:val="nil"/>
            </w:tcBorders>
            <w:shd w:val="clear" w:color="auto" w:fill="auto"/>
          </w:tcPr>
          <w:p w14:paraId="5E1BC18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CE06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Hip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9992F9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-0.170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4C2ECA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-0.136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24FE6D4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-0.204</w:t>
            </w:r>
          </w:p>
        </w:tc>
      </w:tr>
      <w:tr w:rsidR="00DD3459" w:rsidRPr="006E665C" w14:paraId="19A21157" w14:textId="77777777" w:rsidTr="00873025">
        <w:trPr>
          <w:trHeight w:val="20"/>
        </w:trPr>
        <w:tc>
          <w:tcPr>
            <w:tcW w:w="695" w:type="pct"/>
            <w:vMerge/>
            <w:tcBorders>
              <w:right w:val="nil"/>
            </w:tcBorders>
            <w:shd w:val="clear" w:color="auto" w:fill="auto"/>
          </w:tcPr>
          <w:p w14:paraId="06CACC5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DAF0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Vertebral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10134D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-0.230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65572B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-0.184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371E1F4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-0.276</w:t>
            </w:r>
          </w:p>
        </w:tc>
      </w:tr>
      <w:tr w:rsidR="00DD3459" w:rsidRPr="006E665C" w14:paraId="285C9D77" w14:textId="77777777" w:rsidTr="00873025">
        <w:trPr>
          <w:trHeight w:val="20"/>
        </w:trPr>
        <w:tc>
          <w:tcPr>
            <w:tcW w:w="695" w:type="pct"/>
            <w:vMerge/>
            <w:tcBorders>
              <w:right w:val="nil"/>
            </w:tcBorders>
            <w:shd w:val="clear" w:color="auto" w:fill="auto"/>
          </w:tcPr>
          <w:p w14:paraId="797FF70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542E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Forearm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F55678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-0.060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A7148F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-0.048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7708D19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-0.072</w:t>
            </w:r>
          </w:p>
        </w:tc>
      </w:tr>
      <w:tr w:rsidR="00DD3459" w:rsidRPr="006E665C" w14:paraId="14E6E7C0" w14:textId="77777777" w:rsidTr="00873025">
        <w:trPr>
          <w:trHeight w:val="20"/>
        </w:trPr>
        <w:tc>
          <w:tcPr>
            <w:tcW w:w="695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411A66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8FAB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Humerus fracture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7BED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-0.090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FF41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-0.072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4485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-0.108</w:t>
            </w:r>
          </w:p>
        </w:tc>
      </w:tr>
      <w:tr w:rsidR="00DD3459" w:rsidRPr="006E665C" w14:paraId="5774AD13" w14:textId="77777777" w:rsidTr="00873025">
        <w:trPr>
          <w:trHeight w:val="20"/>
        </w:trPr>
        <w:tc>
          <w:tcPr>
            <w:tcW w:w="695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9557D8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Clinical parameters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BE6B0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Proportion of patients initiating osteoporosis treatment after fragility fracture; SOC group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1CDF7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13.7%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5654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11.0%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AD2C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16.4%</w:t>
            </w:r>
          </w:p>
        </w:tc>
      </w:tr>
      <w:tr w:rsidR="00DD3459" w:rsidRPr="006E665C" w14:paraId="71DCDAF8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220A61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19C2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Proportion of patients initiating osteoporosis treatment after fragility fracture; FLS group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249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55.1%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4ADA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44.1%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F8B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66.1%</w:t>
            </w:r>
          </w:p>
        </w:tc>
      </w:tr>
      <w:tr w:rsidR="00DD3459" w:rsidRPr="006E665C" w14:paraId="3536F253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0C9442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90B0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Relative increase in persistence due to FLS (4 years)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137CFA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3.33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524F1A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2.99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0558A82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3.67</w:t>
            </w:r>
          </w:p>
        </w:tc>
      </w:tr>
      <w:tr w:rsidR="00DD3459" w:rsidRPr="006E665C" w14:paraId="157136A2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7FB290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2BBD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10-year risk of subsequent fractures in osteoporotic patients without treatment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BCC814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27.9%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F87F1F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22.4%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4D5A1F5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33.5%</w:t>
            </w:r>
          </w:p>
        </w:tc>
      </w:tr>
      <w:tr w:rsidR="00DD3459" w:rsidRPr="006E665C" w14:paraId="5DDB6AAF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349992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53EC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10-year risk of subsequent fractures in osteoporotic patients with treatment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7C5B79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11.1%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722477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8.9%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791CB86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13.3%</w:t>
            </w:r>
          </w:p>
        </w:tc>
      </w:tr>
      <w:tr w:rsidR="00DD3459" w:rsidRPr="006E665C" w14:paraId="345EC1F7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8B3F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DA06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Increased SMR due to hip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D3FE27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6.28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6E0C96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4.90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389B2EC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6.70</w:t>
            </w:r>
          </w:p>
        </w:tc>
      </w:tr>
      <w:tr w:rsidR="00DD3459" w:rsidRPr="006E665C" w14:paraId="6762AD28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243FE9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BBDB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Increase in SMR due to vertebral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CFA699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2.01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DB21B7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1.59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34D4EBB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2.87</w:t>
            </w:r>
          </w:p>
        </w:tc>
      </w:tr>
      <w:tr w:rsidR="00DD3459" w:rsidRPr="006E665C" w14:paraId="1A04CDB2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F99B8C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2EE6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Increased SMR due to forearm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38FE6A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2.01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28FEE8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1.59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14:paraId="46BE9FC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2.87</w:t>
            </w:r>
          </w:p>
        </w:tc>
      </w:tr>
      <w:tr w:rsidR="00DD3459" w:rsidRPr="006E665C" w14:paraId="6582C57D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553D9D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7EA9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Increase in SMR due to humerus fracture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F572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F6B2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1.59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DA36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2.87</w:t>
            </w:r>
          </w:p>
        </w:tc>
      </w:tr>
    </w:tbl>
    <w:p w14:paraId="63602DAA" w14:textId="141854C8" w:rsidR="00DD3459" w:rsidRPr="006E665C" w:rsidRDefault="00DD3459" w:rsidP="00740311">
      <w:pPr>
        <w:spacing w:line="240" w:lineRule="auto"/>
        <w:mirrorIndents/>
        <w:jc w:val="left"/>
        <w:rPr>
          <w:rFonts w:cs="Arial"/>
          <w:szCs w:val="20"/>
        </w:rPr>
      </w:pPr>
      <w:r w:rsidRPr="006E665C">
        <w:rPr>
          <w:rFonts w:cs="Arial"/>
          <w:b/>
          <w:szCs w:val="20"/>
        </w:rPr>
        <w:t>Abbreviations:</w:t>
      </w:r>
      <w:r w:rsidRPr="006E665C">
        <w:rPr>
          <w:rFonts w:cs="Arial"/>
          <w:szCs w:val="20"/>
        </w:rPr>
        <w:t xml:space="preserve"> FLS, Fracture Liaison Service; SMR, standardized mortality ratio; SOC, Standard of care.</w:t>
      </w:r>
    </w:p>
    <w:p w14:paraId="7BC4C83E" w14:textId="77777777" w:rsidR="00DD3459" w:rsidRPr="006E665C" w:rsidRDefault="00DD3459" w:rsidP="00DD3459">
      <w:pPr>
        <w:spacing w:line="240" w:lineRule="auto"/>
        <w:jc w:val="left"/>
      </w:pPr>
      <w:r w:rsidRPr="006E665C">
        <w:br w:type="page"/>
      </w:r>
    </w:p>
    <w:p w14:paraId="4742EB88" w14:textId="77777777" w:rsidR="00DD3459" w:rsidRPr="006E665C" w:rsidRDefault="00DD3459" w:rsidP="00DD3459">
      <w:r w:rsidRPr="006E665C">
        <w:rPr>
          <w:rFonts w:cs="Arial"/>
          <w:b/>
          <w:szCs w:val="20"/>
        </w:rPr>
        <w:lastRenderedPageBreak/>
        <w:t>Table</w:t>
      </w:r>
      <w:r w:rsidRPr="006E665C">
        <w:rPr>
          <w:rFonts w:cs="Arial"/>
          <w:szCs w:val="20"/>
        </w:rPr>
        <w:t xml:space="preserve"> </w:t>
      </w:r>
      <w:r w:rsidRPr="006E665C">
        <w:rPr>
          <w:rFonts w:cs="Arial"/>
          <w:b/>
          <w:szCs w:val="20"/>
        </w:rPr>
        <w:t>S4.</w:t>
      </w:r>
      <w:r w:rsidRPr="006E665C">
        <w:rPr>
          <w:rFonts w:cs="Arial"/>
          <w:szCs w:val="20"/>
        </w:rPr>
        <w:t xml:space="preserve"> Inputs and </w:t>
      </w:r>
      <w:r w:rsidRPr="006E665C">
        <w:rPr>
          <w:rFonts w:cs="Arial"/>
          <w:bCs/>
          <w:szCs w:val="20"/>
        </w:rPr>
        <w:t>range</w:t>
      </w:r>
      <w:r w:rsidRPr="006E665C">
        <w:rPr>
          <w:rFonts w:cs="Arial"/>
          <w:szCs w:val="20"/>
        </w:rPr>
        <w:t xml:space="preserve"> of variability assessed through the DSA (II)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228"/>
        <w:gridCol w:w="3997"/>
        <w:gridCol w:w="1198"/>
        <w:gridCol w:w="1198"/>
        <w:gridCol w:w="1217"/>
      </w:tblGrid>
      <w:tr w:rsidR="00DD3459" w:rsidRPr="006E665C" w14:paraId="006CBC5D" w14:textId="77777777" w:rsidTr="00873025">
        <w:trPr>
          <w:trHeight w:val="20"/>
        </w:trPr>
        <w:tc>
          <w:tcPr>
            <w:tcW w:w="695" w:type="pct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D52A7B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Category</w:t>
            </w:r>
          </w:p>
        </w:tc>
        <w:tc>
          <w:tcPr>
            <w:tcW w:w="22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6F99D4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Variable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139FD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Base case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E69B1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Lower limit</w:t>
            </w:r>
          </w:p>
        </w:tc>
        <w:tc>
          <w:tcPr>
            <w:tcW w:w="68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D7D75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Cs w:val="20"/>
              </w:rPr>
              <w:t>Upper limit</w:t>
            </w:r>
          </w:p>
        </w:tc>
      </w:tr>
      <w:tr w:rsidR="00DD3459" w:rsidRPr="006E665C" w14:paraId="01F2AB15" w14:textId="77777777" w:rsidTr="00873025">
        <w:trPr>
          <w:trHeight w:val="20"/>
        </w:trPr>
        <w:tc>
          <w:tcPr>
            <w:tcW w:w="695" w:type="pct"/>
            <w:vMerge w:val="restart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6682DF3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Unit costs</w:t>
            </w:r>
          </w:p>
        </w:tc>
        <w:tc>
          <w:tcPr>
            <w:tcW w:w="22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BA8AB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Cost of hospitalization for hip fracture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67665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€ 9,028.64 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CE00B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€ 7,222.91 </w:t>
            </w:r>
          </w:p>
        </w:tc>
        <w:tc>
          <w:tcPr>
            <w:tcW w:w="68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FED9B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€10,834.37 </w:t>
            </w:r>
          </w:p>
        </w:tc>
      </w:tr>
      <w:tr w:rsidR="00DD3459" w:rsidRPr="006E665C" w14:paraId="29751A21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599EC3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6EA0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Cost of hospitalization for vertebral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D4D9B7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€ 5,671.99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551D43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€ 4,537.59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2F45F28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6,806.38 </w:t>
            </w:r>
          </w:p>
        </w:tc>
      </w:tr>
      <w:tr w:rsidR="00DD3459" w:rsidRPr="006E665C" w14:paraId="32A95EA6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C78209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7B21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Cost of hospitalization for forearm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BC94AF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€ 5,041.30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44DE1B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€ 4,033.04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1AD9DAB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€ 6,049.56 </w:t>
            </w:r>
          </w:p>
        </w:tc>
      </w:tr>
      <w:tr w:rsidR="00DD3459" w:rsidRPr="006E665C" w14:paraId="49CEC30E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6A0E5E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1132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Cost of hospitalization for humerus fracture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F68B48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€ 5,366.84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EE1A3F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€ 4,293.47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715AF75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€ 6,440.21 </w:t>
            </w:r>
          </w:p>
        </w:tc>
      </w:tr>
      <w:tr w:rsidR="00DD3459" w:rsidRPr="006E665C" w14:paraId="4620A009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C1DC7D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7DE6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Emergency consultation, without hospitalization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06B7C0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€ 173.20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6818F8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€ 138.56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436CF5D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€ 207.84 </w:t>
            </w:r>
          </w:p>
        </w:tc>
      </w:tr>
      <w:tr w:rsidR="00DD3459" w:rsidRPr="006E665C" w14:paraId="15BAA477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CA84C1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AF70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Bone densitometry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B62982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€ 87.82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073481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€ 70.26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31A1580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€ 105.39 </w:t>
            </w:r>
          </w:p>
        </w:tc>
      </w:tr>
      <w:tr w:rsidR="00DD3459" w:rsidRPr="006E665C" w14:paraId="1B04286C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42B3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BC45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Specialist consultation, initial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DE7F6C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€ 114.21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6F2FA7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€ 91.37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227FC70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€ 137.05 </w:t>
            </w:r>
          </w:p>
        </w:tc>
      </w:tr>
      <w:tr w:rsidR="00DD3459" w:rsidRPr="006E665C" w14:paraId="4D6B380F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98F83E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6E5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Specialist consultation, successive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16CAF0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€ 86.12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183C54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€ 68.89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1734534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€ 103.34 </w:t>
            </w:r>
          </w:p>
        </w:tc>
      </w:tr>
      <w:tr w:rsidR="00DD3459" w:rsidRPr="006E665C" w14:paraId="28D01C42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55287E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50E7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Nursing consultation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07A0CF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€ 29.79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54FDF4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€ 23.83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5435A38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€ 35.75 </w:t>
            </w:r>
          </w:p>
        </w:tc>
      </w:tr>
      <w:tr w:rsidR="00DD3459" w:rsidRPr="006E665C" w14:paraId="2A8E7EF0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2D8E71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74D4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Nursing telephone consultation, first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CCB8AE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€ 13.71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79CCD6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€ 10.97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5580000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€ 16.45 </w:t>
            </w:r>
          </w:p>
        </w:tc>
      </w:tr>
      <w:tr w:rsidR="00DD3459" w:rsidRPr="006E665C" w14:paraId="48D0624A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7A887F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4F33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Nursing telephone consultation, successive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CA3285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€ 7.00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A4FADF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€ 5.60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3DD2533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€ 8.40 </w:t>
            </w:r>
          </w:p>
        </w:tc>
      </w:tr>
      <w:tr w:rsidR="00DD3459" w:rsidRPr="006E665C" w14:paraId="6AD0F3CB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798E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0F47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Basic blood test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7FE3A8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€ 5.96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F188F6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€ 4.76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0C42695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€ 7.15 </w:t>
            </w:r>
          </w:p>
        </w:tc>
      </w:tr>
      <w:tr w:rsidR="00DD3459" w:rsidRPr="006E665C" w14:paraId="0BC1481A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D2598D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6930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Complete biochemical panel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82362A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€ 85.60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08CD58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€ 68.48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75E921C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€ 102.72 </w:t>
            </w:r>
          </w:p>
        </w:tc>
      </w:tr>
      <w:tr w:rsidR="00DD3459" w:rsidRPr="006E665C" w14:paraId="03DA248D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0F7D68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CCA2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Panel liver function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D1462A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€ 19.99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21A9A9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€ 15.99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51AA0DA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€ 23.99 </w:t>
            </w:r>
          </w:p>
        </w:tc>
      </w:tr>
      <w:tr w:rsidR="00DD3459" w:rsidRPr="006E665C" w14:paraId="528D10FB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2B8E2C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0D6E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serum calcium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1A1BB0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€ 1.92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491DF1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€ 1.54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4B27D7C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€ 2.30 </w:t>
            </w:r>
          </w:p>
        </w:tc>
      </w:tr>
      <w:tr w:rsidR="00DD3459" w:rsidRPr="006E665C" w14:paraId="30146315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14F6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0745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serum phosphorus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DDD125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€ 2.20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515656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€ 1.76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60E0EDE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€ 2.64 </w:t>
            </w:r>
          </w:p>
        </w:tc>
      </w:tr>
      <w:tr w:rsidR="00DD3459" w:rsidRPr="006E665C" w14:paraId="0EF126A5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929E92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1824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serum alkaline phosphatase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150088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€ 2.20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66507E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€ 1.76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3CEDEED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€ 2.64 </w:t>
            </w:r>
          </w:p>
        </w:tc>
      </w:tr>
      <w:tr w:rsidR="00DD3459" w:rsidRPr="006E665C" w14:paraId="562CB604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4EA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B084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vitamin D 25-OH in serum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38EA80C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€ 51.10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75B80CE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€ 40.88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2C6913E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€ 61.32 </w:t>
            </w:r>
          </w:p>
        </w:tc>
      </w:tr>
      <w:tr w:rsidR="00DD3459" w:rsidRPr="006E665C" w14:paraId="0B7E8D5B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C4FAD6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BAB6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thyrotropin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5AC1CC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€ 20.78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6D8261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€ 16.62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3D3A954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€ 24.93 </w:t>
            </w:r>
          </w:p>
        </w:tc>
      </w:tr>
      <w:tr w:rsidR="00DD3459" w:rsidRPr="006E665C" w14:paraId="2664922B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101A27F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38BB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parathyroid hormone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6D40AC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€ 34.42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FAE549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€ 27.54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3DEF74E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€ 41.31 </w:t>
            </w:r>
          </w:p>
        </w:tc>
      </w:tr>
      <w:tr w:rsidR="00DD3459" w:rsidRPr="006E665C" w14:paraId="26EA31A1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B4843B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A203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calcium in urine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291BC8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€ 3.25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2BF9B6B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€ 2.60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25E3957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€ 3.89 </w:t>
            </w:r>
          </w:p>
        </w:tc>
      </w:tr>
      <w:tr w:rsidR="00DD3459" w:rsidRPr="006E665C" w14:paraId="34F5F645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17EABD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2C2A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phosphorus in urine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04243F4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€ 2.49 €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935D15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€ 1.99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50ADC1F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€ 2.99 </w:t>
            </w:r>
          </w:p>
        </w:tc>
      </w:tr>
      <w:tr w:rsidR="00DD3459" w:rsidRPr="006E665C" w14:paraId="49CD67CA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AF585F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21B5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of free testosterone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F7FD00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€ 20.02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55CFE0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€ 16.01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2B89354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€ 24.02 </w:t>
            </w:r>
          </w:p>
        </w:tc>
      </w:tr>
      <w:tr w:rsidR="00DD3459" w:rsidRPr="006E665C" w14:paraId="7306531F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813946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16CC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Det. luteinizing hormone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D2769C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€ 15.75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C11124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€ 12.60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35F7806B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€ 18.91 </w:t>
            </w:r>
          </w:p>
        </w:tc>
      </w:tr>
      <w:tr w:rsidR="00DD3459" w:rsidRPr="006E665C" w14:paraId="5126EE69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4AFCCB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C62A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follicle-stimulating hormone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4871EEB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€ 15.97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55DFF676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€ 12.78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0BFF031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€ 19.17 </w:t>
            </w:r>
          </w:p>
        </w:tc>
      </w:tr>
      <w:tr w:rsidR="00DD3459" w:rsidRPr="006E665C" w14:paraId="76C2D6FA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D95168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EE1F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globular sedimentation rate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7380545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€ 1.37 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1D2F841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€ 1.10 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</w:tcPr>
          <w:p w14:paraId="42EC1A8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€ 1.64 </w:t>
            </w:r>
          </w:p>
        </w:tc>
      </w:tr>
      <w:tr w:rsidR="00DD3459" w:rsidRPr="006E665C" w14:paraId="7A1B10CC" w14:textId="77777777" w:rsidTr="00873025">
        <w:trPr>
          <w:trHeight w:val="20"/>
        </w:trPr>
        <w:tc>
          <w:tcPr>
            <w:tcW w:w="695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BBE338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CB7B8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>Det. C-reactive protein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E36A5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€ 79.56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1A8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€ 63.65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E7F6C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szCs w:val="20"/>
              </w:rPr>
              <w:t xml:space="preserve">€ 95.47 </w:t>
            </w:r>
          </w:p>
        </w:tc>
      </w:tr>
    </w:tbl>
    <w:p w14:paraId="7B6055A5" w14:textId="335FBA05" w:rsidR="00DD3459" w:rsidRPr="006E665C" w:rsidRDefault="00DD3459" w:rsidP="00DD3459">
      <w:pPr>
        <w:spacing w:line="240" w:lineRule="auto"/>
        <w:mirrorIndents/>
        <w:jc w:val="left"/>
        <w:rPr>
          <w:rFonts w:cs="Arial"/>
          <w:szCs w:val="20"/>
        </w:rPr>
      </w:pPr>
      <w:r w:rsidRPr="006E665C">
        <w:rPr>
          <w:rFonts w:cs="Arial"/>
          <w:b/>
          <w:szCs w:val="20"/>
        </w:rPr>
        <w:t>Abbreviations:</w:t>
      </w:r>
      <w:r w:rsidRPr="006E665C">
        <w:rPr>
          <w:rFonts w:cs="Arial"/>
          <w:szCs w:val="20"/>
        </w:rPr>
        <w:t xml:space="preserve"> Det., Determination</w:t>
      </w:r>
      <w:r w:rsidR="00740311" w:rsidRPr="006E665C">
        <w:rPr>
          <w:rFonts w:cs="Arial"/>
          <w:szCs w:val="20"/>
        </w:rPr>
        <w:t>.</w:t>
      </w:r>
    </w:p>
    <w:p w14:paraId="7A702FB3" w14:textId="77777777" w:rsidR="00740311" w:rsidRPr="006E665C" w:rsidRDefault="00740311" w:rsidP="00DD3459">
      <w:pPr>
        <w:spacing w:line="240" w:lineRule="auto"/>
        <w:mirrorIndents/>
        <w:jc w:val="left"/>
        <w:rPr>
          <w:rFonts w:cs="Arial"/>
          <w:szCs w:val="20"/>
        </w:rPr>
      </w:pPr>
    </w:p>
    <w:p w14:paraId="39C29EBE" w14:textId="77777777" w:rsidR="00DD3459" w:rsidRPr="006E665C" w:rsidRDefault="00DD3459" w:rsidP="00DD3459">
      <w:pPr>
        <w:widowControl w:val="0"/>
        <w:autoSpaceDE w:val="0"/>
        <w:autoSpaceDN w:val="0"/>
        <w:adjustRightInd w:val="0"/>
        <w:spacing w:before="240" w:after="60"/>
        <w:mirrorIndents/>
        <w:jc w:val="left"/>
        <w:rPr>
          <w:rFonts w:cs="Arial"/>
          <w:szCs w:val="20"/>
        </w:rPr>
      </w:pPr>
      <w:r w:rsidRPr="006E665C">
        <w:rPr>
          <w:rFonts w:cs="Arial"/>
          <w:b/>
          <w:szCs w:val="20"/>
        </w:rPr>
        <w:br w:type="page"/>
      </w:r>
      <w:r w:rsidRPr="006E665C">
        <w:rPr>
          <w:rFonts w:cs="Arial"/>
          <w:b/>
          <w:szCs w:val="20"/>
        </w:rPr>
        <w:lastRenderedPageBreak/>
        <w:t>Table</w:t>
      </w:r>
      <w:r w:rsidRPr="006E665C">
        <w:rPr>
          <w:rFonts w:cs="Arial"/>
          <w:szCs w:val="20"/>
        </w:rPr>
        <w:t xml:space="preserve"> </w:t>
      </w:r>
      <w:r w:rsidRPr="006E665C">
        <w:rPr>
          <w:rFonts w:cs="Arial"/>
          <w:b/>
          <w:szCs w:val="20"/>
        </w:rPr>
        <w:t>S5.</w:t>
      </w:r>
      <w:r w:rsidRPr="006E665C">
        <w:rPr>
          <w:rFonts w:cs="Arial"/>
          <w:szCs w:val="20"/>
        </w:rPr>
        <w:t xml:space="preserve"> Inputs evaluated in the PSA (I)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2524"/>
        <w:gridCol w:w="1036"/>
        <w:gridCol w:w="1036"/>
        <w:gridCol w:w="1036"/>
        <w:gridCol w:w="1036"/>
        <w:gridCol w:w="1036"/>
      </w:tblGrid>
      <w:tr w:rsidR="00740311" w:rsidRPr="006E665C" w14:paraId="40FE05FA" w14:textId="77777777" w:rsidTr="00740311">
        <w:trPr>
          <w:trHeight w:val="20"/>
          <w:tblHeader/>
        </w:trPr>
        <w:tc>
          <w:tcPr>
            <w:tcW w:w="64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A50A5F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42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2FC688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Input</w:t>
            </w:r>
          </w:p>
        </w:tc>
        <w:tc>
          <w:tcPr>
            <w:tcW w:w="586" w:type="pct"/>
            <w:tcBorders>
              <w:top w:val="single" w:sz="12" w:space="0" w:color="000000"/>
              <w:bottom w:val="single" w:sz="12" w:space="0" w:color="000000"/>
            </w:tcBorders>
          </w:tcPr>
          <w:p w14:paraId="28439F19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586" w:type="pct"/>
            <w:tcBorders>
              <w:top w:val="single" w:sz="12" w:space="0" w:color="000000"/>
              <w:bottom w:val="single" w:sz="12" w:space="0" w:color="000000"/>
            </w:tcBorders>
          </w:tcPr>
          <w:p w14:paraId="453B4C9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Estimated SE</w:t>
            </w:r>
          </w:p>
        </w:tc>
        <w:tc>
          <w:tcPr>
            <w:tcW w:w="586" w:type="pct"/>
            <w:tcBorders>
              <w:top w:val="single" w:sz="12" w:space="0" w:color="000000"/>
              <w:bottom w:val="single" w:sz="12" w:space="0" w:color="000000"/>
            </w:tcBorders>
          </w:tcPr>
          <w:p w14:paraId="0EF50FE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Alpha</w:t>
            </w:r>
          </w:p>
        </w:tc>
        <w:tc>
          <w:tcPr>
            <w:tcW w:w="586" w:type="pct"/>
            <w:tcBorders>
              <w:top w:val="single" w:sz="12" w:space="0" w:color="000000"/>
              <w:bottom w:val="single" w:sz="12" w:space="0" w:color="000000"/>
            </w:tcBorders>
          </w:tcPr>
          <w:p w14:paraId="6A70A1E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Beta</w:t>
            </w:r>
          </w:p>
        </w:tc>
        <w:tc>
          <w:tcPr>
            <w:tcW w:w="586" w:type="pct"/>
            <w:tcBorders>
              <w:top w:val="single" w:sz="12" w:space="0" w:color="000000"/>
              <w:bottom w:val="single" w:sz="12" w:space="0" w:color="000000"/>
            </w:tcBorders>
          </w:tcPr>
          <w:p w14:paraId="7DFF2A13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Distribution</w:t>
            </w:r>
          </w:p>
        </w:tc>
      </w:tr>
      <w:tr w:rsidR="00740311" w:rsidRPr="006E665C" w14:paraId="5AD62257" w14:textId="77777777" w:rsidTr="00740311">
        <w:trPr>
          <w:trHeight w:val="20"/>
        </w:trPr>
        <w:tc>
          <w:tcPr>
            <w:tcW w:w="642" w:type="pct"/>
            <w:vMerge w:val="restart"/>
            <w:tcBorders>
              <w:top w:val="single" w:sz="12" w:space="0" w:color="000000"/>
              <w:right w:val="nil"/>
            </w:tcBorders>
            <w:shd w:val="clear" w:color="auto" w:fill="auto"/>
          </w:tcPr>
          <w:p w14:paraId="6C38110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General</w:t>
            </w:r>
          </w:p>
        </w:tc>
        <w:tc>
          <w:tcPr>
            <w:tcW w:w="142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DF1FEC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Mean age (years)</w:t>
            </w:r>
          </w:p>
        </w:tc>
        <w:tc>
          <w:tcPr>
            <w:tcW w:w="586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7C7EBD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65</w:t>
            </w:r>
          </w:p>
        </w:tc>
        <w:tc>
          <w:tcPr>
            <w:tcW w:w="586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AF5EE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96.04</w:t>
            </w:r>
          </w:p>
        </w:tc>
        <w:tc>
          <w:tcPr>
            <w:tcW w:w="586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1D804C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586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73B353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586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75FF7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Normal</w:t>
            </w:r>
          </w:p>
        </w:tc>
      </w:tr>
      <w:tr w:rsidR="00740311" w:rsidRPr="006E665C" w14:paraId="7CE700B6" w14:textId="77777777" w:rsidTr="00740311">
        <w:trPr>
          <w:trHeight w:val="20"/>
        </w:trPr>
        <w:tc>
          <w:tcPr>
            <w:tcW w:w="642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3F0409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EACAA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Female (%)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D54C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90.7%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AA75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0.18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2AC4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1.43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7899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0.15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73A5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Beta</w:t>
            </w:r>
          </w:p>
        </w:tc>
      </w:tr>
      <w:tr w:rsidR="00740311" w:rsidRPr="006E665C" w14:paraId="726EADC7" w14:textId="77777777" w:rsidTr="00740311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5133AC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Utility in the general population, female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C2DD7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Age: 60-64 years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679F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0.865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1D5D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6770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20,467.79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0DED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1F13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496ECDA4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1B0DA85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03E5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Age: 65-69 years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263770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0.846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CDB0E7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AC6651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17,303.73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820F1E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2EC2C5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A15C591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3AD3EEF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319C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Age: 70-74 years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13819D6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0.793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E810AE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78B40F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11,285.46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4490F7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1E21A3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72D59473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70492DF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5DC0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Age: 75-79 years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E86333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0.770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D685DF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7E9860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12,124.73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4C878D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19D09AF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4A2C00E9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06ACEBC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CF4D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Age: 80-84 years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1AA095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0.663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33526A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918723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5,575.11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79E18B0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C9E90F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27C47D9C" w14:textId="77777777" w:rsidTr="00740311">
        <w:trPr>
          <w:trHeight w:val="20"/>
        </w:trPr>
        <w:tc>
          <w:tcPr>
            <w:tcW w:w="642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52BD8C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2897A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Age: ≥85 years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F769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0.511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5D8F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198E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3,218.22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4BF7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1624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F820427" w14:textId="77777777" w:rsidTr="00740311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813A38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Utility in the general population, male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74AA4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Age: 60-64 years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4A5B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0.922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6C52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681A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21,394.52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8894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7700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57EA9BB0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79E621C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BF3A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Age: 65-69 years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BAEB4B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0.923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857BE0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1921DB7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25,810.27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2EC9A8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9F0048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7C01466D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5E63975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0B2E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Age: 70-74 years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ECB1AE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0.897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0D426D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5E23FE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14,912.90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3BA2CD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85690E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19D1BE62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57F7CE5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4AEE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Age: 75-79 years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26A6F46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0.846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DFB633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019431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8,009.84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42F9F9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720A8D0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27CD4D62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1E8171E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C26A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Age: 80-84 years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7264A0A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0.777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1974E0E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3E569B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4,340.48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315833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B57F13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73D31ABE" w14:textId="77777777" w:rsidTr="00740311">
        <w:trPr>
          <w:trHeight w:val="20"/>
        </w:trPr>
        <w:tc>
          <w:tcPr>
            <w:tcW w:w="642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A1E6BF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0A18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Age: ≥85 years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14D6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0.673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312F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BE14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2,016.25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D4BB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D66F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68921D00" w14:textId="77777777" w:rsidTr="00740311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4B5DA2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E665C">
              <w:rPr>
                <w:rFonts w:cs="Arial"/>
                <w:sz w:val="18"/>
                <w:szCs w:val="18"/>
              </w:rPr>
              <w:t>Disutilities</w:t>
            </w:r>
            <w:proofErr w:type="spellEnd"/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7E7F4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Treatment with bisphosphonates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6A03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-0.006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D1F6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- 0.00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A2F1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E926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3409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55BFE8E7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486F66A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23D2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Hip fracture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AB1FB1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-0.170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78FB1C2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- 0.03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473690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A91AE6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71DD66D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163BD6BA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3E56BDC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C8A8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Vertebral fracture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7C1A950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-0.230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22D4651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- 0.05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9380AA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5FCE7C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254B1F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2A7E427A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10A9656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4E7D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Forearm fracture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A5F8D8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-0.060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EC667F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- 0.01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2C9021D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06FE3A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F7DDC6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D803288" w14:textId="77777777" w:rsidTr="00740311">
        <w:trPr>
          <w:trHeight w:val="20"/>
        </w:trPr>
        <w:tc>
          <w:tcPr>
            <w:tcW w:w="642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8C905F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748D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Humerus fracture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27E6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-0.090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9146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- 0.02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FC5F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25.00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9C6A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6EA8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02D99C5" w14:textId="77777777" w:rsidTr="00740311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A1F5E0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Clinical parameters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67FFF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Proportion of patients initiating osteoporosis treatment after fragility fracture (SOC)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3D8F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13.7%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81A1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0.03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E607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21.44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7DB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135.04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BBB4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Beta</w:t>
            </w:r>
          </w:p>
        </w:tc>
      </w:tr>
      <w:tr w:rsidR="00740311" w:rsidRPr="006E665C" w14:paraId="00A7D5AD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6070ECC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7D8A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Proportion of patients initiating osteoporosis after fragility fracture (FLS) treatment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47F09A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55.1%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78A34CF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0.11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2BCBDFF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10.68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75BF0E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8.71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2D35B68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Beta</w:t>
            </w:r>
          </w:p>
        </w:tc>
      </w:tr>
      <w:tr w:rsidR="00740311" w:rsidRPr="006E665C" w14:paraId="3304C4BF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41BCFAA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8CA5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Relative increase in persistence due to FLS (4 years)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2A7193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3.33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1F80046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0.58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D3531E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33.23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CC7CF3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0.10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2864831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A27F924" w14:textId="77777777" w:rsidTr="00740311">
        <w:trPr>
          <w:trHeight w:val="472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58FC953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8520" w14:textId="1CA128BC" w:rsidR="00DD3459" w:rsidRPr="006E665C" w:rsidRDefault="00612A27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10-year risk of subsequent fractures in osteoporotic patients without treatment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85E046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27.9%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9DBACE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0.06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B85BAD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17.74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345DB38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45.74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9BD31B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Beta</w:t>
            </w:r>
          </w:p>
        </w:tc>
      </w:tr>
      <w:tr w:rsidR="00740311" w:rsidRPr="006E665C" w14:paraId="69129085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2A8DA98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C8206" w14:textId="6501ED54" w:rsidR="00DD3459" w:rsidRPr="006E665C" w:rsidRDefault="00612A27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10-year risk of subsequent fractures in osteoporotic patients with treatment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004D09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11.1%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3C2CB0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0.02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2F2CE4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22.11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77DFC59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176.89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EAB34B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Beta</w:t>
            </w:r>
          </w:p>
        </w:tc>
      </w:tr>
      <w:tr w:rsidR="00740311" w:rsidRPr="006E665C" w14:paraId="49A6F63C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083F2D1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0841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Increased SMR due to hip fracture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60C973C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6.28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2B6B5CF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2.88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0D9D74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4.74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0259CE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1.32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E024F3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5D85829E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2541272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8B8D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Increase in SMR due to vertebral fracture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B282BF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2.01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F2B28A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0.66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15C34F8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9.41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00CFDFF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0.21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1CFD75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757EC6B9" w14:textId="77777777" w:rsidTr="00740311">
        <w:trPr>
          <w:trHeight w:val="20"/>
        </w:trPr>
        <w:tc>
          <w:tcPr>
            <w:tcW w:w="642" w:type="pct"/>
            <w:vMerge/>
            <w:tcBorders>
              <w:right w:val="nil"/>
            </w:tcBorders>
            <w:shd w:val="clear" w:color="auto" w:fill="auto"/>
          </w:tcPr>
          <w:p w14:paraId="65F0D46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1F1B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Increased SMR due to forearm fracture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27332C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2.01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86FDDB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0.66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698FAF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9.41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45E08E8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0.21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</w:tcPr>
          <w:p w14:paraId="52C89EB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5CC3502A" w14:textId="77777777" w:rsidTr="00740311">
        <w:trPr>
          <w:trHeight w:val="20"/>
        </w:trPr>
        <w:tc>
          <w:tcPr>
            <w:tcW w:w="642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B9A900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4613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Increase in SMR due to humerus fracture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3554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2.01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C334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0.66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80F7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9.41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759C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 0.21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BC43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</w:tbl>
    <w:p w14:paraId="4BE74189" w14:textId="77777777" w:rsidR="00DD3459" w:rsidRPr="006E665C" w:rsidRDefault="00DD3459" w:rsidP="00DD3459">
      <w:pPr>
        <w:spacing w:line="240" w:lineRule="auto"/>
        <w:mirrorIndents/>
        <w:jc w:val="left"/>
        <w:rPr>
          <w:rFonts w:cs="Arial"/>
          <w:sz w:val="18"/>
          <w:szCs w:val="18"/>
        </w:rPr>
      </w:pPr>
      <w:r w:rsidRPr="006E665C">
        <w:rPr>
          <w:rFonts w:cs="Arial"/>
          <w:b/>
          <w:bCs/>
          <w:sz w:val="18"/>
          <w:szCs w:val="18"/>
        </w:rPr>
        <w:t>Abbreviations:</w:t>
      </w:r>
      <w:r w:rsidRPr="006E665C">
        <w:rPr>
          <w:rFonts w:cs="Arial"/>
          <w:sz w:val="18"/>
          <w:szCs w:val="18"/>
        </w:rPr>
        <w:t xml:space="preserve"> FLS, Fracture Liaison Service; SMR, standardized mortality ratio; SE; standard error; SOC, Standard of care.</w:t>
      </w:r>
    </w:p>
    <w:p w14:paraId="01C9FC4A" w14:textId="77777777" w:rsidR="00DD3459" w:rsidRPr="006E665C" w:rsidRDefault="00DD3459" w:rsidP="00DD3459">
      <w:pPr>
        <w:spacing w:line="240" w:lineRule="auto"/>
        <w:jc w:val="left"/>
      </w:pPr>
      <w:r w:rsidRPr="006E665C">
        <w:br w:type="page"/>
      </w:r>
    </w:p>
    <w:p w14:paraId="3CE05C5A" w14:textId="77777777" w:rsidR="00DD3459" w:rsidRPr="006E665C" w:rsidRDefault="00DD3459" w:rsidP="00DD3459">
      <w:pPr>
        <w:rPr>
          <w:rFonts w:cs="Arial"/>
          <w:szCs w:val="20"/>
        </w:rPr>
      </w:pPr>
      <w:r w:rsidRPr="006E665C">
        <w:rPr>
          <w:rFonts w:cs="Arial"/>
          <w:b/>
          <w:szCs w:val="20"/>
        </w:rPr>
        <w:lastRenderedPageBreak/>
        <w:t>Table</w:t>
      </w:r>
      <w:r w:rsidRPr="006E665C">
        <w:rPr>
          <w:rFonts w:cs="Arial"/>
          <w:szCs w:val="20"/>
        </w:rPr>
        <w:t xml:space="preserve"> </w:t>
      </w:r>
      <w:r w:rsidRPr="006E665C">
        <w:rPr>
          <w:rFonts w:cs="Arial"/>
          <w:b/>
          <w:szCs w:val="20"/>
        </w:rPr>
        <w:t>S6.</w:t>
      </w:r>
      <w:r w:rsidRPr="006E665C">
        <w:rPr>
          <w:rFonts w:cs="Arial"/>
          <w:szCs w:val="20"/>
        </w:rPr>
        <w:t xml:space="preserve"> Inputs evaluated in the PSA (II)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997"/>
        <w:gridCol w:w="2565"/>
        <w:gridCol w:w="1010"/>
        <w:gridCol w:w="1077"/>
        <w:gridCol w:w="970"/>
        <w:gridCol w:w="992"/>
        <w:gridCol w:w="1227"/>
      </w:tblGrid>
      <w:tr w:rsidR="00740311" w:rsidRPr="006E665C" w14:paraId="693F0702" w14:textId="77777777" w:rsidTr="00740311">
        <w:trPr>
          <w:trHeight w:val="20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643CEC1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4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25F755D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Input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2653EA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6E1DD7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Estimated SE</w:t>
            </w:r>
          </w:p>
        </w:tc>
        <w:tc>
          <w:tcPr>
            <w:tcW w:w="54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B6ED0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Alpha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56F3C2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Beta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D248C8" w14:textId="77777777" w:rsidR="00DD3459" w:rsidRPr="006E665C" w:rsidRDefault="00DD3459" w:rsidP="00873025">
            <w:pPr>
              <w:spacing w:line="240" w:lineRule="auto"/>
              <w:mirrorIndents/>
              <w:jc w:val="left"/>
              <w:rPr>
                <w:rFonts w:cs="Arial"/>
                <w:szCs w:val="20"/>
              </w:rPr>
            </w:pPr>
            <w:r w:rsidRPr="006E665C">
              <w:rPr>
                <w:rFonts w:cs="Arial"/>
                <w:b/>
                <w:bCs/>
                <w:sz w:val="18"/>
                <w:szCs w:val="18"/>
              </w:rPr>
              <w:t>Distribution</w:t>
            </w:r>
          </w:p>
        </w:tc>
      </w:tr>
      <w:tr w:rsidR="00740311" w:rsidRPr="006E665C" w14:paraId="1DC25E89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 w:val="restart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31FCB63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Unit costs</w:t>
            </w:r>
          </w:p>
        </w:tc>
        <w:tc>
          <w:tcPr>
            <w:tcW w:w="145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E7115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>Cost of hospitalization for hip fracture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90A9F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€9,028.64 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D4680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1,805.73 </w:t>
            </w:r>
          </w:p>
        </w:tc>
        <w:tc>
          <w:tcPr>
            <w:tcW w:w="54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A6C5F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25.00 </w:t>
            </w:r>
          </w:p>
        </w:tc>
        <w:tc>
          <w:tcPr>
            <w:tcW w:w="56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050871" w14:textId="1B142AAB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361.15 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21B8F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>Gamma</w:t>
            </w:r>
          </w:p>
        </w:tc>
      </w:tr>
      <w:tr w:rsidR="00740311" w:rsidRPr="006E665C" w14:paraId="0287FAF6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4B1703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B65B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Cost of hospitalization for vertebral fracture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29E9247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5,671.99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7029026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1,134.40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704D4DE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60B385B1" w14:textId="6FB5A9AD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226.88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21CB63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73DEC002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5B356B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21F1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Cost of hospitalization for forearm fracture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1E3FB52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5,041.30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0D16A14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1,008.26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38359BB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7BA2EE60" w14:textId="273B3D99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201.65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49FDC9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1C2909B1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378F22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FA67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Cost of hospitalization for humerus fracture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31D17E8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5,366.84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4CEF67A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1,073.37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1767E8A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25.00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0856167C" w14:textId="26B6D1DA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214.67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9A93A2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C43A3F0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D659A1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69AC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Emergency consultation, without hospitalization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5CFBFC4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173.20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4A0A677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34.64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0C2F3B9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0B0E962F" w14:textId="4E9D65AC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6.93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9A439A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199676FC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9F50ED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5A7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Bone densitometry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6165A96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87.82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14215E3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17.56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5F273BF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7F354FF8" w14:textId="07524A49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3.51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B49CEF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22DAF3FC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C5F686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175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Specialist consultation, initial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3D2ADE4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>114.21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309DB93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22.84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2DD8072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5397C454" w14:textId="7AF87AFA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4.57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00539DD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B04B5B4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4CECAD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8561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Specialist consultation, successive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0E1CD01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86.12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02669F6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17.22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35FDDEA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67528068" w14:textId="2992CC52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3.44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315164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5538308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EBB834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8CA5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Nursing consultation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786702E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29.79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22E76AE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5.96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22FDEEA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02B83284" w14:textId="7FB5373C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1.19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F76A2E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452B4F8A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6AD0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9180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Nursing telephone consultation, first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5CDB6B4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13.71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68AF7F7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2.74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2FBA286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13AC393B" w14:textId="6614E3A5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0.55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11C490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45E5372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997367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BBE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Nursing telephone consultation, successive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2861DDF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7.00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4D8C1E4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1.40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137328D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43F2BB23" w14:textId="4A6E0BAE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0.28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202114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ED02AD1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1B4172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90BB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Basic blood test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4B73F99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5.96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3B3B354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1.19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6978B93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57656E0E" w14:textId="7AC2EAC6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0.24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93C067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4BE93B73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30760E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C601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Complete biochemical panel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24A04A9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85.60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34599D8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17.12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6CFE143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6A5B8F8C" w14:textId="22B5A298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3.42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59EE5F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16A06F8D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4D9A9B3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28C0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Panel liver function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77023DE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19.99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2C0DDFE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4.00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2B54374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58D970C3" w14:textId="2D2B7404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0.80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8C7DE1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157809A4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3E4417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0A33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serum calcium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417229C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1.92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53BA9FD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0.38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399323C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5CD01189" w14:textId="770E8C46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53D8DD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24FD59D6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39168E7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3C29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serum phosphorus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5B2E165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2.20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121CEE5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0.44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7AF133E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126242FA" w14:textId="04285CEF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0.09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EB01AB4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460AF0EF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66C368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372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serum alkaline phosphatase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4BD0D58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2.20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259BEB5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0.44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69A03FE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43C0257C" w14:textId="1B81E7E9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0.09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D6AD21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5C88E0EE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CC9D13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C4DB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vitamin D 25-OH in serum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36EEA02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51.10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7B81D75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10.22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3F3038F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38074E40" w14:textId="61AA9A21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2.04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0B51CF4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061542BB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A29EF0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33D28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thyrotropin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2E0DCCB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20.78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6272A61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4.16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635AFA5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34423BE9" w14:textId="68E7BE93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0.83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C0139D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5471465F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8ADAE0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99E2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parathyroid hormone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3834275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34.42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43D5F5C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6.88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024347A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6A1FF85A" w14:textId="1D86FE66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1.38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787811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44259F9C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8A588A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71AF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calcium in urine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71537D4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3.25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2AFAFCE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0.65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79C5864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29BD59DD" w14:textId="5EDA3F3B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0.13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02D47B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3C967B12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268F2D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A2EA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phosphorus in urine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361B934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2.49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5AED0A5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0.50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52B3854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4C0BBE91" w14:textId="75B8B2C4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0.10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99AA41A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59D843A4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C44A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339E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of free testosterone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3B3013A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>€</w:t>
            </w:r>
            <w:r w:rsidRPr="006E665C">
              <w:rPr>
                <w:rFonts w:cs="Arial"/>
                <w:sz w:val="18"/>
                <w:szCs w:val="18"/>
              </w:rPr>
              <w:t xml:space="preserve">20.02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3E6DC56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4.00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1439F56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0E89329D" w14:textId="49AEFE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0.80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067669C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4F338E07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8A7C3A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A4FD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Det. luteinizing hormone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21A5A0F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15.75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6A1D87A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3.15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09EA4D5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7CA6C2FF" w14:textId="5964FF69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0.63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493A52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1324A14B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7DC799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2320F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follicle-stimulating hormone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10B741D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15.97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6166A20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3.19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3962280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05A76832" w14:textId="12A7335E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0.64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0255081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617930ED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C7789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2C9F1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globular sedimentation rate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</w:tcPr>
          <w:p w14:paraId="2159F01B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1.37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</w:tcPr>
          <w:p w14:paraId="125CEF3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0.27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1251B553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63A5E84C" w14:textId="336A56EB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0.05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ECD9FD2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  <w:tr w:rsidR="00740311" w:rsidRPr="006E665C" w14:paraId="27ECFD6B" w14:textId="77777777" w:rsidTr="00740311">
        <w:tblPrEx>
          <w:tblCellMar>
            <w:left w:w="85" w:type="dxa"/>
            <w:right w:w="85" w:type="dxa"/>
          </w:tblCellMar>
        </w:tblPrEx>
        <w:trPr>
          <w:trHeight w:val="20"/>
        </w:trPr>
        <w:tc>
          <w:tcPr>
            <w:tcW w:w="564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156D4D6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2FB5F5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Det. C-reactive protein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47C40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Cs w:val="20"/>
                <w:lang w:eastAsia="es-ES"/>
              </w:rPr>
              <w:t xml:space="preserve">€ </w:t>
            </w:r>
            <w:r w:rsidRPr="006E665C">
              <w:rPr>
                <w:rFonts w:cs="Arial"/>
                <w:sz w:val="18"/>
                <w:szCs w:val="18"/>
              </w:rPr>
              <w:t xml:space="preserve">79.56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F9F8E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15.91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8F19D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25.00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9E483" w14:textId="119550F0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 xml:space="preserve">3.18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02C37" w14:textId="77777777" w:rsidR="00DD3459" w:rsidRPr="006E665C" w:rsidRDefault="00DD3459" w:rsidP="00873025">
            <w:pPr>
              <w:spacing w:line="240" w:lineRule="auto"/>
              <w:ind w:right="28"/>
              <w:mirrorIndents/>
              <w:jc w:val="left"/>
              <w:rPr>
                <w:rFonts w:cs="Arial"/>
                <w:sz w:val="18"/>
                <w:szCs w:val="18"/>
              </w:rPr>
            </w:pPr>
            <w:r w:rsidRPr="006E665C">
              <w:rPr>
                <w:rFonts w:cs="Arial"/>
                <w:sz w:val="18"/>
                <w:szCs w:val="18"/>
              </w:rPr>
              <w:t>Gamma</w:t>
            </w:r>
          </w:p>
        </w:tc>
      </w:tr>
    </w:tbl>
    <w:p w14:paraId="49C2B7A1" w14:textId="77777777" w:rsidR="00DD3459" w:rsidRPr="006E665C" w:rsidRDefault="00DD3459" w:rsidP="00DD3459">
      <w:pPr>
        <w:spacing w:line="240" w:lineRule="auto"/>
        <w:mirrorIndents/>
        <w:jc w:val="left"/>
        <w:rPr>
          <w:rFonts w:cs="Arial"/>
          <w:sz w:val="18"/>
          <w:szCs w:val="18"/>
        </w:rPr>
      </w:pPr>
      <w:r w:rsidRPr="006E665C">
        <w:rPr>
          <w:rFonts w:cs="Arial"/>
          <w:b/>
          <w:bCs/>
          <w:sz w:val="18"/>
          <w:szCs w:val="18"/>
        </w:rPr>
        <w:t>Abbreviations:</w:t>
      </w:r>
      <w:r w:rsidRPr="006E665C">
        <w:rPr>
          <w:rFonts w:cs="Arial"/>
          <w:sz w:val="18"/>
          <w:szCs w:val="18"/>
        </w:rPr>
        <w:t xml:space="preserve"> Det., Determination; SE; standard error</w:t>
      </w:r>
    </w:p>
    <w:p w14:paraId="3D0962A2" w14:textId="22E8F803" w:rsidR="00344F09" w:rsidRPr="006E665C" w:rsidRDefault="00344F09" w:rsidP="00344F09">
      <w:pPr>
        <w:pStyle w:val="Ttulo1"/>
      </w:pPr>
      <w:r w:rsidRPr="006E665C">
        <w:br w:type="column"/>
      </w:r>
      <w:r w:rsidRPr="006E665C">
        <w:lastRenderedPageBreak/>
        <w:t>References</w:t>
      </w:r>
    </w:p>
    <w:sdt>
      <w:sdtPr>
        <w:tag w:val="MENDELEY_BIBLIOGRAPHY"/>
        <w:id w:val="-1302766925"/>
        <w:placeholder>
          <w:docPart w:val="DefaultPlaceholder_-1854013440"/>
        </w:placeholder>
      </w:sdtPr>
      <w:sdtEndPr/>
      <w:sdtContent>
        <w:p w14:paraId="264DAC25" w14:textId="77777777" w:rsidR="00344F09" w:rsidRPr="006E665C" w:rsidRDefault="00344F09">
          <w:pPr>
            <w:autoSpaceDE w:val="0"/>
            <w:autoSpaceDN w:val="0"/>
            <w:ind w:hanging="640"/>
            <w:divId w:val="113212028"/>
            <w:rPr>
              <w:sz w:val="24"/>
            </w:rPr>
          </w:pPr>
          <w:r w:rsidRPr="006E665C">
            <w:t xml:space="preserve">1. </w:t>
          </w:r>
          <w:r w:rsidRPr="006E665C">
            <w:tab/>
            <w:t>WHO. Norwegian Institute of Public Health. ATC/DDD Index. Published 2022. Accessed March 3, 2022. https://www.whocc.no/atc_ddd_index/</w:t>
          </w:r>
        </w:p>
        <w:p w14:paraId="0CD1C94F" w14:textId="77777777" w:rsidR="00344F09" w:rsidRPr="006E665C" w:rsidRDefault="00344F09">
          <w:pPr>
            <w:autoSpaceDE w:val="0"/>
            <w:autoSpaceDN w:val="0"/>
            <w:ind w:hanging="640"/>
            <w:divId w:val="435100525"/>
          </w:pPr>
          <w:r w:rsidRPr="006E665C">
            <w:t xml:space="preserve">2. </w:t>
          </w:r>
          <w:r w:rsidRPr="006E665C">
            <w:tab/>
            <w:t xml:space="preserve">CGCOF. </w:t>
          </w:r>
          <w:proofErr w:type="spellStart"/>
          <w:r w:rsidRPr="006E665C">
            <w:t>Consejo</w:t>
          </w:r>
          <w:proofErr w:type="spellEnd"/>
          <w:r w:rsidRPr="006E665C">
            <w:t xml:space="preserve"> General de Colegios </w:t>
          </w:r>
          <w:proofErr w:type="spellStart"/>
          <w:r w:rsidRPr="006E665C">
            <w:t>Oficiales</w:t>
          </w:r>
          <w:proofErr w:type="spellEnd"/>
          <w:r w:rsidRPr="006E665C">
            <w:t xml:space="preserve"> de </w:t>
          </w:r>
          <w:proofErr w:type="spellStart"/>
          <w:r w:rsidRPr="006E665C">
            <w:t>Farmacéuticos</w:t>
          </w:r>
          <w:proofErr w:type="spellEnd"/>
          <w:r w:rsidRPr="006E665C">
            <w:t xml:space="preserve">. Portal </w:t>
          </w:r>
          <w:proofErr w:type="spellStart"/>
          <w:r w:rsidRPr="006E665C">
            <w:t>Farma</w:t>
          </w:r>
          <w:proofErr w:type="spellEnd"/>
          <w:r w:rsidRPr="006E665C">
            <w:t xml:space="preserve">. </w:t>
          </w:r>
          <w:proofErr w:type="spellStart"/>
          <w:r w:rsidRPr="006E665C">
            <w:t>BotPLUS</w:t>
          </w:r>
          <w:proofErr w:type="spellEnd"/>
          <w:r w:rsidRPr="006E665C">
            <w:t>. Published 2021. Accessed February 5, 2021. https://botplusweb.portalfarma.com/botplus.aspx</w:t>
          </w:r>
        </w:p>
        <w:p w14:paraId="67248236" w14:textId="77777777" w:rsidR="00344F09" w:rsidRPr="006E665C" w:rsidRDefault="00344F09">
          <w:pPr>
            <w:autoSpaceDE w:val="0"/>
            <w:autoSpaceDN w:val="0"/>
            <w:ind w:hanging="640"/>
            <w:divId w:val="598021846"/>
          </w:pPr>
          <w:r w:rsidRPr="006E665C">
            <w:t xml:space="preserve">3. </w:t>
          </w:r>
          <w:r w:rsidRPr="006E665C">
            <w:tab/>
            <w:t xml:space="preserve">MSCBS. </w:t>
          </w:r>
          <w:proofErr w:type="spellStart"/>
          <w:r w:rsidRPr="006E665C">
            <w:t>Ministerio</w:t>
          </w:r>
          <w:proofErr w:type="spellEnd"/>
          <w:r w:rsidRPr="006E665C">
            <w:t xml:space="preserve"> de </w:t>
          </w:r>
          <w:proofErr w:type="spellStart"/>
          <w:r w:rsidRPr="006E665C">
            <w:t>Sanidad</w:t>
          </w:r>
          <w:proofErr w:type="spellEnd"/>
          <w:r w:rsidRPr="006E665C">
            <w:t xml:space="preserve">, </w:t>
          </w:r>
          <w:proofErr w:type="spellStart"/>
          <w:r w:rsidRPr="006E665C">
            <w:t>Consumo</w:t>
          </w:r>
          <w:proofErr w:type="spellEnd"/>
          <w:r w:rsidRPr="006E665C">
            <w:t xml:space="preserve"> y </w:t>
          </w:r>
          <w:proofErr w:type="spellStart"/>
          <w:r w:rsidRPr="006E665C">
            <w:t>Bienestar</w:t>
          </w:r>
          <w:proofErr w:type="spellEnd"/>
          <w:r w:rsidRPr="006E665C">
            <w:t xml:space="preserve"> Social. </w:t>
          </w:r>
          <w:proofErr w:type="spellStart"/>
          <w:r w:rsidRPr="006E665C">
            <w:t>Listado</w:t>
          </w:r>
          <w:proofErr w:type="spellEnd"/>
          <w:r w:rsidRPr="006E665C">
            <w:t xml:space="preserve"> de </w:t>
          </w:r>
          <w:proofErr w:type="spellStart"/>
          <w:r w:rsidRPr="006E665C">
            <w:t>medicamentos</w:t>
          </w:r>
          <w:proofErr w:type="spellEnd"/>
          <w:r w:rsidRPr="006E665C">
            <w:t xml:space="preserve"> </w:t>
          </w:r>
          <w:proofErr w:type="spellStart"/>
          <w:r w:rsidRPr="006E665C">
            <w:t>afectos</w:t>
          </w:r>
          <w:proofErr w:type="spellEnd"/>
          <w:r w:rsidRPr="006E665C">
            <w:t xml:space="preserve"> por las </w:t>
          </w:r>
          <w:proofErr w:type="spellStart"/>
          <w:r w:rsidRPr="006E665C">
            <w:t>deducciones</w:t>
          </w:r>
          <w:proofErr w:type="spellEnd"/>
          <w:r w:rsidRPr="006E665C">
            <w:t xml:space="preserve"> del Real </w:t>
          </w:r>
          <w:proofErr w:type="spellStart"/>
          <w:r w:rsidRPr="006E665C">
            <w:t>Decreto</w:t>
          </w:r>
          <w:proofErr w:type="spellEnd"/>
          <w:r w:rsidRPr="006E665C">
            <w:t xml:space="preserve"> Ley 8/2010. Mayo 2020. Published 2020. Accessed February 5, 2021. https://www.mscbs.gob.es/profesionales/farmacia/pdf/DeduccionesMayo2020.pdf</w:t>
          </w:r>
        </w:p>
        <w:p w14:paraId="7EA43964" w14:textId="77777777" w:rsidR="00344F09" w:rsidRPr="006E665C" w:rsidRDefault="00344F09">
          <w:pPr>
            <w:autoSpaceDE w:val="0"/>
            <w:autoSpaceDN w:val="0"/>
            <w:ind w:hanging="640"/>
            <w:divId w:val="338510957"/>
          </w:pPr>
          <w:r w:rsidRPr="006E665C">
            <w:t xml:space="preserve">4. </w:t>
          </w:r>
          <w:r w:rsidRPr="006E665C">
            <w:tab/>
          </w:r>
          <w:proofErr w:type="spellStart"/>
          <w:r w:rsidRPr="006E665C">
            <w:t>Gisbert</w:t>
          </w:r>
          <w:proofErr w:type="spellEnd"/>
          <w:r w:rsidRPr="006E665C">
            <w:t xml:space="preserve"> R, Brosa M. Spanish Health Costs and cost-effectiveness ratios Database: </w:t>
          </w:r>
          <w:proofErr w:type="spellStart"/>
          <w:r w:rsidRPr="006E665C">
            <w:t>eSalud</w:t>
          </w:r>
          <w:proofErr w:type="spellEnd"/>
          <w:r w:rsidRPr="006E665C">
            <w:t xml:space="preserve"> [Internet]. Barcelona: Oblikue Consulting, S.L. Published 2007. Accessed May 13, 2021. http://www.oblikue.com/bddcostes/</w:t>
          </w:r>
        </w:p>
        <w:p w14:paraId="7D3AA11E" w14:textId="77777777" w:rsidR="00344F09" w:rsidRPr="006E665C" w:rsidRDefault="00344F09">
          <w:pPr>
            <w:autoSpaceDE w:val="0"/>
            <w:autoSpaceDN w:val="0"/>
            <w:ind w:hanging="640"/>
            <w:divId w:val="450637945"/>
          </w:pPr>
          <w:r w:rsidRPr="006E665C">
            <w:t xml:space="preserve">5. </w:t>
          </w:r>
          <w:r w:rsidRPr="006E665C">
            <w:tab/>
          </w:r>
          <w:proofErr w:type="spellStart"/>
          <w:r w:rsidRPr="006E665C">
            <w:t>MSCyBS</w:t>
          </w:r>
          <w:proofErr w:type="spellEnd"/>
          <w:r w:rsidRPr="006E665C">
            <w:t xml:space="preserve"> (</w:t>
          </w:r>
          <w:proofErr w:type="spellStart"/>
          <w:r w:rsidRPr="006E665C">
            <w:t>Ministerio</w:t>
          </w:r>
          <w:proofErr w:type="spellEnd"/>
          <w:r w:rsidRPr="006E665C">
            <w:t xml:space="preserve"> de </w:t>
          </w:r>
          <w:proofErr w:type="spellStart"/>
          <w:r w:rsidRPr="006E665C">
            <w:t>Sanidad</w:t>
          </w:r>
          <w:proofErr w:type="spellEnd"/>
          <w:r w:rsidRPr="006E665C">
            <w:t xml:space="preserve"> </w:t>
          </w:r>
          <w:proofErr w:type="spellStart"/>
          <w:r w:rsidRPr="006E665C">
            <w:t>Consumo</w:t>
          </w:r>
          <w:proofErr w:type="spellEnd"/>
          <w:r w:rsidRPr="006E665C">
            <w:t xml:space="preserve"> y </w:t>
          </w:r>
          <w:proofErr w:type="spellStart"/>
          <w:r w:rsidRPr="006E665C">
            <w:t>Bienestar</w:t>
          </w:r>
          <w:proofErr w:type="spellEnd"/>
          <w:r w:rsidRPr="006E665C">
            <w:t xml:space="preserve"> Social). </w:t>
          </w:r>
          <w:proofErr w:type="spellStart"/>
          <w:r w:rsidRPr="006E665C">
            <w:t>Registro</w:t>
          </w:r>
          <w:proofErr w:type="spellEnd"/>
          <w:r w:rsidRPr="006E665C">
            <w:t xml:space="preserve"> de </w:t>
          </w:r>
          <w:proofErr w:type="spellStart"/>
          <w:r w:rsidRPr="006E665C">
            <w:t>Actividad</w:t>
          </w:r>
          <w:proofErr w:type="spellEnd"/>
          <w:r w:rsidRPr="006E665C">
            <w:t xml:space="preserve"> de </w:t>
          </w:r>
          <w:proofErr w:type="spellStart"/>
          <w:r w:rsidRPr="006E665C">
            <w:t>Atención</w:t>
          </w:r>
          <w:proofErr w:type="spellEnd"/>
          <w:r w:rsidRPr="006E665C">
            <w:t xml:space="preserve"> </w:t>
          </w:r>
          <w:proofErr w:type="spellStart"/>
          <w:r w:rsidRPr="006E665C">
            <w:t>Especializada</w:t>
          </w:r>
          <w:proofErr w:type="spellEnd"/>
          <w:r w:rsidRPr="006E665C">
            <w:t xml:space="preserve"> – RAE-CMBD. Accessed May 13, 2021. https://pestadistico.inteligenciadegestion.mscbs.es/publicoSNS/S/rae-cmbd</w:t>
          </w:r>
        </w:p>
        <w:p w14:paraId="1BDE657F" w14:textId="4D43FC66" w:rsidR="00344F09" w:rsidRPr="006E665C" w:rsidRDefault="00344F09">
          <w:r w:rsidRPr="006E665C">
            <w:t> </w:t>
          </w:r>
        </w:p>
      </w:sdtContent>
    </w:sdt>
    <w:sectPr w:rsidR="00344F09" w:rsidRPr="006E665C" w:rsidSect="00F614B8">
      <w:footerReference w:type="even" r:id="rId11"/>
      <w:footerReference w:type="default" r:id="rId12"/>
      <w:footerReference w:type="first" r:id="rId13"/>
      <w:pgSz w:w="12240" w:h="15840"/>
      <w:pgMar w:top="1701" w:right="1701" w:bottom="1701" w:left="1701" w:header="624" w:footer="68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1BA0" w14:textId="77777777" w:rsidR="00B76F0F" w:rsidRDefault="0010238A">
      <w:pPr>
        <w:spacing w:line="240" w:lineRule="auto"/>
      </w:pPr>
      <w:r>
        <w:separator/>
      </w:r>
    </w:p>
  </w:endnote>
  <w:endnote w:type="continuationSeparator" w:id="0">
    <w:p w14:paraId="1809EEB0" w14:textId="77777777" w:rsidR="00B76F0F" w:rsidRDefault="00102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0A17" w14:textId="77777777" w:rsidR="004E15BF" w:rsidRDefault="00C074EB" w:rsidP="00AC762B">
    <w:pPr>
      <w:pStyle w:val="Piedepgina"/>
      <w:framePr w:wrap="around" w:vAnchor="text" w:hAnchor="margin" w:xAlign="center" w:y="1"/>
      <w:jc w:val="center"/>
      <w:rPr>
        <w:rStyle w:val="Nmerodepgina"/>
        <w:lang w:val="en"/>
      </w:rPr>
    </w:pPr>
    <w:r>
      <w:rPr>
        <w:rStyle w:val="Nmerodepgina"/>
        <w:lang w:val="en"/>
      </w:rPr>
      <w:fldChar w:fldCharType="begin" w:fldLock="1"/>
    </w:r>
    <w:r>
      <w:rPr>
        <w:rStyle w:val="Nmerodepgina"/>
        <w:lang w:val="en"/>
      </w:rPr>
      <w:instrText xml:space="preserve"> DOCPROPERTY bjFooterEvenPageDocProperty \* MERGEFORMAT </w:instrText>
    </w:r>
    <w:r>
      <w:rPr>
        <w:rStyle w:val="Nmerodepgina"/>
        <w:lang w:val="en"/>
      </w:rPr>
      <w:fldChar w:fldCharType="separate"/>
    </w:r>
    <w:r w:rsidRPr="00AC762B">
      <w:rPr>
        <w:rStyle w:val="Nmerodepgina"/>
        <w:color w:val="7F7F7F"/>
        <w:sz w:val="16"/>
        <w:lang w:val="en"/>
      </w:rPr>
      <w:t>Amgen Proprietary - For Internal Use Only</w:t>
    </w:r>
    <w:r>
      <w:rPr>
        <w:rStyle w:val="Nmerodepgina"/>
        <w:lang w:val="en"/>
      </w:rPr>
      <w:fldChar w:fldCharType="end"/>
    </w:r>
  </w:p>
  <w:p w14:paraId="086FC630" w14:textId="77777777" w:rsidR="004E15BF" w:rsidRDefault="00C074EB" w:rsidP="00502800">
    <w:pPr>
      <w:pStyle w:val="Piedepgina"/>
      <w:framePr w:wrap="around" w:vAnchor="text" w:hAnchor="margin" w:xAlign="center" w:y="1"/>
      <w:jc w:val="center"/>
      <w:rPr>
        <w:rStyle w:val="Nmerodepgina"/>
      </w:rPr>
    </w:pPr>
    <w:r>
      <w:rPr>
        <w:rStyle w:val="Nmerodepgina"/>
        <w:lang w:val="en"/>
      </w:rPr>
      <w:fldChar w:fldCharType="begin"/>
    </w:r>
    <w:r>
      <w:rPr>
        <w:rStyle w:val="Nmerodepgina"/>
        <w:lang w:val="en"/>
      </w:rPr>
      <w:instrText xml:space="preserve">PAGE  </w:instrText>
    </w:r>
    <w:r>
      <w:rPr>
        <w:rStyle w:val="Nmerodepgina"/>
        <w:lang w:val="en"/>
      </w:rPr>
      <w:fldChar w:fldCharType="separate"/>
    </w:r>
    <w:r>
      <w:rPr>
        <w:rStyle w:val="Nmerodepgina"/>
        <w:noProof/>
        <w:lang w:val="en"/>
      </w:rPr>
      <w:t>1</w:t>
    </w:r>
    <w:r>
      <w:rPr>
        <w:rStyle w:val="Nmerodepgina"/>
        <w:lang w:val="en"/>
      </w:rPr>
      <w:fldChar w:fldCharType="end"/>
    </w:r>
  </w:p>
  <w:p w14:paraId="4312CAE5" w14:textId="77777777" w:rsidR="004E15BF" w:rsidRDefault="006E665C" w:rsidP="00AC76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844668"/>
      <w:docPartObj>
        <w:docPartGallery w:val="Page Numbers (Bottom of Page)"/>
        <w:docPartUnique/>
      </w:docPartObj>
    </w:sdtPr>
    <w:sdtEndPr/>
    <w:sdtContent>
      <w:p w14:paraId="3C7AA64D" w14:textId="77777777" w:rsidR="004E15BF" w:rsidRDefault="00C074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84AA479" w14:textId="77777777" w:rsidR="004E15BF" w:rsidRDefault="006E66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18A6" w14:textId="77777777" w:rsidR="004E15BF" w:rsidRDefault="00C074EB" w:rsidP="00AC762B">
    <w:pPr>
      <w:pStyle w:val="Piedepgina"/>
      <w:jc w:val="center"/>
      <w:rPr>
        <w:lang w:val="en"/>
      </w:rPr>
    </w:pPr>
    <w:r>
      <w:rPr>
        <w:lang w:val="en"/>
      </w:rPr>
      <w:fldChar w:fldCharType="begin" w:fldLock="1"/>
    </w:r>
    <w:r>
      <w:rPr>
        <w:lang w:val="en"/>
      </w:rPr>
      <w:instrText xml:space="preserve"> DOCPROPERTY bjFooterFirstPageDocProperty \* MERGEFORMAT </w:instrText>
    </w:r>
    <w:r>
      <w:rPr>
        <w:lang w:val="en"/>
      </w:rPr>
      <w:fldChar w:fldCharType="separate"/>
    </w:r>
    <w:r w:rsidRPr="00AC762B">
      <w:rPr>
        <w:rFonts w:cs="Arial"/>
        <w:color w:val="7F7F7F"/>
        <w:sz w:val="16"/>
        <w:lang w:val="en"/>
      </w:rPr>
      <w:t>Amgen Proprietary - For Internal Use Only</w:t>
    </w:r>
    <w:r>
      <w:rPr>
        <w:lang w:val="en"/>
      </w:rPr>
      <w:fldChar w:fldCharType="end"/>
    </w:r>
  </w:p>
  <w:p w14:paraId="1DED70A6" w14:textId="77777777" w:rsidR="004E15BF" w:rsidRDefault="00C074EB">
    <w:pPr>
      <w:pStyle w:val="Piedepgina"/>
      <w:jc w:val="right"/>
    </w:pPr>
    <w:r>
      <w:rPr>
        <w:lang w:val="en"/>
      </w:rPr>
      <w:fldChar w:fldCharType="begin"/>
    </w:r>
    <w:r>
      <w:rPr>
        <w:lang w:val="en"/>
      </w:rPr>
      <w:instrText>PAGE   \* MERGEFORMAT</w:instrText>
    </w:r>
    <w:r>
      <w:rPr>
        <w:lang w:val="en"/>
      </w:rPr>
      <w:fldChar w:fldCharType="separate"/>
    </w:r>
    <w:r w:rsidRPr="00834432">
      <w:rPr>
        <w:noProof/>
        <w:lang w:val="en"/>
      </w:rPr>
      <w:t>1</w:t>
    </w:r>
    <w:r>
      <w:rPr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DA46" w14:textId="77777777" w:rsidR="00B76F0F" w:rsidRDefault="0010238A">
      <w:pPr>
        <w:spacing w:line="240" w:lineRule="auto"/>
      </w:pPr>
      <w:r>
        <w:separator/>
      </w:r>
    </w:p>
  </w:footnote>
  <w:footnote w:type="continuationSeparator" w:id="0">
    <w:p w14:paraId="5E33AD81" w14:textId="77777777" w:rsidR="00B76F0F" w:rsidRDefault="001023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64"/>
    <w:multiLevelType w:val="hybridMultilevel"/>
    <w:tmpl w:val="FA5AD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18C4"/>
    <w:multiLevelType w:val="hybridMultilevel"/>
    <w:tmpl w:val="46F236C0"/>
    <w:lvl w:ilvl="0" w:tplc="8B20D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5C0"/>
    <w:multiLevelType w:val="hybridMultilevel"/>
    <w:tmpl w:val="8F5C2AF4"/>
    <w:lvl w:ilvl="0" w:tplc="DE66A2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CACF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2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C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20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6A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E3B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3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00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2145"/>
    <w:multiLevelType w:val="hybridMultilevel"/>
    <w:tmpl w:val="3136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8FC"/>
    <w:multiLevelType w:val="hybridMultilevel"/>
    <w:tmpl w:val="1476689E"/>
    <w:lvl w:ilvl="0" w:tplc="BE3452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4534"/>
    <w:multiLevelType w:val="hybridMultilevel"/>
    <w:tmpl w:val="4C861DE8"/>
    <w:lvl w:ilvl="0" w:tplc="28E2C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A6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2B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48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C7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23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4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CE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2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7EE1"/>
    <w:multiLevelType w:val="hybridMultilevel"/>
    <w:tmpl w:val="C8BA0ACA"/>
    <w:lvl w:ilvl="0" w:tplc="ADA417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9A8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E9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5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EA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F2F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C1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E9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126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274C"/>
    <w:multiLevelType w:val="hybridMultilevel"/>
    <w:tmpl w:val="69AA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47E0A"/>
    <w:multiLevelType w:val="hybridMultilevel"/>
    <w:tmpl w:val="4252CF7E"/>
    <w:lvl w:ilvl="0" w:tplc="97FE7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67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EB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20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64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8D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A9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6D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E6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8141F"/>
    <w:multiLevelType w:val="multilevel"/>
    <w:tmpl w:val="177C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331DF"/>
    <w:multiLevelType w:val="hybridMultilevel"/>
    <w:tmpl w:val="501EE19C"/>
    <w:lvl w:ilvl="0" w:tplc="94B2E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F46C1"/>
    <w:multiLevelType w:val="multilevel"/>
    <w:tmpl w:val="5D52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1629B"/>
    <w:multiLevelType w:val="hybridMultilevel"/>
    <w:tmpl w:val="DC6CDBBC"/>
    <w:lvl w:ilvl="0" w:tplc="E9A2B4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03DA"/>
    <w:multiLevelType w:val="hybridMultilevel"/>
    <w:tmpl w:val="6DC0CA80"/>
    <w:lvl w:ilvl="0" w:tplc="DF684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D68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C0D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09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8FC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465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AF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00E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C3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6603A"/>
    <w:multiLevelType w:val="hybridMultilevel"/>
    <w:tmpl w:val="A1A4AB26"/>
    <w:lvl w:ilvl="0" w:tplc="9948D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01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547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4D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0D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23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67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65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433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B17E0"/>
    <w:multiLevelType w:val="hybridMultilevel"/>
    <w:tmpl w:val="4866F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87621"/>
    <w:multiLevelType w:val="hybridMultilevel"/>
    <w:tmpl w:val="BC12B52E"/>
    <w:lvl w:ilvl="0" w:tplc="5EB018F2">
      <w:start w:val="23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41A004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CAAA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AC1B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EC5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940A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91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246D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A6F4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FA2E4E"/>
    <w:multiLevelType w:val="hybridMultilevel"/>
    <w:tmpl w:val="A6C665AA"/>
    <w:lvl w:ilvl="0" w:tplc="DBCA92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88907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07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81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EB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261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E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61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E5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F322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165E70"/>
    <w:multiLevelType w:val="hybridMultilevel"/>
    <w:tmpl w:val="51082DEE"/>
    <w:lvl w:ilvl="0" w:tplc="58901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2E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70A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6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0E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CD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A6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2E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A8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CD4FB4"/>
    <w:multiLevelType w:val="hybridMultilevel"/>
    <w:tmpl w:val="05109A44"/>
    <w:lvl w:ilvl="0" w:tplc="99DE64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96842"/>
    <w:multiLevelType w:val="hybridMultilevel"/>
    <w:tmpl w:val="37B8F894"/>
    <w:lvl w:ilvl="0" w:tplc="57DE3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986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D29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4A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89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8A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CA7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ED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80F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F6787"/>
    <w:multiLevelType w:val="hybridMultilevel"/>
    <w:tmpl w:val="985C7AEE"/>
    <w:lvl w:ilvl="0" w:tplc="195A0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CC3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AC0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0F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4F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863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E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83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A9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27B74"/>
    <w:multiLevelType w:val="hybridMultilevel"/>
    <w:tmpl w:val="0084FE4A"/>
    <w:lvl w:ilvl="0" w:tplc="5AB07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02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34F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C9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25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6A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04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66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90B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D1C73"/>
    <w:multiLevelType w:val="hybridMultilevel"/>
    <w:tmpl w:val="340E6EA6"/>
    <w:lvl w:ilvl="0" w:tplc="622C88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92BE4"/>
    <w:multiLevelType w:val="hybridMultilevel"/>
    <w:tmpl w:val="B122D402"/>
    <w:lvl w:ilvl="0" w:tplc="D88C1E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C463E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AC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21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8D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47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5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4E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C4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0783D"/>
    <w:multiLevelType w:val="hybridMultilevel"/>
    <w:tmpl w:val="194E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17B13"/>
    <w:multiLevelType w:val="hybridMultilevel"/>
    <w:tmpl w:val="1EB2DCC8"/>
    <w:lvl w:ilvl="0" w:tplc="7DD84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FC325C" w:tentative="1">
      <w:start w:val="1"/>
      <w:numFmt w:val="lowerLetter"/>
      <w:lvlText w:val="%2."/>
      <w:lvlJc w:val="left"/>
      <w:pPr>
        <w:ind w:left="1440" w:hanging="360"/>
      </w:pPr>
    </w:lvl>
    <w:lvl w:ilvl="2" w:tplc="4118ABFA" w:tentative="1">
      <w:start w:val="1"/>
      <w:numFmt w:val="lowerRoman"/>
      <w:lvlText w:val="%3."/>
      <w:lvlJc w:val="right"/>
      <w:pPr>
        <w:ind w:left="2160" w:hanging="180"/>
      </w:pPr>
    </w:lvl>
    <w:lvl w:ilvl="3" w:tplc="4608F330" w:tentative="1">
      <w:start w:val="1"/>
      <w:numFmt w:val="decimal"/>
      <w:lvlText w:val="%4."/>
      <w:lvlJc w:val="left"/>
      <w:pPr>
        <w:ind w:left="2880" w:hanging="360"/>
      </w:pPr>
    </w:lvl>
    <w:lvl w:ilvl="4" w:tplc="0876D0CA" w:tentative="1">
      <w:start w:val="1"/>
      <w:numFmt w:val="lowerLetter"/>
      <w:lvlText w:val="%5."/>
      <w:lvlJc w:val="left"/>
      <w:pPr>
        <w:ind w:left="3600" w:hanging="360"/>
      </w:pPr>
    </w:lvl>
    <w:lvl w:ilvl="5" w:tplc="8402A7EA" w:tentative="1">
      <w:start w:val="1"/>
      <w:numFmt w:val="lowerRoman"/>
      <w:lvlText w:val="%6."/>
      <w:lvlJc w:val="right"/>
      <w:pPr>
        <w:ind w:left="4320" w:hanging="180"/>
      </w:pPr>
    </w:lvl>
    <w:lvl w:ilvl="6" w:tplc="3B48BEE6" w:tentative="1">
      <w:start w:val="1"/>
      <w:numFmt w:val="decimal"/>
      <w:lvlText w:val="%7."/>
      <w:lvlJc w:val="left"/>
      <w:pPr>
        <w:ind w:left="5040" w:hanging="360"/>
      </w:pPr>
    </w:lvl>
    <w:lvl w:ilvl="7" w:tplc="156662BA" w:tentative="1">
      <w:start w:val="1"/>
      <w:numFmt w:val="lowerLetter"/>
      <w:lvlText w:val="%8."/>
      <w:lvlJc w:val="left"/>
      <w:pPr>
        <w:ind w:left="5760" w:hanging="360"/>
      </w:pPr>
    </w:lvl>
    <w:lvl w:ilvl="8" w:tplc="0136D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1741E"/>
    <w:multiLevelType w:val="multilevel"/>
    <w:tmpl w:val="01AC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617AF9"/>
    <w:multiLevelType w:val="hybridMultilevel"/>
    <w:tmpl w:val="DF0C7304"/>
    <w:lvl w:ilvl="0" w:tplc="3C96C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C6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E4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8F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C0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66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AB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42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21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D5B65"/>
    <w:multiLevelType w:val="hybridMultilevel"/>
    <w:tmpl w:val="B54486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21476"/>
    <w:multiLevelType w:val="hybridMultilevel"/>
    <w:tmpl w:val="3F6C727A"/>
    <w:lvl w:ilvl="0" w:tplc="8F588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3F2A9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68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8C2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65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27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CA8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CA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DEB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255C05"/>
    <w:multiLevelType w:val="hybridMultilevel"/>
    <w:tmpl w:val="B956D180"/>
    <w:lvl w:ilvl="0" w:tplc="9462E9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60302"/>
    <w:multiLevelType w:val="multilevel"/>
    <w:tmpl w:val="4882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9E0AC6"/>
    <w:multiLevelType w:val="hybridMultilevel"/>
    <w:tmpl w:val="FA5AD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B0E00"/>
    <w:multiLevelType w:val="hybridMultilevel"/>
    <w:tmpl w:val="663219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32"/>
  </w:num>
  <w:num w:numId="4">
    <w:abstractNumId w:val="28"/>
  </w:num>
  <w:num w:numId="5">
    <w:abstractNumId w:val="13"/>
  </w:num>
  <w:num w:numId="6">
    <w:abstractNumId w:val="30"/>
  </w:num>
  <w:num w:numId="7">
    <w:abstractNumId w:val="18"/>
  </w:num>
  <w:num w:numId="8">
    <w:abstractNumId w:val="8"/>
  </w:num>
  <w:num w:numId="9">
    <w:abstractNumId w:val="5"/>
  </w:num>
  <w:num w:numId="10">
    <w:abstractNumId w:val="34"/>
  </w:num>
  <w:num w:numId="11">
    <w:abstractNumId w:val="16"/>
  </w:num>
  <w:num w:numId="12">
    <w:abstractNumId w:val="9"/>
  </w:num>
  <w:num w:numId="13">
    <w:abstractNumId w:val="11"/>
  </w:num>
  <w:num w:numId="14">
    <w:abstractNumId w:val="6"/>
  </w:num>
  <w:num w:numId="15">
    <w:abstractNumId w:val="27"/>
  </w:num>
  <w:num w:numId="16">
    <w:abstractNumId w:val="17"/>
  </w:num>
  <w:num w:numId="17">
    <w:abstractNumId w:val="19"/>
  </w:num>
  <w:num w:numId="18">
    <w:abstractNumId w:val="2"/>
  </w:num>
  <w:num w:numId="19">
    <w:abstractNumId w:val="25"/>
  </w:num>
  <w:num w:numId="20">
    <w:abstractNumId w:val="23"/>
  </w:num>
  <w:num w:numId="21">
    <w:abstractNumId w:val="22"/>
  </w:num>
  <w:num w:numId="22">
    <w:abstractNumId w:val="0"/>
  </w:num>
  <w:num w:numId="23">
    <w:abstractNumId w:val="35"/>
  </w:num>
  <w:num w:numId="24">
    <w:abstractNumId w:val="26"/>
  </w:num>
  <w:num w:numId="25">
    <w:abstractNumId w:val="3"/>
  </w:num>
  <w:num w:numId="26">
    <w:abstractNumId w:val="7"/>
  </w:num>
  <w:num w:numId="2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0"/>
  </w:num>
  <w:num w:numId="29">
    <w:abstractNumId w:val="24"/>
  </w:num>
  <w:num w:numId="30">
    <w:abstractNumId w:val="12"/>
  </w:num>
  <w:num w:numId="31">
    <w:abstractNumId w:val="31"/>
  </w:num>
  <w:num w:numId="32">
    <w:abstractNumId w:val="33"/>
  </w:num>
  <w:num w:numId="33">
    <w:abstractNumId w:val="4"/>
  </w:num>
  <w:num w:numId="34">
    <w:abstractNumId w:val="1"/>
  </w:num>
  <w:num w:numId="35">
    <w:abstractNumId w:val="15"/>
  </w:num>
  <w:num w:numId="36">
    <w:abstractNumId w:val="36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F6"/>
    <w:rsid w:val="0010238A"/>
    <w:rsid w:val="00344F09"/>
    <w:rsid w:val="00612A27"/>
    <w:rsid w:val="006E665C"/>
    <w:rsid w:val="00707BF6"/>
    <w:rsid w:val="00740311"/>
    <w:rsid w:val="00B76F0F"/>
    <w:rsid w:val="00BC56A5"/>
    <w:rsid w:val="00C074EB"/>
    <w:rsid w:val="00DD3459"/>
    <w:rsid w:val="00F5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71029"/>
  <w15:chartTrackingRefBased/>
  <w15:docId w15:val="{BF6CAA80-A545-4E9C-AC35-E8055DF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F6"/>
    <w:pPr>
      <w:spacing w:after="0" w:line="48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Ttulo1">
    <w:name w:val="heading 1"/>
    <w:basedOn w:val="Normal"/>
    <w:next w:val="Normal"/>
    <w:link w:val="Ttulo1Car"/>
    <w:qFormat/>
    <w:rsid w:val="00707B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07BF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07BF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07B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7BF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07BF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707BF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707BF6"/>
    <w:rPr>
      <w:rFonts w:ascii="Arial" w:eastAsia="Times New Roman" w:hAnsi="Arial" w:cs="Times New Roman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707BF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BF6"/>
    <w:rPr>
      <w:rFonts w:ascii="Arial" w:eastAsia="Times New Roman" w:hAnsi="Arial" w:cs="Times New Roman"/>
      <w:sz w:val="20"/>
      <w:szCs w:val="24"/>
    </w:rPr>
  </w:style>
  <w:style w:type="character" w:styleId="Nmerodepgina">
    <w:name w:val="page number"/>
    <w:basedOn w:val="Fuentedeprrafopredeter"/>
    <w:rsid w:val="00707BF6"/>
  </w:style>
  <w:style w:type="character" w:styleId="nfasis">
    <w:name w:val="Emphasis"/>
    <w:qFormat/>
    <w:rsid w:val="00707BF6"/>
    <w:rPr>
      <w:b/>
      <w:bCs/>
    </w:rPr>
  </w:style>
  <w:style w:type="character" w:styleId="Hipervnculo">
    <w:name w:val="Hyperlink"/>
    <w:rsid w:val="00707BF6"/>
    <w:rPr>
      <w:color w:val="0000FF"/>
      <w:u w:val="single"/>
    </w:rPr>
  </w:style>
  <w:style w:type="character" w:styleId="Refdecomentario">
    <w:name w:val="annotation reference"/>
    <w:uiPriority w:val="99"/>
    <w:semiHidden/>
    <w:rsid w:val="00707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07BF6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7BF6"/>
    <w:rPr>
      <w:rFonts w:ascii="Arial" w:eastAsia="Times New Roman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07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07BF6"/>
    <w:rPr>
      <w:rFonts w:ascii="Arial" w:eastAsia="Times New Roman" w:hAnsi="Arial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707B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07BF6"/>
    <w:rPr>
      <w:rFonts w:ascii="Tahoma" w:eastAsia="Times New Roman" w:hAnsi="Tahoma" w:cs="Tahoma"/>
      <w:sz w:val="16"/>
      <w:szCs w:val="16"/>
    </w:rPr>
  </w:style>
  <w:style w:type="character" w:styleId="Hipervnculovisitado">
    <w:name w:val="FollowedHyperlink"/>
    <w:rsid w:val="00707BF6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707BF6"/>
    <w:rPr>
      <w:color w:val="808080"/>
      <w:shd w:val="clear" w:color="auto" w:fill="E6E6E6"/>
    </w:rPr>
  </w:style>
  <w:style w:type="paragraph" w:styleId="Prrafodelista">
    <w:name w:val="List Paragraph"/>
    <w:aliases w:val="Table Legend"/>
    <w:basedOn w:val="Sangradetextonormal"/>
    <w:link w:val="PrrafodelistaCar"/>
    <w:uiPriority w:val="34"/>
    <w:qFormat/>
    <w:rsid w:val="00707BF6"/>
    <w:pPr>
      <w:spacing w:before="240" w:after="240"/>
      <w:ind w:left="0" w:right="28"/>
    </w:pPr>
    <w:rPr>
      <w:rFonts w:eastAsia="SimSun" w:cs="Calibri"/>
      <w:szCs w:val="20"/>
    </w:rPr>
  </w:style>
  <w:style w:type="character" w:customStyle="1" w:styleId="PrrafodelistaCar">
    <w:name w:val="Párrafo de lista Car"/>
    <w:aliases w:val="Table Legend Car"/>
    <w:link w:val="Prrafodelista"/>
    <w:uiPriority w:val="34"/>
    <w:locked/>
    <w:rsid w:val="00707BF6"/>
    <w:rPr>
      <w:rFonts w:ascii="Arial" w:eastAsia="SimSun" w:hAnsi="Arial" w:cs="Calibri"/>
      <w:sz w:val="20"/>
      <w:szCs w:val="20"/>
    </w:rPr>
  </w:style>
  <w:style w:type="character" w:styleId="nfasisintenso">
    <w:name w:val="Intense Emphasis"/>
    <w:uiPriority w:val="21"/>
    <w:qFormat/>
    <w:rsid w:val="00707BF6"/>
    <w:rPr>
      <w:rFonts w:ascii="Calibri" w:hAnsi="Calibri"/>
      <w:i/>
      <w:iCs/>
      <w:color w:val="4F81BD"/>
      <w:sz w:val="22"/>
    </w:rPr>
  </w:style>
  <w:style w:type="paragraph" w:styleId="Sangradetextonormal">
    <w:name w:val="Body Text Indent"/>
    <w:basedOn w:val="Normal"/>
    <w:link w:val="SangradetextonormalCar"/>
    <w:rsid w:val="00707B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07BF6"/>
    <w:rPr>
      <w:rFonts w:ascii="Arial" w:eastAsia="Times New Roman" w:hAnsi="Arial" w:cs="Times New Roman"/>
      <w:sz w:val="20"/>
      <w:szCs w:val="24"/>
    </w:rPr>
  </w:style>
  <w:style w:type="paragraph" w:styleId="Textoindependiente">
    <w:name w:val="Body Text"/>
    <w:basedOn w:val="Normal"/>
    <w:link w:val="TextoindependienteCar"/>
    <w:rsid w:val="00707B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07BF6"/>
    <w:rPr>
      <w:rFonts w:ascii="Arial" w:eastAsia="Times New Roman" w:hAnsi="Arial" w:cs="Times New Roman"/>
      <w:sz w:val="20"/>
      <w:szCs w:val="24"/>
    </w:rPr>
  </w:style>
  <w:style w:type="paragraph" w:styleId="Descripcin">
    <w:name w:val="caption"/>
    <w:aliases w:val="! Q,- H17,B Caption,Bayer Caption,Caption - H17,Caption2,Char,IB Caption,Medical Caption"/>
    <w:basedOn w:val="Normal"/>
    <w:next w:val="Normal"/>
    <w:link w:val="DescripcinCar"/>
    <w:qFormat/>
    <w:rsid w:val="00707BF6"/>
    <w:pPr>
      <w:spacing w:after="200" w:line="240" w:lineRule="auto"/>
      <w:jc w:val="center"/>
    </w:pPr>
    <w:rPr>
      <w:rFonts w:eastAsia="SimSun"/>
      <w:b/>
      <w:bCs/>
      <w:color w:val="4F81BD"/>
      <w:sz w:val="18"/>
      <w:szCs w:val="18"/>
      <w:lang w:eastAsia="x-none"/>
    </w:rPr>
  </w:style>
  <w:style w:type="character" w:customStyle="1" w:styleId="DescripcinCar">
    <w:name w:val="Descripción Car"/>
    <w:aliases w:val="! Q Car,- H17 Car,B Caption Car,Bayer Caption Car,Caption - H17 Car,Caption2 Car,Char Car,IB Caption Car,Medical Caption Car"/>
    <w:link w:val="Descripcin"/>
    <w:rsid w:val="00707BF6"/>
    <w:rPr>
      <w:rFonts w:ascii="Arial" w:eastAsia="SimSun" w:hAnsi="Arial" w:cs="Times New Roman"/>
      <w:b/>
      <w:bCs/>
      <w:color w:val="4F81BD"/>
      <w:sz w:val="18"/>
      <w:szCs w:val="18"/>
      <w:lang w:eastAsia="x-none"/>
    </w:rPr>
  </w:style>
  <w:style w:type="table" w:styleId="Tablaconcuadrcula">
    <w:name w:val="Table Grid"/>
    <w:basedOn w:val="Tablanormal"/>
    <w:uiPriority w:val="39"/>
    <w:rsid w:val="0070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3">
    <w:name w:val="Table List 3"/>
    <w:basedOn w:val="Tablanormal"/>
    <w:rsid w:val="00707BF6"/>
    <w:pPr>
      <w:spacing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comentarioCar2">
    <w:name w:val="Texto comentario Car2"/>
    <w:semiHidden/>
    <w:rsid w:val="00707BF6"/>
    <w:rPr>
      <w:kern w:val="1"/>
      <w:lang w:val="en-US" w:eastAsia="ar-SA"/>
    </w:rPr>
  </w:style>
  <w:style w:type="paragraph" w:styleId="Encabezado">
    <w:name w:val="header"/>
    <w:basedOn w:val="Normal"/>
    <w:link w:val="EncabezadoCar"/>
    <w:rsid w:val="00707B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07BF6"/>
    <w:rPr>
      <w:rFonts w:ascii="Arial" w:eastAsia="Times New Roman" w:hAnsi="Arial" w:cs="Times New Roman"/>
      <w:sz w:val="20"/>
      <w:szCs w:val="24"/>
    </w:rPr>
  </w:style>
  <w:style w:type="table" w:customStyle="1" w:styleId="Sombreadomedio1-nfasis111">
    <w:name w:val="Sombreado medio 1 - Énfasis 111"/>
    <w:basedOn w:val="Tablanormal"/>
    <w:uiPriority w:val="63"/>
    <w:rsid w:val="0070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-HERONplain7">
    <w:name w:val="Table - HERON plain7"/>
    <w:basedOn w:val="Tablanormal"/>
    <w:uiPriority w:val="99"/>
    <w:qFormat/>
    <w:rsid w:val="00707BF6"/>
    <w:pPr>
      <w:spacing w:after="0" w:line="240" w:lineRule="auto"/>
    </w:pPr>
    <w:rPr>
      <w:rFonts w:ascii="Tahoma" w:eastAsia="Tahoma" w:hAnsi="Tahoma" w:cs="Times New Roman"/>
      <w:sz w:val="16"/>
      <w:szCs w:val="20"/>
      <w:lang w:eastAsia="en-GB"/>
    </w:rPr>
    <w:tblPr>
      <w:tblStyleRowBandSize w:val="1"/>
      <w:tblBorders>
        <w:top w:val="single" w:sz="8" w:space="0" w:color="002C77"/>
        <w:left w:val="single" w:sz="8" w:space="0" w:color="002C77"/>
        <w:bottom w:val="single" w:sz="8" w:space="0" w:color="002C77"/>
        <w:right w:val="single" w:sz="8" w:space="0" w:color="002C77"/>
        <w:insideH w:val="single" w:sz="8" w:space="0" w:color="002C77"/>
        <w:insideV w:val="single" w:sz="8" w:space="0" w:color="002C77"/>
      </w:tblBorders>
    </w:tblPr>
    <w:tblStylePr w:type="firstRow">
      <w:rPr>
        <w:rFonts w:ascii="Times New Roman" w:hAnsi="Times New Roman" w:cs="Times New Roman" w:hint="default"/>
        <w:b w:val="0"/>
        <w:sz w:val="16"/>
        <w:szCs w:val="16"/>
      </w:rPr>
      <w:tblPr/>
      <w:tcPr>
        <w:shd w:val="clear" w:color="auto" w:fill="C7C7C7"/>
      </w:tcPr>
    </w:tblStylePr>
    <w:tblStylePr w:type="lastRow">
      <w:rPr>
        <w:rFonts w:ascii="Times New Roman" w:hAnsi="Times New Roman" w:cs="Times New Roman" w:hint="default"/>
        <w:sz w:val="16"/>
        <w:szCs w:val="16"/>
      </w:rPr>
      <w:tblPr/>
      <w:tcPr>
        <w:shd w:val="clear" w:color="auto" w:fill="DEDEDE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2Horz">
      <w:rPr>
        <w:rFonts w:ascii="Times New Roman" w:hAnsi="Times New Roman" w:cs="Times New Roman" w:hint="default"/>
        <w:sz w:val="16"/>
        <w:szCs w:val="16"/>
      </w:rPr>
    </w:tblStylePr>
  </w:style>
  <w:style w:type="table" w:customStyle="1" w:styleId="Table-HERONplain71">
    <w:name w:val="Table - HERON plain71"/>
    <w:basedOn w:val="Tablanormal"/>
    <w:uiPriority w:val="99"/>
    <w:qFormat/>
    <w:rsid w:val="00707BF6"/>
    <w:pPr>
      <w:spacing w:after="0" w:line="240" w:lineRule="auto"/>
    </w:pPr>
    <w:rPr>
      <w:rFonts w:ascii="Tahoma" w:eastAsia="Tahoma" w:hAnsi="Tahoma" w:cs="Times New Roman"/>
      <w:sz w:val="16"/>
      <w:szCs w:val="20"/>
      <w:lang w:eastAsia="en-GB"/>
    </w:rPr>
    <w:tblPr>
      <w:tblStyleRowBandSize w:val="1"/>
      <w:tblBorders>
        <w:top w:val="single" w:sz="8" w:space="0" w:color="002C77"/>
        <w:left w:val="single" w:sz="8" w:space="0" w:color="002C77"/>
        <w:bottom w:val="single" w:sz="8" w:space="0" w:color="002C77"/>
        <w:right w:val="single" w:sz="8" w:space="0" w:color="002C77"/>
        <w:insideH w:val="single" w:sz="8" w:space="0" w:color="002C77"/>
        <w:insideV w:val="single" w:sz="8" w:space="0" w:color="002C77"/>
      </w:tblBorders>
    </w:tblPr>
    <w:tblStylePr w:type="firstRow">
      <w:rPr>
        <w:rFonts w:ascii="Times New Roman" w:hAnsi="Times New Roman" w:cs="Times New Roman" w:hint="default"/>
        <w:b w:val="0"/>
        <w:sz w:val="16"/>
        <w:szCs w:val="16"/>
      </w:rPr>
      <w:tblPr/>
      <w:tcPr>
        <w:shd w:val="clear" w:color="auto" w:fill="C7C7C7"/>
      </w:tcPr>
    </w:tblStylePr>
    <w:tblStylePr w:type="lastRow">
      <w:rPr>
        <w:rFonts w:ascii="Times New Roman" w:hAnsi="Times New Roman" w:cs="Times New Roman" w:hint="default"/>
        <w:sz w:val="16"/>
        <w:szCs w:val="16"/>
      </w:rPr>
      <w:tblPr/>
      <w:tcPr>
        <w:shd w:val="clear" w:color="auto" w:fill="DEDEDE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2Horz">
      <w:rPr>
        <w:rFonts w:ascii="Times New Roman" w:hAnsi="Times New Roman" w:cs="Times New Roman" w:hint="default"/>
        <w:sz w:val="16"/>
        <w:szCs w:val="16"/>
      </w:rPr>
    </w:tblStylePr>
  </w:style>
  <w:style w:type="paragraph" w:customStyle="1" w:styleId="TableHeading-H56">
    <w:name w:val="Table Heading - H56"/>
    <w:basedOn w:val="Ttulo4"/>
    <w:qFormat/>
    <w:rsid w:val="00707BF6"/>
    <w:pPr>
      <w:tabs>
        <w:tab w:val="left" w:pos="1440"/>
      </w:tabs>
      <w:spacing w:before="80" w:after="40" w:line="240" w:lineRule="auto"/>
      <w:jc w:val="left"/>
      <w:outlineLvl w:val="9"/>
    </w:pPr>
    <w:rPr>
      <w:rFonts w:eastAsia="Arial Unicode MS"/>
      <w:bCs w:val="0"/>
      <w:color w:val="1F497D"/>
      <w:sz w:val="16"/>
      <w:szCs w:val="44"/>
    </w:rPr>
  </w:style>
  <w:style w:type="paragraph" w:customStyle="1" w:styleId="TableBodyText-H54">
    <w:name w:val="Table Body Text - H54"/>
    <w:basedOn w:val="Textoindependiente"/>
    <w:link w:val="TableBodyText-H54Char"/>
    <w:qFormat/>
    <w:rsid w:val="00707BF6"/>
    <w:pPr>
      <w:keepLines/>
      <w:widowControl w:val="0"/>
      <w:spacing w:before="40" w:after="40" w:line="240" w:lineRule="auto"/>
      <w:jc w:val="left"/>
    </w:pPr>
    <w:rPr>
      <w:color w:val="000000"/>
      <w:sz w:val="16"/>
      <w:szCs w:val="20"/>
    </w:rPr>
  </w:style>
  <w:style w:type="character" w:customStyle="1" w:styleId="TableBodyText-H54Char">
    <w:name w:val="Table Body Text - H54 Char"/>
    <w:link w:val="TableBodyText-H54"/>
    <w:rsid w:val="00707BF6"/>
    <w:rPr>
      <w:rFonts w:ascii="Arial" w:eastAsia="Times New Roman" w:hAnsi="Arial" w:cs="Times New Roman"/>
      <w:color w:val="000000"/>
      <w:sz w:val="16"/>
      <w:szCs w:val="20"/>
    </w:rPr>
  </w:style>
  <w:style w:type="paragraph" w:styleId="NormalWeb">
    <w:name w:val="Normal (Web)"/>
    <w:basedOn w:val="Normal"/>
    <w:uiPriority w:val="99"/>
    <w:unhideWhenUsed/>
    <w:rsid w:val="00707B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707BF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Textoennegrita">
    <w:name w:val="Strong"/>
    <w:uiPriority w:val="22"/>
    <w:qFormat/>
    <w:rsid w:val="00707BF6"/>
    <w:rPr>
      <w:b/>
      <w:bCs/>
    </w:rPr>
  </w:style>
  <w:style w:type="paragraph" w:styleId="Textonotapie">
    <w:name w:val="footnote text"/>
    <w:basedOn w:val="Normal"/>
    <w:link w:val="TextonotapieCar"/>
    <w:rsid w:val="00707BF6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707BF6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rsid w:val="00707BF6"/>
    <w:rPr>
      <w:vertAlign w:val="superscript"/>
    </w:rPr>
  </w:style>
  <w:style w:type="paragraph" w:customStyle="1" w:styleId="Tablatextogeneral">
    <w:name w:val="Tabla: texto general"/>
    <w:basedOn w:val="Normal"/>
    <w:qFormat/>
    <w:rsid w:val="00707BF6"/>
    <w:pPr>
      <w:spacing w:line="312" w:lineRule="auto"/>
      <w:ind w:right="28"/>
    </w:pPr>
    <w:rPr>
      <w:rFonts w:cs="Calibri"/>
      <w:color w:val="808080"/>
      <w:szCs w:val="20"/>
      <w:lang w:val="es-ES"/>
    </w:rPr>
  </w:style>
  <w:style w:type="table" w:styleId="Tabladelista3-nfasis2">
    <w:name w:val="List Table 3 Accent 2"/>
    <w:basedOn w:val="Tablanormal"/>
    <w:uiPriority w:val="48"/>
    <w:rsid w:val="00707B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81BFC3"/>
        <w:left w:val="single" w:sz="4" w:space="0" w:color="81BFC3"/>
        <w:bottom w:val="single" w:sz="4" w:space="0" w:color="81BFC3"/>
        <w:right w:val="single" w:sz="4" w:space="0" w:color="81BFC3"/>
      </w:tblBorders>
    </w:tblPr>
    <w:tblStylePr w:type="firstRow">
      <w:rPr>
        <w:b/>
        <w:bCs/>
        <w:color w:val="FFFFFF"/>
      </w:rPr>
      <w:tblPr/>
      <w:tcPr>
        <w:shd w:val="clear" w:color="auto" w:fill="81BFC3"/>
      </w:tcPr>
    </w:tblStylePr>
    <w:tblStylePr w:type="lastRow">
      <w:rPr>
        <w:b/>
        <w:bCs/>
      </w:rPr>
      <w:tblPr/>
      <w:tcPr>
        <w:tcBorders>
          <w:top w:val="double" w:sz="4" w:space="0" w:color="81BFC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1BFC3"/>
          <w:right w:val="single" w:sz="4" w:space="0" w:color="81BFC3"/>
        </w:tcBorders>
      </w:tcPr>
    </w:tblStylePr>
    <w:tblStylePr w:type="band1Horz">
      <w:tblPr/>
      <w:tcPr>
        <w:tcBorders>
          <w:top w:val="single" w:sz="4" w:space="0" w:color="81BFC3"/>
          <w:bottom w:val="single" w:sz="4" w:space="0" w:color="81BFC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BFC3"/>
          <w:left w:val="nil"/>
        </w:tcBorders>
      </w:tcPr>
    </w:tblStylePr>
    <w:tblStylePr w:type="swCell">
      <w:tblPr/>
      <w:tcPr>
        <w:tcBorders>
          <w:top w:val="double" w:sz="4" w:space="0" w:color="81BFC3"/>
          <w:right w:val="nil"/>
        </w:tcBorders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BF6"/>
    <w:pPr>
      <w:pBdr>
        <w:top w:val="single" w:sz="4" w:space="10" w:color="173760"/>
        <w:bottom w:val="single" w:sz="4" w:space="10" w:color="173760"/>
      </w:pBdr>
      <w:spacing w:before="360" w:after="360"/>
      <w:ind w:left="864" w:right="864"/>
      <w:jc w:val="center"/>
    </w:pPr>
    <w:rPr>
      <w:rFonts w:cs="Calibri"/>
      <w:i/>
      <w:iCs/>
      <w:color w:val="4E9EA4"/>
      <w:szCs w:val="20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BF6"/>
    <w:rPr>
      <w:rFonts w:ascii="Arial" w:eastAsia="Times New Roman" w:hAnsi="Arial" w:cs="Calibri"/>
      <w:i/>
      <w:iCs/>
      <w:color w:val="4E9EA4"/>
      <w:sz w:val="20"/>
      <w:szCs w:val="20"/>
      <w:lang w:val="es-ES"/>
    </w:rPr>
  </w:style>
  <w:style w:type="character" w:styleId="Nmerodelnea">
    <w:name w:val="line number"/>
    <w:basedOn w:val="Fuentedeprrafopredeter"/>
    <w:rsid w:val="00707BF6"/>
  </w:style>
  <w:style w:type="character" w:styleId="Textodelmarcadordeposicin">
    <w:name w:val="Placeholder Text"/>
    <w:basedOn w:val="Fuentedeprrafopredeter"/>
    <w:uiPriority w:val="99"/>
    <w:semiHidden/>
    <w:rsid w:val="00707BF6"/>
    <w:rPr>
      <w:color w:val="808080"/>
    </w:rPr>
  </w:style>
  <w:style w:type="paragraph" w:styleId="Revisin">
    <w:name w:val="Revision"/>
    <w:hidden/>
    <w:uiPriority w:val="99"/>
    <w:semiHidden/>
    <w:rsid w:val="00707B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1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B794F488B0476989438066AED9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B5FE-2335-4C4F-8224-93E1D6E97ABB}"/>
      </w:docPartPr>
      <w:docPartBody>
        <w:p w:rsidR="0043114E" w:rsidRDefault="00345EA4" w:rsidP="00345EA4">
          <w:pPr>
            <w:pStyle w:val="5FB794F488B0476989438066AED98321"/>
          </w:pPr>
          <w:r w:rsidRPr="00DE40DD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B69B-7C6C-4573-98A0-17542F754C92}"/>
      </w:docPartPr>
      <w:docPartBody>
        <w:p w:rsidR="00A30732" w:rsidRDefault="00DE5734">
          <w:r w:rsidRPr="005D00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4"/>
    <w:rsid w:val="00345EA4"/>
    <w:rsid w:val="0043114E"/>
    <w:rsid w:val="00A30732"/>
    <w:rsid w:val="00D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5734"/>
    <w:rPr>
      <w:color w:val="808080"/>
    </w:rPr>
  </w:style>
  <w:style w:type="paragraph" w:customStyle="1" w:styleId="5FB794F488B0476989438066AED98321">
    <w:name w:val="5FB794F488B0476989438066AED98321"/>
    <w:rsid w:val="00345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D56E10-D874-449A-9BF8-04C792E37308}">
  <we:reference id="wa104382081" version="1.35.0.0" store="es-ES" storeType="OMEX"/>
  <we:alternateReferences>
    <we:reference id="WA104382081" version="1.35.0.0" store="es-ES" storeType="OMEX"/>
  </we:alternateReferences>
  <we:properties>
    <we:property name="MENDELEY_CITATIONS" value="[{&quot;citationID&quot;:&quot;MENDELEY_CITATION_dc14de4a-bbf3-4a3f-9b71-02f0ca14858d&quot;,&quot;properties&quot;:{&quot;noteIndex&quot;:0},&quot;isEdited&quot;:false,&quot;manualOverride&quot;:{&quot;isManuallyOverridden&quot;:false,&quot;citeprocText&quot;:&quot;&lt;sup&gt;1&lt;/sup&gt;&quot;,&quot;manualOverrideText&quot;:&quot;&quot;},&quot;citationItems&quot;:[{&quot;id&quot;:&quot;00d2c631-dba4-3a59-a4a4-988527ad58a5&quot;,&quot;itemData&quot;:{&quot;type&quot;:&quot;webpage&quot;,&quot;id&quot;:&quot;00d2c631-dba4-3a59-a4a4-988527ad58a5&quot;,&quot;title&quot;:&quot;ATC/DDD Index&quot;,&quot;groupId&quot;:&quot;b702ae2b-d942-398a-be16-f764d323200b&quot;,&quot;author&quot;:[{&quot;family&quot;:&quot;WHO. Norwegian Institute of Public Health&quot;,&quot;given&quot;:&quot;&quot;,&quot;parse-names&quot;:false,&quot;dropping-particle&quot;:&quot;&quot;,&quot;non-dropping-particle&quot;:&quot;&quot;}],&quot;accessed&quot;:{&quot;date-parts&quot;:[[2022,3,3]]},&quot;URL&quot;:&quot;https://www.whocc.no/atc_ddd_index/&quot;,&quot;issued&quot;:{&quot;date-parts&quot;:[[2022]]}},&quot;isTemporary&quot;:false}],&quot;citationTag&quot;:&quot;MENDELEY_CITATION_v3_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&quot;},{&quot;citationID&quot;:&quot;MENDELEY_CITATION_9a40ec2e-5e6e-4eff-97b2-6570cfb85edc&quot;,&quot;citationItems&quot;:[{&quot;id&quot;:&quot;85bc8a7c-4e00-3f90-bf82-9eeae48e61ef&quot;,&quot;itemData&quot;:{&quot;URL&quot;:&quot;https://botplusweb.portalfarma.com/botplus.aspx&quot;,&quot;accessed&quot;:{&quot;date-parts&quot;:[[&quot;2021&quot;,&quot;2&quot;,&quot;5&quot;]]},&quot;author&quot;:[{&quot;dropping-particle&quot;:&quot;&quot;,&quot;family&quot;:&quot;CGCOF&quot;,&quot;given&quot;:&quot;&quot;,&quot;non-dropping-particle&quot;:&quot;&quot;,&quot;parse-names&quot;:false,&quot;suffix&quot;:&quot;&quot;}],&quot;id&quot;:&quot;85bc8a7c-4e00-3f90-bf82-9eeae48e61ef&quot;,&quot;issued&quot;:{&quot;date-parts&quot;:[[&quot;2021&quot;]]},&quot;title&quot;:&quot;Consejo General de Colegios Oficiales de Farmacéuticos. Portal Farma. BotPLUS.&quot;,&quot;type&quot;:&quot;webpage&quot;},&quot;uris&quot;:[&quot;http://www.mendeley.com/documents/?uuid=bf4f9295-3017-402c-a297-86d15396fbd8&quot;],&quot;isTemporary&quot;:false,&quot;legacyDesktopId&quot;:&quot;bf4f9295-3017-402c-a297-86d15396fbd8&quot;}],&quot;properties&quot;:{&quot;noteIndex&quot;:0},&quot;isEdited&quot;:false,&quot;manualOverride&quot;:{&quot;citeprocText&quot;:&quot;&lt;sup&gt;2&lt;/sup&gt;&quot;,&quot;isManuallyOverridden&quot;:false,&quot;manualOverrideText&quot;:&quot;&quot;},&quot;citationTag&quot;:&quot;MENDELEY_CITATION_v3_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&quot;},{&quot;citationID&quot;:&quot;MENDELEY_CITATION_4060446e-c261-443f-b263-0185522aba99&quot;,&quot;citationItems&quot;:[{&quot;id&quot;:&quot;71109301-bcd3-3b55-8ac7-5a67f555341a&quot;,&quot;itemData&quot;:{&quot;URL&quot;:&quot;https://www.mscbs.gob.es/profesionales/farmacia/pdf/DeduccionesMayo2020.pdf&quot;,&quot;accessed&quot;:{&quot;date-parts&quot;:[[&quot;2021&quot;,&quot;2&quot;,&quot;5&quot;]]},&quot;author&quot;:[{&quot;dropping-particle&quot;:&quot;&quot;,&quot;family&quot;:&quot;MSCBS&quot;,&quot;given&quot;:&quot;&quot;,&quot;non-dropping-particle&quot;:&quot;&quot;,&quot;parse-names&quot;:false,&quot;suffix&quot;:&quot;&quot;}],&quot;id&quot;:&quot;71109301-bcd3-3b55-8ac7-5a67f555341a&quot;,&quot;issued&quot;:{&quot;date-parts&quot;:[[&quot;2020&quot;]]},&quot;title&quot;:&quot;Ministerio de Sanidad, Consumo y Bienestar Social. Listado de medicamentos afectos por las deducciones del Real Decreto Ley 8/2010. Mayo 2020.&quot;,&quot;type&quot;:&quot;webpage&quot;},&quot;uris&quot;:[&quot;http://www.mendeley.com/documents/?uuid=f89c4071-b741-4ed3-bf3f-071913a69b15&quot;],&quot;isTemporary&quot;:false,&quot;legacyDesktopId&quot;:&quot;f89c4071-b741-4ed3-bf3f-071913a69b15&quot;}],&quot;properties&quot;:{&quot;noteIndex&quot;:0},&quot;isEdited&quot;:false,&quot;manualOverride&quot;:{&quot;citeprocText&quot;:&quot;&lt;sup&gt;3&lt;/sup&gt;&quot;,&quot;isManuallyOverridden&quot;:false,&quot;manualOverrideText&quot;:&quot;&quot;},&quot;citationTag&quot;:&quot;MENDELEY_CITATION_v3_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&quot;},{&quot;citationID&quot;:&quot;MENDELEY_CITATION_b50d0c06-73bf-4c0d-b26f-0809e68209b1&quot;,&quot;properties&quot;:{&quot;noteIndex&quot;:0},&quot;isEdited&quot;:false,&quot;manualOverride&quot;:{&quot;isManuallyOverridden&quot;:false,&quot;citeprocText&quot;:&quot;&lt;sup&gt;4&lt;/sup&gt;&quot;,&quot;manualOverrideText&quot;:&quot;&quot;},&quot;citationItems&quot;:[{&quot;id&quot;:&quot;21d0bfb9-bae8-3068-b519-e0cca4e1973c&quot;,&quot;itemData&quot;:{&quot;type&quot;:&quot;webpage&quot;,&quot;id&quot;:&quot;21d0bfb9-bae8-3068-b519-e0cca4e1973c&quot;,&quot;title&quot;:&quot;Spanish Health Costs and cost-effectiveness ratios Database: eSalud [Internet]. Barcelona: Oblikue Consulting, S.L.&quot;,&quot;groupId&quot;:&quot;b702ae2b-d942-398a-be16-f764d323200b&quot;,&quot;author&quot;:[{&quot;family&quot;:&quot;Gisbert&quot;,&quot;given&quot;:&quot;R&quot;,&quot;parse-names&quot;:false,&quot;dropping-particle&quot;:&quot;&quot;,&quot;non-dropping-particle&quot;:&quot;&quot;},{&quot;family&quot;:&quot;Brosa&quot;,&quot;given&quot;:&quot;M&quot;,&quot;parse-names&quot;:false,&quot;dropping-particle&quot;:&quot;&quot;,&quot;non-dropping-particle&quot;:&quot;&quot;}],&quot;accessed&quot;:{&quot;date-parts&quot;:[[2021,5,13]]},&quot;URL&quot;:&quot;http://www.oblikue.com/bddcostes/&quot;,&quot;issued&quot;:{&quot;date-parts&quot;:[[2007]]}},&quot;isTemporary&quot;:false}],&quot;citationTag&quot;:&quot;MENDELEY_CITATION_v3_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&quot;},{&quot;citationID&quot;:&quot;MENDELEY_CITATION_69b5d0e1-e3e6-4663-bc53-b6313ba650ab&quot;,&quot;properties&quot;:{&quot;noteIndex&quot;:0},&quot;isEdited&quot;:false,&quot;manualOverride&quot;:{&quot;isManuallyOverridden&quot;:false,&quot;citeprocText&quot;:&quot;&lt;sup&gt;4,5&lt;/sup&gt;&quot;,&quot;manualOverrideText&quot;:&quot;&quot;},&quot;citationItems&quot;:[{&quot;id&quot;:&quot;21d0bfb9-bae8-3068-b519-e0cca4e1973c&quot;,&quot;itemData&quot;:{&quot;type&quot;:&quot;webpage&quot;,&quot;id&quot;:&quot;21d0bfb9-bae8-3068-b519-e0cca4e1973c&quot;,&quot;title&quot;:&quot;Spanish Health Costs and cost-effectiveness ratios Database: eSalud [Internet]. Barcelona: Oblikue Consulting, S.L.&quot;,&quot;groupId&quot;:&quot;b702ae2b-d942-398a-be16-f764d323200b&quot;,&quot;author&quot;:[{&quot;family&quot;:&quot;Gisbert&quot;,&quot;given&quot;:&quot;R&quot;,&quot;parse-names&quot;:false,&quot;dropping-particle&quot;:&quot;&quot;,&quot;non-dropping-particle&quot;:&quot;&quot;},{&quot;family&quot;:&quot;Brosa&quot;,&quot;given&quot;:&quot;M&quot;,&quot;parse-names&quot;:false,&quot;dropping-particle&quot;:&quot;&quot;,&quot;non-dropping-particle&quot;:&quot;&quot;}],&quot;accessed&quot;:{&quot;date-parts&quot;:[[2021,5,13]]},&quot;URL&quot;:&quot;http://www.oblikue.com/bddcostes/&quot;,&quot;issued&quot;:{&quot;date-parts&quot;:[[2007]]}},&quot;isTemporary&quot;:false},{&quot;id&quot;:&quot;110827f3-1570-3466-b838-94cbd2f80f05&quot;,&quot;itemData&quot;:{&quot;type&quot;:&quot;webpage&quot;,&quot;id&quot;:&quot;110827f3-1570-3466-b838-94cbd2f80f05&quot;,&quot;title&quot;:&quot;Registro de Actividad de Atención Especializada – RAE-CMBD&quot;,&quot;groupId&quot;:&quot;b702ae2b-d942-398a-be16-f764d323200b&quot;,&quot;author&quot;:[{&quot;family&quot;:&quot;MSCyBS (Ministerio de Sanidad Consumo y Bienestar Social)&quot;,&quot;given&quot;:&quot;&quot;,&quot;parse-names&quot;:false,&quot;dropping-particle&quot;:&quot;&quot;,&quot;non-dropping-particle&quot;:&quot;&quot;}],&quot;accessed&quot;:{&quot;date-parts&quot;:[[2021,5,13]]},&quot;URL&quot;:&quot;https://pestadistico.inteligenciadegestion.mscbs.es/publicoSNS/S/rae-cmbd&quot;},&quot;isTemporary&quot;:false}],&quot;citationTag&quot;:&quot;MENDELEY_CITATION_v3_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&quot;},{&quot;citationID&quot;:&quot;MENDELEY_CITATION_d33e715b-7277-4866-b810-853aa5a2fd2a&quot;,&quot;properties&quot;:{&quot;noteIndex&quot;:0},&quot;isEdited&quot;:false,&quot;manualOverride&quot;:{&quot;isManuallyOverridden&quot;:false,&quot;citeprocText&quot;:&quot;&lt;sup&gt;4,5&lt;/sup&gt;&quot;,&quot;manualOverrideText&quot;:&quot;&quot;},&quot;citationItems&quot;:[{&quot;id&quot;:&quot;110827f3-1570-3466-b838-94cbd2f80f05&quot;,&quot;itemData&quot;:{&quot;type&quot;:&quot;webpage&quot;,&quot;id&quot;:&quot;110827f3-1570-3466-b838-94cbd2f80f05&quot;,&quot;title&quot;:&quot;Registro de Actividad de Atención Especializada – RAE-CMBD&quot;,&quot;groupId&quot;:&quot;b702ae2b-d942-398a-be16-f764d323200b&quot;,&quot;author&quot;:[{&quot;family&quot;:&quot;MSCyBS (Ministerio de Sanidad Consumo y Bienestar Social)&quot;,&quot;given&quot;:&quot;&quot;,&quot;parse-names&quot;:false,&quot;dropping-particle&quot;:&quot;&quot;,&quot;non-dropping-particle&quot;:&quot;&quot;}],&quot;accessed&quot;:{&quot;date-parts&quot;:[[2021,5,13]]},&quot;URL&quot;:&quot;https://pestadistico.inteligenciadegestion.mscbs.es/publicoSNS/S/rae-cmbd&quot;},&quot;isTemporary&quot;:false},{&quot;id&quot;:&quot;21d0bfb9-bae8-3068-b519-e0cca4e1973c&quot;,&quot;itemData&quot;:{&quot;type&quot;:&quot;webpage&quot;,&quot;id&quot;:&quot;21d0bfb9-bae8-3068-b519-e0cca4e1973c&quot;,&quot;title&quot;:&quot;Spanish Health Costs and cost-effectiveness ratios Database: eSalud [Internet]. Barcelona: Oblikue Consulting, S.L.&quot;,&quot;groupId&quot;:&quot;b702ae2b-d942-398a-be16-f764d323200b&quot;,&quot;author&quot;:[{&quot;family&quot;:&quot;Gisbert&quot;,&quot;given&quot;:&quot;R&quot;,&quot;parse-names&quot;:false,&quot;dropping-particle&quot;:&quot;&quot;,&quot;non-dropping-particle&quot;:&quot;&quot;},{&quot;family&quot;:&quot;Brosa&quot;,&quot;given&quot;:&quot;M&quot;,&quot;parse-names&quot;:false,&quot;dropping-particle&quot;:&quot;&quot;,&quot;non-dropping-particle&quot;:&quot;&quot;}],&quot;accessed&quot;:{&quot;date-parts&quot;:[[2021,5,13]]},&quot;URL&quot;:&quot;http://www.oblikue.com/bddcostes/&quot;,&quot;issued&quot;:{&quot;date-parts&quot;:[[2007]]}},&quot;isTemporary&quot;:false}],&quot;citationTag&quot;:&quot;MENDELEY_CITATION_v3_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&quot;}]"/>
    <we:property name="MENDELEY_CITATIONS_STYLE" value="&quot;https://www.zotero.org/styles/jam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611740233C943B0697B38EC3B995F" ma:contentTypeVersion="12" ma:contentTypeDescription="Create a new document." ma:contentTypeScope="" ma:versionID="44e95d0717cd5b08cba46677eb74dfca">
  <xsd:schema xmlns:xsd="http://www.w3.org/2001/XMLSchema" xmlns:xs="http://www.w3.org/2001/XMLSchema" xmlns:p="http://schemas.microsoft.com/office/2006/metadata/properties" xmlns:ns2="52df8b0a-aef4-4a49-ac94-5c2df7a19633" xmlns:ns3="352e9bad-2bed-4fd8-bb24-95ef0ca5c8ec" targetNamespace="http://schemas.microsoft.com/office/2006/metadata/properties" ma:root="true" ma:fieldsID="d53f81de9913bb83174b5a687eaf8166" ns2:_="" ns3:_="">
    <xsd:import namespace="52df8b0a-aef4-4a49-ac94-5c2df7a19633"/>
    <xsd:import namespace="352e9bad-2bed-4fd8-bb24-95ef0ca5c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8b0a-aef4-4a49-ac94-5c2df7a19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e9bad-2bed-4fd8-bb24-95ef0ca5c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F7F4C-813C-4B30-8E05-0262DEC1F8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A6D6B-A610-4DE5-BAB7-978AA09737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561A85-B251-4C1B-B202-C908AC7C7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f8b0a-aef4-4a49-ac94-5c2df7a19633"/>
    <ds:schemaRef ds:uri="352e9bad-2bed-4fd8-bb24-95ef0ca5c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2BD01-D75B-4C80-BAEA-60302AC55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1898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Sanchez</dc:creator>
  <cp:keywords/>
  <dc:description/>
  <cp:lastModifiedBy>Oblikue</cp:lastModifiedBy>
  <cp:revision>8</cp:revision>
  <dcterms:created xsi:type="dcterms:W3CDTF">2022-02-22T13:30:00Z</dcterms:created>
  <dcterms:modified xsi:type="dcterms:W3CDTF">2022-03-26T20:48:00Z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dddc05-6d75-4c89-ae8a-b8ab1a1994bc_Enabled">
    <vt:lpwstr>true</vt:lpwstr>
  </property>
  <property fmtid="{D5CDD505-2E9C-101B-9397-08002B2CF9AE}" pid="3" name="MSIP_Label_6ddddc05-6d75-4c89-ae8a-b8ab1a1994bc_SetDate">
    <vt:lpwstr>2022-02-22T13:30:21Z</vt:lpwstr>
  </property>
  <property fmtid="{D5CDD505-2E9C-101B-9397-08002B2CF9AE}" pid="4" name="MSIP_Label_6ddddc05-6d75-4c89-ae8a-b8ab1a1994bc_Method">
    <vt:lpwstr>Standard</vt:lpwstr>
  </property>
  <property fmtid="{D5CDD505-2E9C-101B-9397-08002B2CF9AE}" pid="5" name="MSIP_Label_6ddddc05-6d75-4c89-ae8a-b8ab1a1994bc_Name">
    <vt:lpwstr>without watermark</vt:lpwstr>
  </property>
  <property fmtid="{D5CDD505-2E9C-101B-9397-08002B2CF9AE}" pid="6" name="MSIP_Label_6ddddc05-6d75-4c89-ae8a-b8ab1a1994bc_SiteId">
    <vt:lpwstr>ff9ac3ce-3c41-41c3-b556-e1b32a662fed</vt:lpwstr>
  </property>
  <property fmtid="{D5CDD505-2E9C-101B-9397-08002B2CF9AE}" pid="7" name="MSIP_Label_6ddddc05-6d75-4c89-ae8a-b8ab1a1994bc_ActionId">
    <vt:lpwstr>cabec3f5-1cd0-4bc3-9b4e-bd266581c841</vt:lpwstr>
  </property>
  <property fmtid="{D5CDD505-2E9C-101B-9397-08002B2CF9AE}" pid="8" name="MSIP_Label_6ddddc05-6d75-4c89-ae8a-b8ab1a1994bc_ContentBits">
    <vt:lpwstr>0</vt:lpwstr>
  </property>
  <property fmtid="{D5CDD505-2E9C-101B-9397-08002B2CF9AE}" pid="9" name="ContentTypeId">
    <vt:lpwstr>0x010100840611740233C943B0697B38EC3B995F</vt:lpwstr>
  </property>
</Properties>
</file>