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E3E" w:rsidRPr="00693E3E" w:rsidRDefault="00693E3E" w:rsidP="00693E3E">
      <w:pPr>
        <w:spacing w:line="480" w:lineRule="auto"/>
        <w:rPr>
          <w:rFonts w:ascii="Arial" w:hAnsi="Arial" w:cs="Arial"/>
          <w:lang w:val="en-US"/>
        </w:rPr>
      </w:pPr>
      <w:r w:rsidRPr="00693E3E">
        <w:rPr>
          <w:rFonts w:ascii="Arial" w:hAnsi="Arial" w:cs="Arial"/>
          <w:b/>
          <w:lang w:val="en-US"/>
        </w:rPr>
        <w:t>Supplementary Table 1</w:t>
      </w:r>
      <w:r w:rsidRPr="00693E3E">
        <w:rPr>
          <w:rFonts w:ascii="Arial" w:hAnsi="Arial" w:cs="Arial"/>
          <w:lang w:val="en-US"/>
        </w:rPr>
        <w:t>: Selection criteria.</w:t>
      </w:r>
    </w:p>
    <w:tbl>
      <w:tblPr>
        <w:tblW w:w="10598" w:type="dxa"/>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4394"/>
      </w:tblGrid>
      <w:tr w:rsidR="00693E3E" w:rsidRPr="00693E3E" w:rsidTr="009D59D5">
        <w:tc>
          <w:tcPr>
            <w:tcW w:w="6204" w:type="dxa"/>
            <w:tcBorders>
              <w:top w:val="single" w:sz="18" w:space="0" w:color="auto"/>
              <w:left w:val="nil"/>
              <w:bottom w:val="single" w:sz="18" w:space="0" w:color="auto"/>
              <w:right w:val="nil"/>
            </w:tcBorders>
            <w:shd w:val="clear" w:color="auto" w:fill="auto"/>
            <w:vAlign w:val="center"/>
          </w:tcPr>
          <w:p w:rsidR="00693E3E" w:rsidRPr="00693E3E" w:rsidRDefault="00693E3E" w:rsidP="009D59D5">
            <w:pPr>
              <w:spacing w:line="360" w:lineRule="auto"/>
              <w:rPr>
                <w:rFonts w:ascii="Arial" w:eastAsia="Calibri" w:hAnsi="Arial" w:cs="Arial"/>
                <w:b/>
                <w:lang w:val="en-US"/>
              </w:rPr>
            </w:pPr>
            <w:r w:rsidRPr="00693E3E">
              <w:rPr>
                <w:rFonts w:ascii="Arial" w:eastAsia="Calibri" w:hAnsi="Arial" w:cs="Arial"/>
                <w:b/>
                <w:lang w:val="en-US"/>
              </w:rPr>
              <w:t>Inclusion criteria</w:t>
            </w:r>
          </w:p>
        </w:tc>
        <w:tc>
          <w:tcPr>
            <w:tcW w:w="4394" w:type="dxa"/>
            <w:tcBorders>
              <w:top w:val="single" w:sz="18" w:space="0" w:color="auto"/>
              <w:left w:val="nil"/>
              <w:bottom w:val="single" w:sz="18" w:space="0" w:color="auto"/>
              <w:right w:val="nil"/>
            </w:tcBorders>
            <w:shd w:val="clear" w:color="auto" w:fill="auto"/>
            <w:vAlign w:val="center"/>
          </w:tcPr>
          <w:p w:rsidR="00693E3E" w:rsidRPr="00693E3E" w:rsidRDefault="00693E3E" w:rsidP="009D59D5">
            <w:pPr>
              <w:spacing w:line="360" w:lineRule="auto"/>
              <w:rPr>
                <w:rFonts w:ascii="Arial" w:eastAsia="Calibri" w:hAnsi="Arial" w:cs="Arial"/>
                <w:b/>
                <w:lang w:val="en-US"/>
              </w:rPr>
            </w:pPr>
            <w:r w:rsidRPr="00693E3E">
              <w:rPr>
                <w:rFonts w:ascii="Arial" w:eastAsia="Calibri" w:hAnsi="Arial" w:cs="Arial"/>
                <w:b/>
                <w:lang w:val="en-US"/>
              </w:rPr>
              <w:t>Exclusion criteria</w:t>
            </w:r>
          </w:p>
        </w:tc>
      </w:tr>
      <w:tr w:rsidR="00693E3E" w:rsidRPr="00693E3E" w:rsidTr="009D59D5">
        <w:tc>
          <w:tcPr>
            <w:tcW w:w="6204" w:type="dxa"/>
            <w:tcBorders>
              <w:top w:val="single" w:sz="18" w:space="0" w:color="auto"/>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r w:rsidRPr="00693E3E">
              <w:rPr>
                <w:rFonts w:ascii="Arial" w:eastAsia="Calibri" w:hAnsi="Arial" w:cs="Arial"/>
                <w:lang w:val="en-US"/>
              </w:rPr>
              <w:t>&gt;18 years</w:t>
            </w:r>
          </w:p>
        </w:tc>
        <w:tc>
          <w:tcPr>
            <w:tcW w:w="4394" w:type="dxa"/>
            <w:tcBorders>
              <w:top w:val="single" w:sz="18" w:space="0" w:color="auto"/>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r w:rsidRPr="00693E3E">
              <w:rPr>
                <w:rFonts w:ascii="Arial" w:eastAsia="Calibri" w:hAnsi="Arial" w:cs="Arial"/>
                <w:lang w:val="en-US"/>
              </w:rPr>
              <w:t>&lt;18 years</w:t>
            </w:r>
          </w:p>
        </w:tc>
      </w:tr>
      <w:tr w:rsidR="00693E3E" w:rsidRPr="00693E3E" w:rsidTr="009D59D5">
        <w:tc>
          <w:tcPr>
            <w:tcW w:w="6204" w:type="dxa"/>
            <w:tcBorders>
              <w:top w:val="nil"/>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proofErr w:type="spellStart"/>
            <w:r w:rsidRPr="00693E3E">
              <w:rPr>
                <w:rFonts w:ascii="Arial" w:eastAsia="Calibri" w:hAnsi="Arial" w:cs="Arial"/>
                <w:lang w:val="en-US"/>
              </w:rPr>
              <w:t>Barthel</w:t>
            </w:r>
            <w:proofErr w:type="spellEnd"/>
            <w:r w:rsidRPr="00693E3E">
              <w:rPr>
                <w:rFonts w:ascii="Arial" w:eastAsia="Calibri" w:hAnsi="Arial" w:cs="Arial"/>
                <w:lang w:val="en-US"/>
              </w:rPr>
              <w:t xml:space="preserve"> scale score ≥ 60</w:t>
            </w:r>
          </w:p>
        </w:tc>
        <w:tc>
          <w:tcPr>
            <w:tcW w:w="4394" w:type="dxa"/>
            <w:tcBorders>
              <w:top w:val="nil"/>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proofErr w:type="spellStart"/>
            <w:r w:rsidRPr="00693E3E">
              <w:rPr>
                <w:rFonts w:ascii="Arial" w:eastAsia="Calibri" w:hAnsi="Arial" w:cs="Arial"/>
                <w:lang w:val="en-US"/>
              </w:rPr>
              <w:t>Barthel</w:t>
            </w:r>
            <w:proofErr w:type="spellEnd"/>
            <w:r w:rsidRPr="00693E3E">
              <w:rPr>
                <w:rFonts w:ascii="Arial" w:eastAsia="Calibri" w:hAnsi="Arial" w:cs="Arial"/>
                <w:lang w:val="en-US"/>
              </w:rPr>
              <w:t xml:space="preserve"> scale score &lt;60</w:t>
            </w:r>
          </w:p>
        </w:tc>
      </w:tr>
      <w:tr w:rsidR="00693E3E" w:rsidRPr="00693E3E" w:rsidTr="009D59D5">
        <w:tc>
          <w:tcPr>
            <w:tcW w:w="6204" w:type="dxa"/>
            <w:tcBorders>
              <w:top w:val="nil"/>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r w:rsidRPr="00693E3E">
              <w:rPr>
                <w:rFonts w:ascii="Arial" w:eastAsia="Calibri" w:hAnsi="Arial" w:cs="Arial"/>
                <w:lang w:val="en-US"/>
              </w:rPr>
              <w:t>VA ≥ 0.3</w:t>
            </w:r>
          </w:p>
        </w:tc>
        <w:tc>
          <w:tcPr>
            <w:tcW w:w="4394" w:type="dxa"/>
            <w:tcBorders>
              <w:top w:val="nil"/>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r w:rsidRPr="00693E3E">
              <w:rPr>
                <w:rFonts w:ascii="Arial" w:eastAsia="Calibri" w:hAnsi="Arial" w:cs="Arial"/>
                <w:lang w:val="en-US"/>
              </w:rPr>
              <w:t>VA &lt;0.3 (in the best eye)</w:t>
            </w:r>
          </w:p>
        </w:tc>
        <w:bookmarkStart w:id="0" w:name="_GoBack"/>
        <w:bookmarkEnd w:id="0"/>
      </w:tr>
      <w:tr w:rsidR="00693E3E" w:rsidRPr="00693E3E" w:rsidTr="009D59D5">
        <w:tc>
          <w:tcPr>
            <w:tcW w:w="6204" w:type="dxa"/>
            <w:vMerge w:val="restart"/>
            <w:tcBorders>
              <w:top w:val="nil"/>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r w:rsidRPr="00693E3E">
              <w:rPr>
                <w:rFonts w:ascii="Arial" w:eastAsia="Calibri" w:hAnsi="Arial" w:cs="Arial"/>
                <w:lang w:val="en-US"/>
              </w:rPr>
              <w:t>Stable* retinal pathology that needs follow-up without treatment:</w:t>
            </w:r>
          </w:p>
          <w:p w:rsidR="00693E3E" w:rsidRPr="00693E3E" w:rsidRDefault="00693E3E" w:rsidP="009D59D5">
            <w:pPr>
              <w:spacing w:line="240" w:lineRule="auto"/>
              <w:ind w:left="720"/>
              <w:rPr>
                <w:rFonts w:ascii="Arial" w:eastAsia="Calibri" w:hAnsi="Arial" w:cs="Arial"/>
                <w:lang w:val="en-US"/>
              </w:rPr>
            </w:pPr>
            <w:r w:rsidRPr="00693E3E">
              <w:rPr>
                <w:rFonts w:ascii="Arial" w:eastAsia="Calibri" w:hAnsi="Arial" w:cs="Arial"/>
                <w:lang w:val="en-US"/>
              </w:rPr>
              <w:t>Mild-to-moderate non-proliferative DR</w:t>
            </w:r>
          </w:p>
          <w:p w:rsidR="00693E3E" w:rsidRPr="00693E3E" w:rsidRDefault="00693E3E" w:rsidP="009D59D5">
            <w:pPr>
              <w:spacing w:line="240" w:lineRule="auto"/>
              <w:ind w:left="720"/>
              <w:rPr>
                <w:rFonts w:ascii="Arial" w:eastAsia="Calibri" w:hAnsi="Arial" w:cs="Arial"/>
                <w:lang w:val="en-US"/>
              </w:rPr>
            </w:pPr>
            <w:r w:rsidRPr="00693E3E">
              <w:rPr>
                <w:rFonts w:ascii="Arial" w:eastAsia="Calibri" w:hAnsi="Arial" w:cs="Arial"/>
                <w:lang w:val="en-US"/>
              </w:rPr>
              <w:t xml:space="preserve">Dry </w:t>
            </w:r>
            <w:r w:rsidRPr="00693E3E">
              <w:rPr>
                <w:rFonts w:ascii="Arial" w:hAnsi="Arial" w:cs="Arial"/>
                <w:lang w:val="en-US"/>
              </w:rPr>
              <w:t>age-related macular degeneration</w:t>
            </w:r>
          </w:p>
          <w:p w:rsidR="00693E3E" w:rsidRPr="00693E3E" w:rsidRDefault="00693E3E" w:rsidP="009D59D5">
            <w:pPr>
              <w:spacing w:line="240" w:lineRule="auto"/>
              <w:ind w:left="720"/>
              <w:rPr>
                <w:rFonts w:ascii="Arial" w:eastAsia="Calibri" w:hAnsi="Arial" w:cs="Arial"/>
                <w:lang w:val="en-US"/>
              </w:rPr>
            </w:pPr>
            <w:r w:rsidRPr="00693E3E">
              <w:rPr>
                <w:rFonts w:ascii="Arial" w:eastAsia="Calibri" w:hAnsi="Arial" w:cs="Arial"/>
                <w:lang w:val="en-US"/>
              </w:rPr>
              <w:t>R</w:t>
            </w:r>
            <w:r w:rsidRPr="00693E3E">
              <w:rPr>
                <w:rFonts w:ascii="Arial" w:hAnsi="Arial" w:cs="Arial"/>
                <w:lang w:val="en-US"/>
              </w:rPr>
              <w:t>etinal vein occlusion</w:t>
            </w:r>
          </w:p>
          <w:p w:rsidR="00693E3E" w:rsidRPr="00693E3E" w:rsidRDefault="00693E3E" w:rsidP="009D59D5">
            <w:pPr>
              <w:spacing w:line="240" w:lineRule="auto"/>
              <w:ind w:left="720"/>
              <w:rPr>
                <w:rFonts w:ascii="Arial" w:eastAsia="Calibri" w:hAnsi="Arial" w:cs="Arial"/>
                <w:lang w:val="en-US"/>
              </w:rPr>
            </w:pPr>
            <w:r w:rsidRPr="00693E3E">
              <w:rPr>
                <w:rFonts w:ascii="Arial" w:eastAsia="Calibri" w:hAnsi="Arial" w:cs="Arial"/>
                <w:lang w:val="en-US"/>
              </w:rPr>
              <w:t>C</w:t>
            </w:r>
            <w:r w:rsidRPr="00693E3E">
              <w:rPr>
                <w:rFonts w:ascii="Arial" w:hAnsi="Arial" w:cs="Arial"/>
                <w:lang w:val="en-US"/>
              </w:rPr>
              <w:t xml:space="preserve">entral serous </w:t>
            </w:r>
            <w:proofErr w:type="spellStart"/>
            <w:r w:rsidRPr="00693E3E">
              <w:rPr>
                <w:rFonts w:ascii="Arial" w:hAnsi="Arial" w:cs="Arial"/>
                <w:lang w:val="en-US"/>
              </w:rPr>
              <w:t>chorioretinopathy</w:t>
            </w:r>
            <w:proofErr w:type="spellEnd"/>
          </w:p>
          <w:p w:rsidR="00693E3E" w:rsidRPr="00693E3E" w:rsidRDefault="00693E3E" w:rsidP="009D59D5">
            <w:pPr>
              <w:spacing w:line="240" w:lineRule="auto"/>
              <w:ind w:left="720"/>
              <w:rPr>
                <w:rFonts w:ascii="Arial" w:eastAsia="Calibri" w:hAnsi="Arial" w:cs="Arial"/>
                <w:lang w:val="en-US"/>
              </w:rPr>
            </w:pPr>
            <w:r w:rsidRPr="00693E3E">
              <w:rPr>
                <w:rFonts w:ascii="Arial" w:eastAsia="Calibri" w:hAnsi="Arial" w:cs="Arial"/>
                <w:lang w:val="en-US"/>
              </w:rPr>
              <w:t>Choroidal nevus</w:t>
            </w:r>
          </w:p>
          <w:p w:rsidR="00693E3E" w:rsidRPr="00693E3E" w:rsidRDefault="00693E3E" w:rsidP="009D59D5">
            <w:pPr>
              <w:spacing w:line="240" w:lineRule="auto"/>
              <w:ind w:left="720"/>
              <w:rPr>
                <w:rFonts w:ascii="Arial" w:eastAsia="Calibri" w:hAnsi="Arial" w:cs="Arial"/>
                <w:lang w:val="en-US"/>
              </w:rPr>
            </w:pPr>
            <w:r w:rsidRPr="00693E3E">
              <w:rPr>
                <w:rFonts w:ascii="Arial" w:hAnsi="Arial" w:cs="Arial"/>
                <w:lang w:val="en-US"/>
              </w:rPr>
              <w:t xml:space="preserve">Hydroxychloroquine </w:t>
            </w:r>
            <w:r w:rsidRPr="00693E3E">
              <w:rPr>
                <w:rFonts w:ascii="Arial" w:eastAsia="Calibri" w:hAnsi="Arial" w:cs="Arial"/>
                <w:lang w:val="en-US"/>
              </w:rPr>
              <w:t>retinopathy screening</w:t>
            </w:r>
          </w:p>
          <w:p w:rsidR="00693E3E" w:rsidRPr="00693E3E" w:rsidRDefault="00693E3E" w:rsidP="009D59D5">
            <w:pPr>
              <w:spacing w:line="240" w:lineRule="auto"/>
              <w:ind w:left="720"/>
              <w:rPr>
                <w:rFonts w:ascii="Arial" w:eastAsia="Calibri" w:hAnsi="Arial" w:cs="Arial"/>
                <w:lang w:val="en-US"/>
              </w:rPr>
            </w:pPr>
            <w:proofErr w:type="spellStart"/>
            <w:r w:rsidRPr="00693E3E">
              <w:rPr>
                <w:rFonts w:ascii="Arial" w:eastAsia="Calibri" w:hAnsi="Arial" w:cs="Arial"/>
                <w:lang w:val="en-US"/>
              </w:rPr>
              <w:t>E</w:t>
            </w:r>
            <w:r w:rsidRPr="00693E3E">
              <w:rPr>
                <w:rFonts w:ascii="Arial" w:hAnsi="Arial" w:cs="Arial"/>
                <w:lang w:val="en-US"/>
              </w:rPr>
              <w:t>piretinal</w:t>
            </w:r>
            <w:proofErr w:type="spellEnd"/>
            <w:r w:rsidRPr="00693E3E">
              <w:rPr>
                <w:rFonts w:ascii="Arial" w:hAnsi="Arial" w:cs="Arial"/>
                <w:lang w:val="en-US"/>
              </w:rPr>
              <w:t xml:space="preserve"> membrane</w:t>
            </w:r>
          </w:p>
          <w:p w:rsidR="00693E3E" w:rsidRPr="00693E3E" w:rsidRDefault="00693E3E" w:rsidP="009D59D5">
            <w:pPr>
              <w:spacing w:line="240" w:lineRule="auto"/>
              <w:ind w:left="720"/>
              <w:rPr>
                <w:rFonts w:ascii="Arial" w:eastAsia="Calibri" w:hAnsi="Arial" w:cs="Arial"/>
                <w:lang w:val="en-US"/>
              </w:rPr>
            </w:pPr>
            <w:proofErr w:type="spellStart"/>
            <w:r w:rsidRPr="00693E3E">
              <w:rPr>
                <w:rFonts w:ascii="Arial" w:eastAsia="Calibri" w:hAnsi="Arial" w:cs="Arial"/>
                <w:lang w:val="en-US"/>
              </w:rPr>
              <w:t>Vitelliform</w:t>
            </w:r>
            <w:proofErr w:type="spellEnd"/>
            <w:r w:rsidRPr="00693E3E">
              <w:rPr>
                <w:rFonts w:ascii="Arial" w:eastAsia="Calibri" w:hAnsi="Arial" w:cs="Arial"/>
                <w:lang w:val="en-US"/>
              </w:rPr>
              <w:t xml:space="preserve"> lesions </w:t>
            </w:r>
          </w:p>
          <w:p w:rsidR="00693E3E" w:rsidRPr="00693E3E" w:rsidRDefault="00693E3E" w:rsidP="009D59D5">
            <w:pPr>
              <w:spacing w:line="240" w:lineRule="auto"/>
              <w:ind w:left="720"/>
              <w:rPr>
                <w:rFonts w:ascii="Arial" w:eastAsia="Calibri" w:hAnsi="Arial" w:cs="Arial"/>
                <w:lang w:val="en-US"/>
              </w:rPr>
            </w:pPr>
            <w:r w:rsidRPr="00693E3E">
              <w:rPr>
                <w:rFonts w:ascii="Arial" w:eastAsia="Calibri" w:hAnsi="Arial" w:cs="Arial"/>
                <w:lang w:val="en-US"/>
              </w:rPr>
              <w:t xml:space="preserve">Others: Toxoplasma scar, macular </w:t>
            </w:r>
            <w:proofErr w:type="spellStart"/>
            <w:r w:rsidRPr="00693E3E">
              <w:rPr>
                <w:rFonts w:ascii="Arial" w:eastAsia="Calibri" w:hAnsi="Arial" w:cs="Arial"/>
                <w:lang w:val="en-US"/>
              </w:rPr>
              <w:t>telangiectasias</w:t>
            </w:r>
            <w:proofErr w:type="spellEnd"/>
          </w:p>
        </w:tc>
        <w:tc>
          <w:tcPr>
            <w:tcW w:w="4394" w:type="dxa"/>
            <w:tcBorders>
              <w:top w:val="nil"/>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r w:rsidRPr="00693E3E">
              <w:rPr>
                <w:rFonts w:ascii="Arial" w:eastAsia="Calibri" w:hAnsi="Arial" w:cs="Arial"/>
                <w:lang w:val="en-US"/>
              </w:rPr>
              <w:t xml:space="preserve">Patients unsuitable for RVC: </w:t>
            </w:r>
          </w:p>
          <w:p w:rsidR="00693E3E" w:rsidRPr="00693E3E" w:rsidRDefault="00693E3E" w:rsidP="009D59D5">
            <w:pPr>
              <w:spacing w:line="360" w:lineRule="auto"/>
              <w:rPr>
                <w:rFonts w:ascii="Arial" w:eastAsia="Calibri" w:hAnsi="Arial" w:cs="Arial"/>
                <w:lang w:val="en-US"/>
              </w:rPr>
            </w:pPr>
            <w:r w:rsidRPr="00693E3E">
              <w:rPr>
                <w:rFonts w:ascii="Arial" w:eastAsia="Calibri" w:hAnsi="Arial" w:cs="Arial"/>
                <w:lang w:val="en-US"/>
              </w:rPr>
              <w:t>Wheelchair users, those with kyphosis, media opacity, or dementia.</w:t>
            </w:r>
          </w:p>
        </w:tc>
      </w:tr>
      <w:tr w:rsidR="00693E3E" w:rsidRPr="00693E3E" w:rsidTr="009D59D5">
        <w:trPr>
          <w:trHeight w:val="586"/>
        </w:trPr>
        <w:tc>
          <w:tcPr>
            <w:tcW w:w="6204" w:type="dxa"/>
            <w:vMerge/>
            <w:tcBorders>
              <w:top w:val="nil"/>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p>
        </w:tc>
        <w:tc>
          <w:tcPr>
            <w:tcW w:w="4394" w:type="dxa"/>
            <w:tcBorders>
              <w:top w:val="nil"/>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r w:rsidRPr="00693E3E">
              <w:rPr>
                <w:rFonts w:ascii="Arial" w:eastAsia="Calibri" w:hAnsi="Arial" w:cs="Arial"/>
                <w:lang w:val="en-US"/>
              </w:rPr>
              <w:t>Urgent referrals from the DRSS</w:t>
            </w:r>
          </w:p>
        </w:tc>
      </w:tr>
      <w:tr w:rsidR="00693E3E" w:rsidRPr="00693E3E" w:rsidTr="009D59D5">
        <w:trPr>
          <w:trHeight w:val="1389"/>
        </w:trPr>
        <w:tc>
          <w:tcPr>
            <w:tcW w:w="6204" w:type="dxa"/>
            <w:vMerge/>
            <w:tcBorders>
              <w:top w:val="nil"/>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p>
        </w:tc>
        <w:tc>
          <w:tcPr>
            <w:tcW w:w="4394" w:type="dxa"/>
            <w:tcBorders>
              <w:top w:val="nil"/>
              <w:left w:val="nil"/>
              <w:bottom w:val="nil"/>
              <w:right w:val="nil"/>
            </w:tcBorders>
            <w:shd w:val="clear" w:color="auto" w:fill="auto"/>
          </w:tcPr>
          <w:p w:rsidR="00693E3E" w:rsidRPr="00693E3E" w:rsidRDefault="00693E3E" w:rsidP="009D59D5">
            <w:pPr>
              <w:spacing w:line="360" w:lineRule="auto"/>
              <w:rPr>
                <w:rFonts w:ascii="Arial" w:eastAsia="Calibri" w:hAnsi="Arial" w:cs="Arial"/>
                <w:lang w:val="en-US"/>
              </w:rPr>
            </w:pPr>
            <w:r w:rsidRPr="00693E3E">
              <w:rPr>
                <w:rFonts w:ascii="Arial" w:eastAsia="Calibri" w:hAnsi="Arial" w:cs="Arial"/>
                <w:lang w:val="en-US"/>
              </w:rPr>
              <w:t xml:space="preserve">Other ophthalmological diseases that require being seen in an </w:t>
            </w:r>
            <w:r w:rsidRPr="00693E3E">
              <w:rPr>
                <w:rFonts w:ascii="Arial" w:hAnsi="Arial" w:cs="Arial"/>
                <w:lang w:val="en-US"/>
              </w:rPr>
              <w:t>F2F</w:t>
            </w:r>
            <w:r w:rsidRPr="00693E3E">
              <w:rPr>
                <w:rFonts w:ascii="Arial" w:eastAsia="Calibri" w:hAnsi="Arial" w:cs="Arial"/>
                <w:lang w:val="en-US"/>
              </w:rPr>
              <w:t xml:space="preserve"> </w:t>
            </w:r>
            <w:r w:rsidRPr="00693E3E">
              <w:rPr>
                <w:rFonts w:ascii="Arial" w:hAnsi="Arial" w:cs="Arial"/>
                <w:lang w:val="en-US"/>
              </w:rPr>
              <w:t xml:space="preserve">clinic </w:t>
            </w:r>
            <w:r w:rsidRPr="00693E3E">
              <w:rPr>
                <w:rFonts w:ascii="Arial" w:eastAsia="Calibri" w:hAnsi="Arial" w:cs="Arial"/>
                <w:lang w:val="en-US"/>
              </w:rPr>
              <w:t>(at the discretion of the ophthalmologist)</w:t>
            </w:r>
          </w:p>
        </w:tc>
      </w:tr>
      <w:tr w:rsidR="00693E3E" w:rsidRPr="00693E3E" w:rsidTr="009D59D5">
        <w:tc>
          <w:tcPr>
            <w:tcW w:w="10598" w:type="dxa"/>
            <w:gridSpan w:val="2"/>
            <w:tcBorders>
              <w:top w:val="nil"/>
              <w:left w:val="nil"/>
              <w:bottom w:val="single" w:sz="18" w:space="0" w:color="auto"/>
              <w:right w:val="nil"/>
            </w:tcBorders>
            <w:shd w:val="clear" w:color="auto" w:fill="auto"/>
          </w:tcPr>
          <w:p w:rsidR="00693E3E" w:rsidRPr="00693E3E" w:rsidRDefault="00693E3E" w:rsidP="009D59D5">
            <w:pPr>
              <w:spacing w:line="360" w:lineRule="auto"/>
              <w:rPr>
                <w:rFonts w:ascii="Arial" w:eastAsia="Calibri" w:hAnsi="Arial" w:cs="Arial"/>
                <w:lang w:val="en-US"/>
              </w:rPr>
            </w:pPr>
            <w:r w:rsidRPr="00693E3E">
              <w:rPr>
                <w:rFonts w:ascii="Arial" w:eastAsia="Calibri" w:hAnsi="Arial" w:cs="Arial"/>
                <w:i/>
                <w:lang w:val="en-US"/>
              </w:rPr>
              <w:t>* Stable pathology: visual and anatomical stability in 3 consecutive reviews</w:t>
            </w:r>
          </w:p>
        </w:tc>
      </w:tr>
    </w:tbl>
    <w:p w:rsidR="00693E3E" w:rsidRPr="00693E3E" w:rsidRDefault="00693E3E" w:rsidP="00693E3E">
      <w:pPr>
        <w:rPr>
          <w:rFonts w:ascii="Arial" w:hAnsi="Arial" w:cs="Arial"/>
          <w:lang w:val="en-US"/>
        </w:rPr>
      </w:pPr>
      <w:r w:rsidRPr="00693E3E">
        <w:rPr>
          <w:rFonts w:ascii="Arial" w:hAnsi="Arial" w:cs="Arial"/>
          <w:b/>
          <w:lang w:val="en-US"/>
        </w:rPr>
        <w:t>Abbreviations</w:t>
      </w:r>
      <w:r w:rsidRPr="00693E3E">
        <w:rPr>
          <w:rFonts w:ascii="Arial" w:hAnsi="Arial" w:cs="Arial"/>
          <w:lang w:val="en-US"/>
        </w:rPr>
        <w:t xml:space="preserve">: VA, visual acuity. </w:t>
      </w:r>
      <w:proofErr w:type="gramStart"/>
      <w:r w:rsidRPr="00693E3E">
        <w:rPr>
          <w:rFonts w:ascii="Arial" w:eastAsia="Calibri" w:hAnsi="Arial" w:cs="Arial"/>
          <w:lang w:val="en-US"/>
        </w:rPr>
        <w:t>DRSS, diabetic retinopathy screening service.</w:t>
      </w:r>
      <w:proofErr w:type="gramEnd"/>
    </w:p>
    <w:p w:rsidR="00693E3E" w:rsidRPr="00693E3E" w:rsidRDefault="00693E3E" w:rsidP="00693E3E">
      <w:pPr>
        <w:rPr>
          <w:rFonts w:ascii="Arial" w:hAnsi="Arial" w:cs="Arial"/>
          <w:color w:val="333333"/>
          <w:lang w:val="en-US"/>
        </w:rPr>
      </w:pPr>
    </w:p>
    <w:p w:rsidR="00693E3E" w:rsidRDefault="00693E3E" w:rsidP="00693E3E">
      <w:pPr>
        <w:autoSpaceDE w:val="0"/>
        <w:autoSpaceDN w:val="0"/>
        <w:adjustRightInd w:val="0"/>
        <w:spacing w:line="480" w:lineRule="auto"/>
        <w:rPr>
          <w:rFonts w:ascii="Arial" w:hAnsi="Arial" w:cs="Arial"/>
          <w:lang w:val="en-US"/>
        </w:rPr>
      </w:pPr>
    </w:p>
    <w:p w:rsidR="00693E3E" w:rsidRDefault="00693E3E" w:rsidP="00693E3E">
      <w:pPr>
        <w:autoSpaceDE w:val="0"/>
        <w:autoSpaceDN w:val="0"/>
        <w:adjustRightInd w:val="0"/>
        <w:spacing w:line="480" w:lineRule="auto"/>
        <w:rPr>
          <w:rFonts w:ascii="Arial" w:hAnsi="Arial" w:cs="Arial"/>
          <w:lang w:val="en-US"/>
        </w:rPr>
      </w:pPr>
    </w:p>
    <w:p w:rsidR="00693E3E" w:rsidRPr="00693E3E" w:rsidRDefault="00693E3E" w:rsidP="00693E3E">
      <w:pPr>
        <w:autoSpaceDE w:val="0"/>
        <w:autoSpaceDN w:val="0"/>
        <w:adjustRightInd w:val="0"/>
        <w:spacing w:line="480" w:lineRule="auto"/>
        <w:rPr>
          <w:rFonts w:ascii="Arial" w:hAnsi="Arial" w:cs="Arial"/>
          <w:lang w:val="en-US"/>
        </w:rPr>
      </w:pPr>
    </w:p>
    <w:p w:rsidR="00693E3E" w:rsidRPr="00693E3E" w:rsidRDefault="00693E3E" w:rsidP="00693E3E">
      <w:pPr>
        <w:autoSpaceDE w:val="0"/>
        <w:autoSpaceDN w:val="0"/>
        <w:adjustRightInd w:val="0"/>
        <w:spacing w:line="480" w:lineRule="auto"/>
        <w:rPr>
          <w:rFonts w:ascii="Arial" w:hAnsi="Arial" w:cs="Arial"/>
          <w:lang w:val="en-US"/>
        </w:rPr>
      </w:pPr>
      <w:r w:rsidRPr="00693E3E">
        <w:rPr>
          <w:rFonts w:ascii="Arial" w:hAnsi="Arial" w:cs="Arial"/>
          <w:b/>
          <w:lang w:val="en-US"/>
        </w:rPr>
        <w:t>Supplementary Table 2</w:t>
      </w:r>
      <w:r w:rsidRPr="00693E3E">
        <w:rPr>
          <w:rFonts w:ascii="Arial" w:hAnsi="Arial" w:cs="Arial"/>
          <w:lang w:val="en-US"/>
        </w:rPr>
        <w:t>: Virtual retina clinic outcomes reported by other authors.</w:t>
      </w:r>
    </w:p>
    <w:tbl>
      <w:tblPr>
        <w:tblpPr w:leftFromText="141" w:rightFromText="141" w:vertAnchor="text" w:horzAnchor="margin" w:tblpXSpec="center" w:tblpY="71"/>
        <w:tblOverlap w:val="neve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4"/>
        <w:gridCol w:w="1594"/>
        <w:gridCol w:w="1739"/>
        <w:gridCol w:w="1739"/>
        <w:gridCol w:w="1450"/>
        <w:gridCol w:w="1594"/>
        <w:gridCol w:w="290"/>
      </w:tblGrid>
      <w:tr w:rsidR="00693E3E" w:rsidRPr="00693E3E" w:rsidTr="00693E3E">
        <w:trPr>
          <w:trHeight w:val="768"/>
        </w:trPr>
        <w:tc>
          <w:tcPr>
            <w:tcW w:w="2574" w:type="dxa"/>
            <w:tcBorders>
              <w:top w:val="single" w:sz="18" w:space="0" w:color="auto"/>
              <w:left w:val="nil"/>
              <w:bottom w:val="single" w:sz="18" w:space="0" w:color="auto"/>
              <w:right w:val="nil"/>
            </w:tcBorders>
            <w:shd w:val="clear" w:color="auto" w:fill="auto"/>
          </w:tcPr>
          <w:p w:rsidR="00693E3E" w:rsidRPr="00693E3E" w:rsidRDefault="00693E3E" w:rsidP="009D59D5">
            <w:pPr>
              <w:spacing w:line="240" w:lineRule="auto"/>
              <w:ind w:left="-533"/>
              <w:jc w:val="center"/>
              <w:rPr>
                <w:rFonts w:ascii="Arial" w:eastAsia="Calibri" w:hAnsi="Arial" w:cs="Arial"/>
                <w:b/>
                <w:lang w:val="en-US"/>
              </w:rPr>
            </w:pPr>
          </w:p>
        </w:tc>
        <w:tc>
          <w:tcPr>
            <w:tcW w:w="1594" w:type="dxa"/>
            <w:tcBorders>
              <w:top w:val="single" w:sz="18" w:space="0" w:color="auto"/>
              <w:left w:val="nil"/>
              <w:bottom w:val="single" w:sz="18" w:space="0" w:color="auto"/>
              <w:right w:val="nil"/>
            </w:tcBorders>
            <w:shd w:val="clear" w:color="auto" w:fill="auto"/>
          </w:tcPr>
          <w:p w:rsidR="00693E3E" w:rsidRPr="00693E3E" w:rsidRDefault="00693E3E" w:rsidP="009D59D5">
            <w:pPr>
              <w:spacing w:line="240" w:lineRule="auto"/>
              <w:jc w:val="center"/>
              <w:rPr>
                <w:rFonts w:ascii="Arial" w:eastAsia="Calibri" w:hAnsi="Arial" w:cs="Arial"/>
                <w:b/>
                <w:strike/>
                <w:lang w:val="en-US"/>
              </w:rPr>
            </w:pPr>
            <w:r w:rsidRPr="00693E3E">
              <w:rPr>
                <w:rFonts w:ascii="Arial" w:eastAsia="Calibri" w:hAnsi="Arial" w:cs="Arial"/>
                <w:b/>
                <w:lang w:val="en-US"/>
              </w:rPr>
              <w:t>This study</w:t>
            </w:r>
          </w:p>
          <w:p w:rsidR="00693E3E" w:rsidRPr="00693E3E" w:rsidRDefault="00693E3E" w:rsidP="009D59D5">
            <w:pPr>
              <w:spacing w:line="240" w:lineRule="auto"/>
              <w:jc w:val="center"/>
              <w:rPr>
                <w:rFonts w:ascii="Arial" w:eastAsia="Calibri" w:hAnsi="Arial" w:cs="Arial"/>
                <w:b/>
                <w:lang w:val="en-US"/>
              </w:rPr>
            </w:pPr>
            <w:r w:rsidRPr="00693E3E">
              <w:rPr>
                <w:rFonts w:ascii="Arial" w:eastAsia="Calibri" w:hAnsi="Arial" w:cs="Arial"/>
                <w:b/>
                <w:lang w:val="en-US"/>
              </w:rPr>
              <w:t>(internal referrals)</w:t>
            </w:r>
          </w:p>
        </w:tc>
        <w:tc>
          <w:tcPr>
            <w:tcW w:w="1739" w:type="dxa"/>
            <w:tcBorders>
              <w:top w:val="single" w:sz="18" w:space="0" w:color="auto"/>
              <w:left w:val="nil"/>
              <w:bottom w:val="single" w:sz="18" w:space="0" w:color="auto"/>
              <w:right w:val="nil"/>
            </w:tcBorders>
          </w:tcPr>
          <w:p w:rsidR="00693E3E" w:rsidRPr="00693E3E" w:rsidRDefault="00693E3E" w:rsidP="009D59D5">
            <w:pPr>
              <w:spacing w:line="240" w:lineRule="auto"/>
              <w:jc w:val="center"/>
              <w:rPr>
                <w:rFonts w:ascii="Arial" w:eastAsia="Calibri" w:hAnsi="Arial" w:cs="Arial"/>
                <w:b/>
                <w:lang w:val="en-US"/>
              </w:rPr>
            </w:pPr>
            <w:proofErr w:type="spellStart"/>
            <w:r w:rsidRPr="00693E3E">
              <w:rPr>
                <w:rFonts w:ascii="Arial" w:eastAsia="Calibri" w:hAnsi="Arial" w:cs="Arial"/>
                <w:b/>
                <w:lang w:val="en-US"/>
              </w:rPr>
              <w:t>Kortuem</w:t>
            </w:r>
            <w:proofErr w:type="spellEnd"/>
            <w:r w:rsidRPr="00693E3E">
              <w:rPr>
                <w:rFonts w:ascii="Arial" w:eastAsia="Calibri" w:hAnsi="Arial" w:cs="Arial"/>
                <w:b/>
                <w:lang w:val="en-US"/>
              </w:rPr>
              <w:t xml:space="preserve"> et al</w:t>
            </w:r>
            <w:r w:rsidRPr="00693E3E">
              <w:rPr>
                <w:rFonts w:ascii="Arial" w:eastAsia="Calibri" w:hAnsi="Arial" w:cs="Arial"/>
                <w:b/>
                <w:lang w:val="en-US"/>
              </w:rPr>
              <w:fldChar w:fldCharType="begin" w:fldLock="1"/>
            </w:r>
            <w:r w:rsidRPr="00693E3E">
              <w:rPr>
                <w:rFonts w:ascii="Arial" w:eastAsia="Calibri" w:hAnsi="Arial" w:cs="Arial"/>
                <w:b/>
                <w:lang w:val="en-US"/>
              </w:rPr>
              <w:instrText>ADDIN CSL_CITATION {"citationItems":[{"id":"ITEM-1","itemData":{"DOI":"10.1136/bjophthalmol-2017-311494","author":[{"dropping-particle":"","family":"Kortuem","given":"Karsten","non-dropping-particle":"","parse-names":false,"suffix":""},{"dropping-particle":"","family":"Fasler","given":"Katrin","non-dropping-particle":"","parse-names":false,"suffix":""},{"dropping-particle":"","family":"Charnley","given":"Amanda","non-dropping-particle":"","parse-names":false,"suffix":""},{"dropping-particle":"","family":"Khambati","given":"Hussain","non-dropping-particle":"","parse-names":false,"suffix":""},{"dropping-particle":"","family":"Fasolo","given":"Sandro","non-dropping-particle":"","parse-names":false,"suffix":""},{"dropping-particle":"","family":"Katz","given":"Menachem","non-dropping-particle":"","parse-names":false,"suffix":""},{"dropping-particle":"","family":"Balaskas","given":"Konstantinos","non-dropping-particle":"","parse-names":false,"suffix":""},{"dropping-particle":"","family":"Rajendram","given":"Ranjan","non-dropping-particle":"","parse-names":false,"suffix":""},{"dropping-particle":"","family":"Hamilton","given":"Robin","non-dropping-particle":"","parse-names":false,"suffix":""},{"dropping-particle":"","family":"Keane","given":"Pearse A","non-dropping-particle":"","parse-names":false,"suffix":""},{"dropping-particle":"","family":"Sim","given":"Dawn A","non-dropping-particle":"","parse-names":false,"suffix":""}],"id":"ITEM-1","issued":{"date-parts":[["2018"]]},"note":"MEH 1.go partea","page":"1391-1395","title":"Implementation of medical retina virtual clinics in a tertiary eye care referral centre","type":"article-journal"},"uris":["http://www.mendeley.com/documents/?uuid=7bdd649d-dcb0-4252-bf83-3b2b9358af2a"]}],"mendeley":{"formattedCitation":"&lt;sup&gt;8&lt;/sup&gt;","plainTextFormattedCitation":"8","previouslyFormattedCitation":"&lt;sup&gt;8&lt;/sup&gt;"},"properties":{"noteIndex":0},"schema":"https://github.com/citation-style-language/schema/raw/master/csl-citation.json"}</w:instrText>
            </w:r>
            <w:r w:rsidRPr="00693E3E">
              <w:rPr>
                <w:rFonts w:ascii="Arial" w:eastAsia="Calibri" w:hAnsi="Arial" w:cs="Arial"/>
                <w:b/>
                <w:lang w:val="en-US"/>
              </w:rPr>
              <w:fldChar w:fldCharType="separate"/>
            </w:r>
            <w:r w:rsidRPr="00693E3E">
              <w:rPr>
                <w:rFonts w:ascii="Arial" w:eastAsia="Calibri" w:hAnsi="Arial" w:cs="Arial"/>
                <w:b/>
                <w:vertAlign w:val="superscript"/>
                <w:lang w:val="en-US"/>
              </w:rPr>
              <w:t>8</w:t>
            </w:r>
            <w:r w:rsidRPr="00693E3E">
              <w:rPr>
                <w:rFonts w:ascii="Arial" w:eastAsia="Calibri" w:hAnsi="Arial" w:cs="Arial"/>
                <w:b/>
                <w:lang w:val="en-US"/>
              </w:rPr>
              <w:fldChar w:fldCharType="end"/>
            </w:r>
            <w:r w:rsidRPr="00693E3E">
              <w:rPr>
                <w:rFonts w:ascii="Arial" w:eastAsia="Calibri" w:hAnsi="Arial" w:cs="Arial"/>
                <w:b/>
                <w:lang w:val="en-US"/>
              </w:rPr>
              <w:t xml:space="preserve"> </w:t>
            </w:r>
          </w:p>
          <w:p w:rsidR="00693E3E" w:rsidRPr="00693E3E" w:rsidRDefault="00693E3E" w:rsidP="009D59D5">
            <w:pPr>
              <w:spacing w:line="240" w:lineRule="auto"/>
              <w:jc w:val="center"/>
              <w:rPr>
                <w:rFonts w:ascii="Arial" w:eastAsia="Calibri" w:hAnsi="Arial" w:cs="Arial"/>
                <w:b/>
                <w:lang w:val="en-US"/>
              </w:rPr>
            </w:pPr>
            <w:r w:rsidRPr="00693E3E">
              <w:rPr>
                <w:rFonts w:ascii="Arial" w:eastAsia="Calibri" w:hAnsi="Arial" w:cs="Arial"/>
                <w:b/>
                <w:lang w:val="en-US"/>
              </w:rPr>
              <w:t xml:space="preserve">(internal referrals) </w:t>
            </w:r>
          </w:p>
        </w:tc>
        <w:tc>
          <w:tcPr>
            <w:tcW w:w="1739" w:type="dxa"/>
            <w:tcBorders>
              <w:top w:val="single" w:sz="18" w:space="0" w:color="auto"/>
              <w:left w:val="nil"/>
              <w:bottom w:val="single" w:sz="18" w:space="0" w:color="auto"/>
              <w:right w:val="nil"/>
            </w:tcBorders>
          </w:tcPr>
          <w:p w:rsidR="00693E3E" w:rsidRPr="00693E3E" w:rsidRDefault="00693E3E" w:rsidP="009D59D5">
            <w:pPr>
              <w:spacing w:line="240" w:lineRule="auto"/>
              <w:jc w:val="center"/>
              <w:rPr>
                <w:rFonts w:ascii="Arial" w:eastAsia="Calibri" w:hAnsi="Arial" w:cs="Arial"/>
                <w:b/>
                <w:lang w:val="en-US"/>
              </w:rPr>
            </w:pPr>
            <w:proofErr w:type="spellStart"/>
            <w:r w:rsidRPr="00693E3E">
              <w:rPr>
                <w:rFonts w:ascii="Arial" w:eastAsia="Calibri" w:hAnsi="Arial" w:cs="Arial"/>
                <w:b/>
                <w:lang w:val="en-US"/>
              </w:rPr>
              <w:t>Kortuem</w:t>
            </w:r>
            <w:proofErr w:type="spellEnd"/>
            <w:r w:rsidRPr="00693E3E">
              <w:rPr>
                <w:rFonts w:ascii="Arial" w:eastAsia="Calibri" w:hAnsi="Arial" w:cs="Arial"/>
                <w:b/>
                <w:lang w:val="en-US"/>
              </w:rPr>
              <w:t xml:space="preserve"> et al</w:t>
            </w:r>
            <w:r w:rsidRPr="00693E3E">
              <w:rPr>
                <w:rFonts w:ascii="Arial" w:eastAsia="Calibri" w:hAnsi="Arial" w:cs="Arial"/>
                <w:b/>
                <w:lang w:val="en-US"/>
              </w:rPr>
              <w:fldChar w:fldCharType="begin" w:fldLock="1"/>
            </w:r>
            <w:r w:rsidRPr="00693E3E">
              <w:rPr>
                <w:rFonts w:ascii="Arial" w:eastAsia="Calibri" w:hAnsi="Arial" w:cs="Arial"/>
                <w:b/>
                <w:lang w:val="en-US"/>
              </w:rPr>
              <w:instrText>ADDIN CSL_CITATION {"citationItems":[{"id":"ITEM-1","itemData":{"DOI":"10.1136/bjophthalmol-2017-311494","author":[{"dropping-particle":"","family":"Kortuem","given":"Karsten","non-dropping-particle":"","parse-names":false,"suffix":""},{"dropping-particle":"","family":"Fasler","given":"Katrin","non-dropping-particle":"","parse-names":false,"suffix":""},{"dropping-particle":"","family":"Charnley","given":"Amanda","non-dropping-particle":"","parse-names":false,"suffix":""},{"dropping-particle":"","family":"Khambati","given":"Hussain","non-dropping-particle":"","parse-names":false,"suffix":""},{"dropping-particle":"","family":"Fasolo","given":"Sandro","non-dropping-particle":"","parse-names":false,"suffix":""},{"dropping-particle":"","family":"Katz","given":"Menachem","non-dropping-particle":"","parse-names":false,"suffix":""},{"dropping-particle":"","family":"Balaskas","given":"Konstantinos","non-dropping-particle":"","parse-names":false,"suffix":""},{"dropping-particle":"","family":"Rajendram","given":"Ranjan","non-dropping-particle":"","parse-names":false,"suffix":""},{"dropping-particle":"","family":"Hamilton","given":"Robin","non-dropping-particle":"","parse-names":false,"suffix":""},{"dropping-particle":"","family":"Keane","given":"Pearse A","non-dropping-particle":"","parse-names":false,"suffix":""},{"dropping-particle":"","family":"Sim","given":"Dawn A","non-dropping-particle":"","parse-names":false,"suffix":""}],"id":"ITEM-1","issued":{"date-parts":[["2018"]]},"note":"MEH 1.go partea","page":"1391-1395","title":"Implementation of medical retina virtual clinics in a tertiary eye care referral centre","type":"article-journal"},"uris":["http://www.mendeley.com/documents/?uuid=7bdd649d-dcb0-4252-bf83-3b2b9358af2a"]}],"mendeley":{"formattedCitation":"&lt;sup&gt;8&lt;/sup&gt;","plainTextFormattedCitation":"8","previouslyFormattedCitation":"&lt;sup&gt;8&lt;/sup&gt;"},"properties":{"noteIndex":0},"schema":"https://github.com/citation-style-language/schema/raw/master/csl-citation.json"}</w:instrText>
            </w:r>
            <w:r w:rsidRPr="00693E3E">
              <w:rPr>
                <w:rFonts w:ascii="Arial" w:eastAsia="Calibri" w:hAnsi="Arial" w:cs="Arial"/>
                <w:b/>
                <w:lang w:val="en-US"/>
              </w:rPr>
              <w:fldChar w:fldCharType="separate"/>
            </w:r>
            <w:r w:rsidRPr="00693E3E">
              <w:rPr>
                <w:rFonts w:ascii="Arial" w:eastAsia="Calibri" w:hAnsi="Arial" w:cs="Arial"/>
                <w:b/>
                <w:vertAlign w:val="superscript"/>
                <w:lang w:val="en-US"/>
              </w:rPr>
              <w:t>8</w:t>
            </w:r>
            <w:r w:rsidRPr="00693E3E">
              <w:rPr>
                <w:rFonts w:ascii="Arial" w:eastAsia="Calibri" w:hAnsi="Arial" w:cs="Arial"/>
                <w:b/>
                <w:lang w:val="en-US"/>
              </w:rPr>
              <w:fldChar w:fldCharType="end"/>
            </w:r>
          </w:p>
          <w:p w:rsidR="00693E3E" w:rsidRPr="00693E3E" w:rsidRDefault="00693E3E" w:rsidP="009D59D5">
            <w:pPr>
              <w:spacing w:line="240" w:lineRule="auto"/>
              <w:jc w:val="center"/>
              <w:rPr>
                <w:rFonts w:ascii="Arial" w:eastAsia="Calibri" w:hAnsi="Arial" w:cs="Arial"/>
                <w:b/>
                <w:lang w:val="en-US"/>
              </w:rPr>
            </w:pPr>
            <w:r w:rsidRPr="00693E3E">
              <w:rPr>
                <w:rFonts w:ascii="Arial" w:eastAsia="Calibri" w:hAnsi="Arial" w:cs="Arial"/>
                <w:b/>
                <w:lang w:val="en-US"/>
              </w:rPr>
              <w:t xml:space="preserve">(new </w:t>
            </w:r>
          </w:p>
          <w:p w:rsidR="00693E3E" w:rsidRPr="00693E3E" w:rsidRDefault="00693E3E" w:rsidP="009D59D5">
            <w:pPr>
              <w:spacing w:line="240" w:lineRule="auto"/>
              <w:jc w:val="center"/>
              <w:rPr>
                <w:rFonts w:ascii="Arial" w:eastAsia="Calibri" w:hAnsi="Arial" w:cs="Arial"/>
                <w:b/>
                <w:lang w:val="en-US"/>
              </w:rPr>
            </w:pPr>
            <w:r w:rsidRPr="00693E3E">
              <w:rPr>
                <w:rFonts w:ascii="Arial" w:eastAsia="Calibri" w:hAnsi="Arial" w:cs="Arial"/>
                <w:b/>
                <w:lang w:val="en-US"/>
              </w:rPr>
              <w:t xml:space="preserve">referrals) </w:t>
            </w:r>
          </w:p>
        </w:tc>
        <w:tc>
          <w:tcPr>
            <w:tcW w:w="1450" w:type="dxa"/>
            <w:tcBorders>
              <w:top w:val="single" w:sz="18" w:space="0" w:color="auto"/>
              <w:left w:val="nil"/>
              <w:bottom w:val="single" w:sz="18" w:space="0" w:color="auto"/>
              <w:right w:val="nil"/>
            </w:tcBorders>
          </w:tcPr>
          <w:p w:rsidR="00693E3E" w:rsidRPr="00693E3E" w:rsidRDefault="00693E3E" w:rsidP="009D59D5">
            <w:pPr>
              <w:spacing w:line="240" w:lineRule="auto"/>
              <w:jc w:val="center"/>
              <w:rPr>
                <w:rFonts w:ascii="Arial" w:eastAsia="Calibri" w:hAnsi="Arial" w:cs="Arial"/>
                <w:b/>
              </w:rPr>
            </w:pPr>
            <w:r w:rsidRPr="00693E3E">
              <w:rPr>
                <w:rFonts w:ascii="Arial" w:eastAsia="Calibri" w:hAnsi="Arial" w:cs="Arial"/>
                <w:b/>
              </w:rPr>
              <w:t>Lee et al</w:t>
            </w:r>
            <w:r w:rsidRPr="00693E3E">
              <w:rPr>
                <w:rFonts w:ascii="Arial" w:eastAsia="Calibri" w:hAnsi="Arial" w:cs="Arial"/>
                <w:b/>
                <w:lang w:val="en-US"/>
              </w:rPr>
              <w:fldChar w:fldCharType="begin" w:fldLock="1"/>
            </w:r>
            <w:r w:rsidRPr="00693E3E">
              <w:rPr>
                <w:rFonts w:ascii="Arial" w:eastAsia="Calibri" w:hAnsi="Arial" w:cs="Arial"/>
                <w:b/>
              </w:rPr>
              <w:instrText>ADDIN CSL_CITATION {"citationItems":[{"id":"ITEM-1","itemData":{"DOI":"10.2147/OPTH.S181108","ISSN":"11775483","abstract":"Background: An increasingly elderly population with a corresponding increase in ophthalmic conditions has led to increased pressure on hospital eye services (HES). In this study, we evaluated the use of a medical retina virtual clinic (MRVC), which has expanded into assessing all new medical retina referrals, where the need for urgent treatment was not clear. Methods: Retrospective analysis of all new patients who were seen in the MRVC between April 2016 and May 2018. Pro forma sheets were used in the MRVC to record the patient history, visual acuity, and type of imaging required. Two consultants reviewed the completed pro formas and images and provided a final diagnosis and management plan. These results and reasons for face-to-face (F2F) clinic appointment requests were analyzed. Results: Six hundred ten new referrals were enrolled in the virtual clinic. The most common diagnosis was diabetic eye disease (59.9%). In the virtual clinic 44.1% were followed up, 28.1% were discharged, and 27.8% were booked an F2F clinic appointment (urgent/routine). The main reason for F2F clinic was to offer treatment. Urgent F2F appointments took place on average 11.9 days after virtual clinic attendance. In only two cases was the image quality felt to be inadequate to assess the retina. Conclusions: MRVC is an effective way of triaging medical retina referrals to allow those patients needing treatment to be seen promptly in the medical retinal service. The use of multimodal ultra-widefield and optical coherence tomography imaging allows assessment of a wide range of retinal pathologies and is a promising solution to alleviate the burden on HES.","author":[{"dropping-particle":"","family":"Lee","given":"Jing Xian","non-dropping-particle":"","parse-names":false,"suffix":""},{"dropping-particle":"","family":"Manjunath","given":"Vina","non-dropping-particle":"","parse-names":false,"suffix":""},{"dropping-particle":"","family":"Talks","given":"S. James","non-dropping-particle":"","parse-names":false,"suffix":""}],"container-title":"Clinical Ophthalmology","id":"ITEM-1","issued":{"date-parts":[["2018"]]},"note":"OCT + ULTRAWIDEFIELD\n\n+ Denborak aztertu dituzte (urgentzia bat zenbat denboran iristen den F2F-ra)\n- Cloroquina ez dute aztertu\n- Kostoak ez dituzte aztertu\n- Ez dute enkuestarik egin pazienteei (orain ari dira)\n- NEW referalsak bakarrik egin dituzte (guk new + seguimiento)","page":"2337-2345","title":"Expanding the role of medical retina virtual clinics using multimodal ultra-widefield and optical coherence tomography imaging","type":"article-journal","volume":"12"},"uris":["http://www.mendeley.com/documents/?uuid=0203b0a4-af99-41f8-9521-f0d0f57ab09f"]}],"mendeley":{"formattedCitation":"&lt;sup&gt;7&lt;/sup&gt;","plainTextFormattedCitation":"7","previouslyFormattedCitation":"&lt;sup&gt;7&lt;/sup&gt;"},"properties":{"noteIndex":0},"schema":"https://github.com/citation-style-language/schema/raw/master/csl-citation.json"}</w:instrText>
            </w:r>
            <w:r w:rsidRPr="00693E3E">
              <w:rPr>
                <w:rFonts w:ascii="Arial" w:eastAsia="Calibri" w:hAnsi="Arial" w:cs="Arial"/>
                <w:b/>
                <w:lang w:val="en-US"/>
              </w:rPr>
              <w:fldChar w:fldCharType="separate"/>
            </w:r>
            <w:r w:rsidRPr="00693E3E">
              <w:rPr>
                <w:rFonts w:ascii="Arial" w:eastAsia="Calibri" w:hAnsi="Arial" w:cs="Arial"/>
                <w:b/>
                <w:vertAlign w:val="superscript"/>
              </w:rPr>
              <w:t>7</w:t>
            </w:r>
            <w:r w:rsidRPr="00693E3E">
              <w:rPr>
                <w:rFonts w:ascii="Arial" w:eastAsia="Calibri" w:hAnsi="Arial" w:cs="Arial"/>
                <w:b/>
                <w:lang w:val="en-US"/>
              </w:rPr>
              <w:fldChar w:fldCharType="end"/>
            </w:r>
          </w:p>
          <w:p w:rsidR="00693E3E" w:rsidRPr="00693E3E" w:rsidRDefault="00693E3E" w:rsidP="009D59D5">
            <w:pPr>
              <w:spacing w:line="240" w:lineRule="auto"/>
              <w:jc w:val="center"/>
              <w:rPr>
                <w:rFonts w:ascii="Arial" w:eastAsia="Calibri" w:hAnsi="Arial" w:cs="Arial"/>
                <w:b/>
              </w:rPr>
            </w:pPr>
            <w:r w:rsidRPr="00693E3E">
              <w:rPr>
                <w:rFonts w:ascii="Arial" w:eastAsia="Calibri" w:hAnsi="Arial" w:cs="Arial"/>
                <w:b/>
              </w:rPr>
              <w:t xml:space="preserve">(new </w:t>
            </w:r>
            <w:proofErr w:type="spellStart"/>
            <w:r w:rsidRPr="00693E3E">
              <w:rPr>
                <w:rFonts w:ascii="Arial" w:eastAsia="Calibri" w:hAnsi="Arial" w:cs="Arial"/>
                <w:b/>
              </w:rPr>
              <w:t>referrals</w:t>
            </w:r>
            <w:proofErr w:type="spellEnd"/>
            <w:r w:rsidRPr="00693E3E">
              <w:rPr>
                <w:rFonts w:ascii="Arial" w:eastAsia="Calibri" w:hAnsi="Arial" w:cs="Arial"/>
                <w:b/>
              </w:rPr>
              <w:t>)</w:t>
            </w:r>
          </w:p>
        </w:tc>
        <w:tc>
          <w:tcPr>
            <w:tcW w:w="1594" w:type="dxa"/>
            <w:tcBorders>
              <w:top w:val="single" w:sz="18" w:space="0" w:color="auto"/>
              <w:left w:val="nil"/>
              <w:bottom w:val="single" w:sz="18" w:space="0" w:color="auto"/>
              <w:right w:val="nil"/>
            </w:tcBorders>
          </w:tcPr>
          <w:p w:rsidR="00693E3E" w:rsidRPr="00693E3E" w:rsidRDefault="00693E3E" w:rsidP="009D59D5">
            <w:pPr>
              <w:spacing w:line="240" w:lineRule="auto"/>
              <w:jc w:val="center"/>
              <w:rPr>
                <w:rFonts w:ascii="Arial" w:eastAsia="Calibri" w:hAnsi="Arial" w:cs="Arial"/>
                <w:b/>
                <w:lang w:val="en-US"/>
              </w:rPr>
            </w:pPr>
            <w:r w:rsidRPr="00693E3E">
              <w:rPr>
                <w:rFonts w:ascii="Arial" w:eastAsia="Calibri" w:hAnsi="Arial" w:cs="Arial"/>
                <w:b/>
                <w:lang w:val="en-US"/>
              </w:rPr>
              <w:t>Kern et al</w:t>
            </w:r>
            <w:r w:rsidRPr="00693E3E">
              <w:rPr>
                <w:rFonts w:ascii="Arial" w:eastAsia="Calibri" w:hAnsi="Arial" w:cs="Arial"/>
                <w:b/>
                <w:lang w:val="en-US"/>
              </w:rPr>
              <w:fldChar w:fldCharType="begin" w:fldLock="1"/>
            </w:r>
            <w:r w:rsidRPr="00693E3E">
              <w:rPr>
                <w:rFonts w:ascii="Arial" w:eastAsia="Calibri" w:hAnsi="Arial" w:cs="Arial"/>
                <w:b/>
                <w:lang w:val="en-US"/>
              </w:rPr>
              <w:instrText>ADDIN CSL_CITATION {"citationItems":[{"id":"ITEM-1","itemData":{"DOI":"10.1016/j.oret.2019.01.011","ISSN":"2468-6530","author":[{"dropping-particle":"","family":"Kern","given":"Christoph","non-dropping-particle":"","parse-names":false,"suffix":""},{"dropping-particle":"","family":"Kortuem","given":"Karsten","non-dropping-particle":"","parse-names":false,"suffix":""},{"dropping-particle":"","family":"Hamilton","given":"Robin","non-dropping-particle":"","parse-names":false,"suffix":""},{"dropping-particle":"","family":"Fasolo","given":"Sandro","non-dropping-particle":"","parse-names":false,"suffix":""},{"dropping-particle":"","family":"Cai","given":"Yijun","non-dropping-particle":"","parse-names":false,"suffix":""},{"dropping-particle":"","family":"Balaskas","given":"Konstantinos","non-dropping-particle":"","parse-names":false,"suffix":""},{"dropping-particle":"","family":"Keane","given":"Pearse","non-dropping-particle":"","parse-names":false,"suffix":""},{"dropping-particle":"","family":"Sim","given":"Dawn","non-dropping-particle":"","parse-names":false,"suffix":""}],"container-title":"Ophthalmology Retina","id":"ITEM-1","issue":"5","issued":{"date-parts":[["2019"]]},"note":"Moorfields 2","page":"422-428","publisher":"American Academy of Ophthalmology","title":"Clinical Outcomes of a Hospital-Based Teleophthalmology Service What Happens to Patients in a Virtual Clinic ?","type":"article-journal","volume":"3"},"uris":["http://www.mendeley.com/documents/?uuid=3bb8ea27-7f0d-4c79-9626-f307cde001f6"]}],"mendeley":{"formattedCitation":"&lt;sup&gt;6&lt;/sup&gt;","plainTextFormattedCitation":"6","previouslyFormattedCitation":"&lt;sup&gt;3&lt;/sup&gt;"},"properties":{"noteIndex":0},"schema":"https://github.com/citation-style-language/schema/raw/master/csl-citation.json"}</w:instrText>
            </w:r>
            <w:r w:rsidRPr="00693E3E">
              <w:rPr>
                <w:rFonts w:ascii="Arial" w:eastAsia="Calibri" w:hAnsi="Arial" w:cs="Arial"/>
                <w:b/>
                <w:lang w:val="en-US"/>
              </w:rPr>
              <w:fldChar w:fldCharType="separate"/>
            </w:r>
            <w:r w:rsidRPr="00693E3E">
              <w:rPr>
                <w:rFonts w:ascii="Arial" w:eastAsia="Calibri" w:hAnsi="Arial" w:cs="Arial"/>
                <w:b/>
                <w:vertAlign w:val="superscript"/>
                <w:lang w:val="en-US"/>
              </w:rPr>
              <w:t>6</w:t>
            </w:r>
            <w:r w:rsidRPr="00693E3E">
              <w:rPr>
                <w:rFonts w:ascii="Arial" w:eastAsia="Calibri" w:hAnsi="Arial" w:cs="Arial"/>
                <w:b/>
                <w:lang w:val="en-US"/>
              </w:rPr>
              <w:fldChar w:fldCharType="end"/>
            </w:r>
          </w:p>
          <w:p w:rsidR="00693E3E" w:rsidRPr="00693E3E" w:rsidRDefault="00693E3E" w:rsidP="009D59D5">
            <w:pPr>
              <w:spacing w:line="240" w:lineRule="auto"/>
              <w:jc w:val="center"/>
              <w:rPr>
                <w:rFonts w:ascii="Arial" w:eastAsia="Calibri" w:hAnsi="Arial" w:cs="Arial"/>
                <w:b/>
                <w:lang w:val="en-US"/>
              </w:rPr>
            </w:pPr>
            <w:r w:rsidRPr="00693E3E">
              <w:rPr>
                <w:rFonts w:ascii="Arial" w:eastAsia="Calibri" w:hAnsi="Arial" w:cs="Arial"/>
                <w:b/>
                <w:lang w:val="en-US"/>
              </w:rPr>
              <w:t>(consecutive VRC)</w:t>
            </w:r>
          </w:p>
        </w:tc>
        <w:tc>
          <w:tcPr>
            <w:tcW w:w="290" w:type="dxa"/>
            <w:tcBorders>
              <w:top w:val="single" w:sz="18" w:space="0" w:color="auto"/>
              <w:left w:val="nil"/>
              <w:bottom w:val="single" w:sz="18" w:space="0" w:color="auto"/>
              <w:right w:val="nil"/>
            </w:tcBorders>
          </w:tcPr>
          <w:p w:rsidR="00693E3E" w:rsidRPr="00693E3E" w:rsidRDefault="00693E3E" w:rsidP="009D59D5">
            <w:pPr>
              <w:spacing w:line="240" w:lineRule="auto"/>
              <w:jc w:val="center"/>
              <w:rPr>
                <w:rFonts w:ascii="Arial" w:eastAsia="Calibri" w:hAnsi="Arial" w:cs="Arial"/>
                <w:b/>
                <w:lang w:val="en-US"/>
              </w:rPr>
            </w:pPr>
          </w:p>
        </w:tc>
      </w:tr>
      <w:tr w:rsidR="00693E3E" w:rsidRPr="00693E3E" w:rsidTr="00693E3E">
        <w:trPr>
          <w:trHeight w:val="263"/>
        </w:trPr>
        <w:tc>
          <w:tcPr>
            <w:tcW w:w="2574" w:type="dxa"/>
            <w:tcBorders>
              <w:top w:val="single" w:sz="18" w:space="0" w:color="auto"/>
              <w:left w:val="nil"/>
              <w:bottom w:val="nil"/>
              <w:right w:val="nil"/>
            </w:tcBorders>
            <w:shd w:val="clear" w:color="auto" w:fill="auto"/>
          </w:tcPr>
          <w:p w:rsidR="00693E3E" w:rsidRPr="00693E3E" w:rsidRDefault="00693E3E" w:rsidP="009D59D5">
            <w:pPr>
              <w:spacing w:line="240" w:lineRule="auto"/>
              <w:rPr>
                <w:rFonts w:ascii="Arial" w:eastAsia="Calibri" w:hAnsi="Arial" w:cs="Arial"/>
                <w:lang w:val="en-US"/>
              </w:rPr>
            </w:pPr>
            <w:r w:rsidRPr="00693E3E">
              <w:rPr>
                <w:rFonts w:ascii="Arial" w:eastAsia="Calibri" w:hAnsi="Arial" w:cs="Arial"/>
                <w:lang w:val="en-US"/>
              </w:rPr>
              <w:t>No.</w:t>
            </w:r>
          </w:p>
        </w:tc>
        <w:tc>
          <w:tcPr>
            <w:tcW w:w="1594" w:type="dxa"/>
            <w:tcBorders>
              <w:top w:val="single" w:sz="18" w:space="0" w:color="auto"/>
              <w:left w:val="nil"/>
              <w:bottom w:val="nil"/>
              <w:right w:val="nil"/>
            </w:tcBorders>
            <w:shd w:val="clear" w:color="auto" w:fill="auto"/>
            <w:hideMark/>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 xml:space="preserve">481 </w:t>
            </w:r>
          </w:p>
        </w:tc>
        <w:tc>
          <w:tcPr>
            <w:tcW w:w="1739" w:type="dxa"/>
            <w:tcBorders>
              <w:top w:val="single" w:sz="18" w:space="0" w:color="auto"/>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1227</w:t>
            </w:r>
          </w:p>
        </w:tc>
        <w:tc>
          <w:tcPr>
            <w:tcW w:w="1739" w:type="dxa"/>
            <w:tcBorders>
              <w:top w:val="single" w:sz="18" w:space="0" w:color="auto"/>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168</w:t>
            </w:r>
          </w:p>
        </w:tc>
        <w:tc>
          <w:tcPr>
            <w:tcW w:w="1450" w:type="dxa"/>
            <w:tcBorders>
              <w:top w:val="single" w:sz="18" w:space="0" w:color="auto"/>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526</w:t>
            </w:r>
          </w:p>
        </w:tc>
        <w:tc>
          <w:tcPr>
            <w:tcW w:w="1594" w:type="dxa"/>
            <w:tcBorders>
              <w:top w:val="single" w:sz="18" w:space="0" w:color="auto"/>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661</w:t>
            </w:r>
          </w:p>
        </w:tc>
        <w:tc>
          <w:tcPr>
            <w:tcW w:w="290" w:type="dxa"/>
            <w:tcBorders>
              <w:top w:val="single" w:sz="18" w:space="0" w:color="auto"/>
              <w:left w:val="nil"/>
              <w:bottom w:val="nil"/>
              <w:right w:val="nil"/>
            </w:tcBorders>
          </w:tcPr>
          <w:p w:rsidR="00693E3E" w:rsidRPr="00693E3E" w:rsidRDefault="00693E3E" w:rsidP="009D59D5">
            <w:pPr>
              <w:spacing w:line="240" w:lineRule="auto"/>
              <w:jc w:val="center"/>
              <w:rPr>
                <w:rFonts w:ascii="Arial" w:eastAsia="Calibri" w:hAnsi="Arial" w:cs="Arial"/>
                <w:lang w:val="en-US"/>
              </w:rPr>
            </w:pPr>
          </w:p>
        </w:tc>
      </w:tr>
      <w:tr w:rsidR="00693E3E" w:rsidRPr="00693E3E" w:rsidTr="00693E3E">
        <w:trPr>
          <w:trHeight w:val="263"/>
        </w:trPr>
        <w:tc>
          <w:tcPr>
            <w:tcW w:w="2574" w:type="dxa"/>
            <w:tcBorders>
              <w:top w:val="nil"/>
              <w:left w:val="nil"/>
              <w:bottom w:val="nil"/>
              <w:right w:val="nil"/>
            </w:tcBorders>
            <w:shd w:val="clear" w:color="auto" w:fill="auto"/>
            <w:hideMark/>
          </w:tcPr>
          <w:p w:rsidR="00693E3E" w:rsidRPr="00693E3E" w:rsidRDefault="00693E3E" w:rsidP="009D59D5">
            <w:pPr>
              <w:spacing w:line="240" w:lineRule="auto"/>
              <w:rPr>
                <w:rFonts w:ascii="Arial" w:eastAsia="Calibri" w:hAnsi="Arial" w:cs="Arial"/>
                <w:lang w:val="en-US"/>
              </w:rPr>
            </w:pPr>
            <w:r w:rsidRPr="00693E3E">
              <w:rPr>
                <w:rFonts w:ascii="Arial" w:hAnsi="Arial" w:cs="Arial"/>
                <w:lang w:val="en-US"/>
              </w:rPr>
              <w:t>F2F</w:t>
            </w:r>
            <w:r w:rsidRPr="00693E3E">
              <w:rPr>
                <w:rFonts w:ascii="Arial" w:eastAsia="Calibri" w:hAnsi="Arial" w:cs="Arial"/>
                <w:lang w:val="en-US"/>
              </w:rPr>
              <w:t xml:space="preserve"> clinic referrals (%)</w:t>
            </w:r>
          </w:p>
        </w:tc>
        <w:tc>
          <w:tcPr>
            <w:tcW w:w="1594" w:type="dxa"/>
            <w:tcBorders>
              <w:top w:val="nil"/>
              <w:left w:val="nil"/>
              <w:bottom w:val="nil"/>
              <w:right w:val="nil"/>
            </w:tcBorders>
            <w:shd w:val="clear" w:color="auto" w:fill="auto"/>
            <w:hideMark/>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19.3%</w:t>
            </w:r>
          </w:p>
        </w:tc>
        <w:tc>
          <w:tcPr>
            <w:tcW w:w="1739" w:type="dxa"/>
            <w:tcBorders>
              <w:top w:val="nil"/>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30.9%</w:t>
            </w:r>
          </w:p>
        </w:tc>
        <w:tc>
          <w:tcPr>
            <w:tcW w:w="1739" w:type="dxa"/>
            <w:tcBorders>
              <w:top w:val="nil"/>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17.4%</w:t>
            </w:r>
          </w:p>
        </w:tc>
        <w:tc>
          <w:tcPr>
            <w:tcW w:w="1450" w:type="dxa"/>
            <w:tcBorders>
              <w:top w:val="nil"/>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27.8%</w:t>
            </w:r>
          </w:p>
        </w:tc>
        <w:tc>
          <w:tcPr>
            <w:tcW w:w="1594" w:type="dxa"/>
            <w:tcBorders>
              <w:top w:val="nil"/>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15%</w:t>
            </w:r>
          </w:p>
        </w:tc>
        <w:tc>
          <w:tcPr>
            <w:tcW w:w="290" w:type="dxa"/>
            <w:tcBorders>
              <w:top w:val="nil"/>
              <w:left w:val="nil"/>
              <w:bottom w:val="nil"/>
              <w:right w:val="nil"/>
            </w:tcBorders>
          </w:tcPr>
          <w:p w:rsidR="00693E3E" w:rsidRPr="00693E3E" w:rsidRDefault="00693E3E" w:rsidP="009D59D5">
            <w:pPr>
              <w:spacing w:line="240" w:lineRule="auto"/>
              <w:jc w:val="center"/>
              <w:rPr>
                <w:rFonts w:ascii="Arial" w:eastAsia="Calibri" w:hAnsi="Arial" w:cs="Arial"/>
                <w:lang w:val="en-US"/>
              </w:rPr>
            </w:pPr>
          </w:p>
        </w:tc>
      </w:tr>
      <w:tr w:rsidR="00693E3E" w:rsidRPr="00693E3E" w:rsidTr="00693E3E">
        <w:trPr>
          <w:trHeight w:val="263"/>
        </w:trPr>
        <w:tc>
          <w:tcPr>
            <w:tcW w:w="2574" w:type="dxa"/>
            <w:tcBorders>
              <w:top w:val="nil"/>
              <w:left w:val="nil"/>
              <w:bottom w:val="nil"/>
              <w:right w:val="nil"/>
            </w:tcBorders>
            <w:shd w:val="clear" w:color="auto" w:fill="auto"/>
            <w:hideMark/>
          </w:tcPr>
          <w:p w:rsidR="00693E3E" w:rsidRPr="00693E3E" w:rsidRDefault="00693E3E" w:rsidP="009D59D5">
            <w:pPr>
              <w:spacing w:line="240" w:lineRule="auto"/>
              <w:rPr>
                <w:rFonts w:ascii="Arial" w:eastAsia="Calibri" w:hAnsi="Arial" w:cs="Arial"/>
                <w:lang w:val="en-US"/>
              </w:rPr>
            </w:pPr>
            <w:r w:rsidRPr="00693E3E">
              <w:rPr>
                <w:rFonts w:ascii="Arial" w:eastAsia="Calibri" w:hAnsi="Arial" w:cs="Arial"/>
                <w:lang w:val="en-US"/>
              </w:rPr>
              <w:t>Discharged (%)</w:t>
            </w:r>
          </w:p>
        </w:tc>
        <w:tc>
          <w:tcPr>
            <w:tcW w:w="1594" w:type="dxa"/>
            <w:tcBorders>
              <w:top w:val="nil"/>
              <w:left w:val="nil"/>
              <w:bottom w:val="nil"/>
              <w:right w:val="nil"/>
            </w:tcBorders>
            <w:shd w:val="clear" w:color="auto" w:fill="auto"/>
            <w:hideMark/>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6.6%</w:t>
            </w:r>
          </w:p>
        </w:tc>
        <w:tc>
          <w:tcPr>
            <w:tcW w:w="1739" w:type="dxa"/>
            <w:tcBorders>
              <w:top w:val="nil"/>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14.6%</w:t>
            </w:r>
          </w:p>
        </w:tc>
        <w:tc>
          <w:tcPr>
            <w:tcW w:w="1739" w:type="dxa"/>
            <w:tcBorders>
              <w:top w:val="nil"/>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45.5%</w:t>
            </w:r>
          </w:p>
        </w:tc>
        <w:tc>
          <w:tcPr>
            <w:tcW w:w="1450" w:type="dxa"/>
            <w:tcBorders>
              <w:top w:val="nil"/>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28.1%</w:t>
            </w:r>
          </w:p>
        </w:tc>
        <w:tc>
          <w:tcPr>
            <w:tcW w:w="1594" w:type="dxa"/>
            <w:tcBorders>
              <w:top w:val="nil"/>
              <w:left w:val="nil"/>
              <w:bottom w:val="nil"/>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15%</w:t>
            </w:r>
          </w:p>
        </w:tc>
        <w:tc>
          <w:tcPr>
            <w:tcW w:w="290" w:type="dxa"/>
            <w:tcBorders>
              <w:top w:val="nil"/>
              <w:left w:val="nil"/>
              <w:bottom w:val="nil"/>
              <w:right w:val="nil"/>
            </w:tcBorders>
          </w:tcPr>
          <w:p w:rsidR="00693E3E" w:rsidRPr="00693E3E" w:rsidRDefault="00693E3E" w:rsidP="009D59D5">
            <w:pPr>
              <w:spacing w:line="240" w:lineRule="auto"/>
              <w:jc w:val="center"/>
              <w:rPr>
                <w:rFonts w:ascii="Arial" w:eastAsia="Calibri" w:hAnsi="Arial" w:cs="Arial"/>
                <w:lang w:val="en-US"/>
              </w:rPr>
            </w:pPr>
          </w:p>
        </w:tc>
      </w:tr>
      <w:tr w:rsidR="00693E3E" w:rsidRPr="00693E3E" w:rsidTr="00693E3E">
        <w:trPr>
          <w:trHeight w:val="263"/>
        </w:trPr>
        <w:tc>
          <w:tcPr>
            <w:tcW w:w="2574" w:type="dxa"/>
            <w:tcBorders>
              <w:top w:val="nil"/>
              <w:left w:val="nil"/>
              <w:bottom w:val="single" w:sz="18" w:space="0" w:color="auto"/>
              <w:right w:val="nil"/>
            </w:tcBorders>
            <w:shd w:val="clear" w:color="auto" w:fill="auto"/>
            <w:hideMark/>
          </w:tcPr>
          <w:p w:rsidR="00693E3E" w:rsidRPr="00693E3E" w:rsidRDefault="00693E3E" w:rsidP="009D59D5">
            <w:pPr>
              <w:spacing w:line="240" w:lineRule="auto"/>
              <w:rPr>
                <w:rFonts w:ascii="Arial" w:eastAsia="Calibri" w:hAnsi="Arial" w:cs="Arial"/>
                <w:lang w:val="en-US"/>
              </w:rPr>
            </w:pPr>
            <w:r w:rsidRPr="00693E3E">
              <w:rPr>
                <w:rFonts w:ascii="Arial" w:eastAsia="Calibri" w:hAnsi="Arial" w:cs="Arial"/>
                <w:lang w:val="en-US"/>
              </w:rPr>
              <w:t>Continued in VRC (%)</w:t>
            </w:r>
          </w:p>
        </w:tc>
        <w:tc>
          <w:tcPr>
            <w:tcW w:w="1594" w:type="dxa"/>
            <w:tcBorders>
              <w:top w:val="nil"/>
              <w:left w:val="nil"/>
              <w:bottom w:val="single" w:sz="18" w:space="0" w:color="auto"/>
              <w:right w:val="nil"/>
            </w:tcBorders>
            <w:shd w:val="clear" w:color="auto" w:fill="auto"/>
            <w:hideMark/>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74%</w:t>
            </w:r>
          </w:p>
        </w:tc>
        <w:tc>
          <w:tcPr>
            <w:tcW w:w="1739" w:type="dxa"/>
            <w:tcBorders>
              <w:top w:val="nil"/>
              <w:left w:val="nil"/>
              <w:bottom w:val="single" w:sz="18" w:space="0" w:color="auto"/>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54.5%</w:t>
            </w:r>
          </w:p>
        </w:tc>
        <w:tc>
          <w:tcPr>
            <w:tcW w:w="1739" w:type="dxa"/>
            <w:tcBorders>
              <w:top w:val="nil"/>
              <w:left w:val="nil"/>
              <w:bottom w:val="single" w:sz="18" w:space="0" w:color="auto"/>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37.1%</w:t>
            </w:r>
          </w:p>
        </w:tc>
        <w:tc>
          <w:tcPr>
            <w:tcW w:w="1450" w:type="dxa"/>
            <w:tcBorders>
              <w:top w:val="nil"/>
              <w:left w:val="nil"/>
              <w:bottom w:val="single" w:sz="18" w:space="0" w:color="auto"/>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44.1%</w:t>
            </w:r>
          </w:p>
        </w:tc>
        <w:tc>
          <w:tcPr>
            <w:tcW w:w="1594" w:type="dxa"/>
            <w:tcBorders>
              <w:top w:val="nil"/>
              <w:left w:val="nil"/>
              <w:bottom w:val="single" w:sz="18" w:space="0" w:color="auto"/>
              <w:right w:val="nil"/>
            </w:tcBorders>
          </w:tcPr>
          <w:p w:rsidR="00693E3E" w:rsidRPr="00693E3E" w:rsidRDefault="00693E3E" w:rsidP="009D59D5">
            <w:pPr>
              <w:spacing w:line="240" w:lineRule="auto"/>
              <w:jc w:val="center"/>
              <w:rPr>
                <w:rFonts w:ascii="Arial" w:eastAsia="Calibri" w:hAnsi="Arial" w:cs="Arial"/>
                <w:lang w:val="en-US"/>
              </w:rPr>
            </w:pPr>
            <w:r w:rsidRPr="00693E3E">
              <w:rPr>
                <w:rFonts w:ascii="Arial" w:eastAsia="Calibri" w:hAnsi="Arial" w:cs="Arial"/>
                <w:lang w:val="en-US"/>
              </w:rPr>
              <w:t>70%</w:t>
            </w:r>
          </w:p>
        </w:tc>
        <w:tc>
          <w:tcPr>
            <w:tcW w:w="290" w:type="dxa"/>
            <w:tcBorders>
              <w:top w:val="nil"/>
              <w:left w:val="nil"/>
              <w:bottom w:val="single" w:sz="18" w:space="0" w:color="auto"/>
              <w:right w:val="nil"/>
            </w:tcBorders>
          </w:tcPr>
          <w:p w:rsidR="00693E3E" w:rsidRPr="00693E3E" w:rsidRDefault="00693E3E" w:rsidP="009D59D5">
            <w:pPr>
              <w:spacing w:line="240" w:lineRule="auto"/>
              <w:jc w:val="center"/>
              <w:rPr>
                <w:rFonts w:ascii="Arial" w:eastAsia="Calibri" w:hAnsi="Arial" w:cs="Arial"/>
                <w:lang w:val="en-US"/>
              </w:rPr>
            </w:pPr>
          </w:p>
        </w:tc>
      </w:tr>
    </w:tbl>
    <w:p w:rsidR="00693E3E" w:rsidRPr="00693E3E" w:rsidRDefault="00693E3E" w:rsidP="00693E3E">
      <w:pPr>
        <w:spacing w:line="480" w:lineRule="auto"/>
        <w:rPr>
          <w:rFonts w:ascii="Arial" w:hAnsi="Arial" w:cs="Arial"/>
          <w:lang w:val="en-US"/>
        </w:rPr>
      </w:pPr>
      <w:r w:rsidRPr="00693E3E">
        <w:rPr>
          <w:rFonts w:ascii="Arial" w:hAnsi="Arial" w:cs="Arial"/>
          <w:b/>
          <w:lang w:val="en-US"/>
        </w:rPr>
        <w:t xml:space="preserve">Abbreviations: </w:t>
      </w:r>
      <w:r w:rsidRPr="00693E3E">
        <w:rPr>
          <w:rFonts w:ascii="Arial" w:hAnsi="Arial" w:cs="Arial"/>
          <w:lang w:val="en-US"/>
        </w:rPr>
        <w:t xml:space="preserve">F2F, face-to-face. </w:t>
      </w:r>
      <w:proofErr w:type="gramStart"/>
      <w:r w:rsidRPr="00693E3E">
        <w:rPr>
          <w:rFonts w:ascii="Arial" w:hAnsi="Arial" w:cs="Arial"/>
          <w:lang w:val="en-US"/>
        </w:rPr>
        <w:t>VRC, virtual retina clinic.</w:t>
      </w:r>
      <w:proofErr w:type="gramEnd"/>
    </w:p>
    <w:p w:rsidR="00693E3E" w:rsidRPr="00D01E16" w:rsidRDefault="00693E3E" w:rsidP="00693E3E">
      <w:pPr>
        <w:ind w:firstLine="708"/>
        <w:rPr>
          <w:lang w:val="en-US"/>
        </w:rPr>
      </w:pPr>
    </w:p>
    <w:p w:rsidR="00693E3E" w:rsidRPr="00D01E16" w:rsidRDefault="00693E3E" w:rsidP="00693E3E">
      <w:pPr>
        <w:rPr>
          <w:lang w:val="en-US"/>
        </w:rPr>
      </w:pPr>
    </w:p>
    <w:p w:rsidR="00693E3E" w:rsidRPr="00D01E16" w:rsidRDefault="00693E3E" w:rsidP="00693E3E">
      <w:pPr>
        <w:rPr>
          <w:lang w:val="en-US"/>
        </w:rPr>
      </w:pPr>
    </w:p>
    <w:p w:rsidR="00693E3E" w:rsidRPr="00D01E16" w:rsidRDefault="00693E3E" w:rsidP="00693E3E">
      <w:pPr>
        <w:rPr>
          <w:lang w:val="en-US"/>
        </w:rPr>
      </w:pPr>
    </w:p>
    <w:p w:rsidR="00693E3E" w:rsidRPr="00D01E16" w:rsidRDefault="00693E3E" w:rsidP="00693E3E">
      <w:pPr>
        <w:rPr>
          <w:lang w:val="en-US"/>
        </w:rPr>
      </w:pPr>
    </w:p>
    <w:p w:rsidR="000A256B" w:rsidRPr="00693E3E" w:rsidRDefault="000A256B">
      <w:pPr>
        <w:rPr>
          <w:lang w:val="en-US"/>
        </w:rPr>
      </w:pPr>
    </w:p>
    <w:sectPr w:rsidR="000A256B" w:rsidRPr="00693E3E" w:rsidSect="001A211F">
      <w:footerReference w:type="default" r:id="rId5"/>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026946"/>
      <w:docPartObj>
        <w:docPartGallery w:val="Page Numbers (Bottom of Page)"/>
        <w:docPartUnique/>
      </w:docPartObj>
    </w:sdtPr>
    <w:sdtEndPr/>
    <w:sdtContent>
      <w:p w:rsidR="00432207" w:rsidRDefault="00693E3E">
        <w:pPr>
          <w:pStyle w:val="Piedepgina"/>
          <w:jc w:val="right"/>
        </w:pPr>
        <w:r>
          <w:fldChar w:fldCharType="begin"/>
        </w:r>
        <w:r>
          <w:instrText>PAGE   \* MERGEFORMAT</w:instrText>
        </w:r>
        <w:r>
          <w:fldChar w:fldCharType="separate"/>
        </w:r>
        <w:r>
          <w:rPr>
            <w:noProof/>
          </w:rPr>
          <w:t>1</w:t>
        </w:r>
        <w:r>
          <w:fldChar w:fldCharType="end"/>
        </w:r>
      </w:p>
    </w:sdtContent>
  </w:sdt>
  <w:p w:rsidR="00432207" w:rsidRDefault="00693E3E">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E3E"/>
    <w:rsid w:val="000A256B"/>
    <w:rsid w:val="00693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3E"/>
  </w:style>
  <w:style w:type="paragraph" w:styleId="Ttulo2">
    <w:name w:val="heading 2"/>
    <w:basedOn w:val="Normal"/>
    <w:link w:val="Ttulo2Car"/>
    <w:uiPriority w:val="9"/>
    <w:qFormat/>
    <w:rsid w:val="00693E3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93E3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3E3E"/>
  </w:style>
  <w:style w:type="character" w:styleId="Refdecomentario">
    <w:name w:val="annotation reference"/>
    <w:semiHidden/>
    <w:rsid w:val="00693E3E"/>
    <w:rPr>
      <w:sz w:val="16"/>
      <w:szCs w:val="16"/>
    </w:rPr>
  </w:style>
  <w:style w:type="paragraph" w:styleId="Textocomentario">
    <w:name w:val="annotation text"/>
    <w:basedOn w:val="Normal"/>
    <w:link w:val="TextocomentarioCar"/>
    <w:semiHidden/>
    <w:rsid w:val="00693E3E"/>
    <w:pPr>
      <w:spacing w:line="480" w:lineRule="auto"/>
    </w:pPr>
    <w:rPr>
      <w:rFonts w:ascii="Arial" w:eastAsia="Times New Roman" w:hAnsi="Arial" w:cs="Times New Roman"/>
      <w:sz w:val="20"/>
      <w:szCs w:val="20"/>
      <w:lang w:val="en-US"/>
    </w:rPr>
  </w:style>
  <w:style w:type="character" w:customStyle="1" w:styleId="TextocomentarioCar">
    <w:name w:val="Texto comentario Car"/>
    <w:basedOn w:val="Fuentedeprrafopredeter"/>
    <w:link w:val="Textocomentario"/>
    <w:semiHidden/>
    <w:rsid w:val="00693E3E"/>
    <w:rPr>
      <w:rFonts w:ascii="Arial" w:eastAsia="Times New Roman" w:hAnsi="Arial" w:cs="Times New Roman"/>
      <w:sz w:val="20"/>
      <w:szCs w:val="20"/>
      <w:lang w:val="en-US"/>
    </w:rPr>
  </w:style>
  <w:style w:type="paragraph" w:styleId="Textodeglobo">
    <w:name w:val="Balloon Text"/>
    <w:basedOn w:val="Normal"/>
    <w:link w:val="TextodegloboCar"/>
    <w:uiPriority w:val="99"/>
    <w:semiHidden/>
    <w:unhideWhenUsed/>
    <w:rsid w:val="00693E3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3E3E"/>
    <w:rPr>
      <w:rFonts w:ascii="Tahoma" w:hAnsi="Tahoma" w:cs="Tahoma"/>
      <w:sz w:val="16"/>
      <w:szCs w:val="16"/>
    </w:rPr>
  </w:style>
  <w:style w:type="character" w:styleId="Nmerodelnea">
    <w:name w:val="line number"/>
    <w:basedOn w:val="Fuentedeprrafopredeter"/>
    <w:uiPriority w:val="99"/>
    <w:semiHidden/>
    <w:unhideWhenUsed/>
    <w:rsid w:val="00693E3E"/>
  </w:style>
  <w:style w:type="character" w:customStyle="1" w:styleId="Ttulo2Car">
    <w:name w:val="Título 2 Car"/>
    <w:basedOn w:val="Fuentedeprrafopredeter"/>
    <w:link w:val="Ttulo2"/>
    <w:uiPriority w:val="9"/>
    <w:rsid w:val="00693E3E"/>
    <w:rPr>
      <w:rFonts w:ascii="Times New Roman" w:eastAsia="Times New Roman" w:hAnsi="Times New Roman" w:cs="Times New Roman"/>
      <w:b/>
      <w:bCs/>
      <w:sz w:val="36"/>
      <w:szCs w:val="3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3E"/>
  </w:style>
  <w:style w:type="paragraph" w:styleId="Ttulo2">
    <w:name w:val="heading 2"/>
    <w:basedOn w:val="Normal"/>
    <w:link w:val="Ttulo2Car"/>
    <w:uiPriority w:val="9"/>
    <w:qFormat/>
    <w:rsid w:val="00693E3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93E3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3E3E"/>
  </w:style>
  <w:style w:type="character" w:styleId="Refdecomentario">
    <w:name w:val="annotation reference"/>
    <w:semiHidden/>
    <w:rsid w:val="00693E3E"/>
    <w:rPr>
      <w:sz w:val="16"/>
      <w:szCs w:val="16"/>
    </w:rPr>
  </w:style>
  <w:style w:type="paragraph" w:styleId="Textocomentario">
    <w:name w:val="annotation text"/>
    <w:basedOn w:val="Normal"/>
    <w:link w:val="TextocomentarioCar"/>
    <w:semiHidden/>
    <w:rsid w:val="00693E3E"/>
    <w:pPr>
      <w:spacing w:line="480" w:lineRule="auto"/>
    </w:pPr>
    <w:rPr>
      <w:rFonts w:ascii="Arial" w:eastAsia="Times New Roman" w:hAnsi="Arial" w:cs="Times New Roman"/>
      <w:sz w:val="20"/>
      <w:szCs w:val="20"/>
      <w:lang w:val="en-US"/>
    </w:rPr>
  </w:style>
  <w:style w:type="character" w:customStyle="1" w:styleId="TextocomentarioCar">
    <w:name w:val="Texto comentario Car"/>
    <w:basedOn w:val="Fuentedeprrafopredeter"/>
    <w:link w:val="Textocomentario"/>
    <w:semiHidden/>
    <w:rsid w:val="00693E3E"/>
    <w:rPr>
      <w:rFonts w:ascii="Arial" w:eastAsia="Times New Roman" w:hAnsi="Arial" w:cs="Times New Roman"/>
      <w:sz w:val="20"/>
      <w:szCs w:val="20"/>
      <w:lang w:val="en-US"/>
    </w:rPr>
  </w:style>
  <w:style w:type="paragraph" w:styleId="Textodeglobo">
    <w:name w:val="Balloon Text"/>
    <w:basedOn w:val="Normal"/>
    <w:link w:val="TextodegloboCar"/>
    <w:uiPriority w:val="99"/>
    <w:semiHidden/>
    <w:unhideWhenUsed/>
    <w:rsid w:val="00693E3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3E3E"/>
    <w:rPr>
      <w:rFonts w:ascii="Tahoma" w:hAnsi="Tahoma" w:cs="Tahoma"/>
      <w:sz w:val="16"/>
      <w:szCs w:val="16"/>
    </w:rPr>
  </w:style>
  <w:style w:type="character" w:styleId="Nmerodelnea">
    <w:name w:val="line number"/>
    <w:basedOn w:val="Fuentedeprrafopredeter"/>
    <w:uiPriority w:val="99"/>
    <w:semiHidden/>
    <w:unhideWhenUsed/>
    <w:rsid w:val="00693E3E"/>
  </w:style>
  <w:style w:type="character" w:customStyle="1" w:styleId="Ttulo2Car">
    <w:name w:val="Título 2 Car"/>
    <w:basedOn w:val="Fuentedeprrafopredeter"/>
    <w:link w:val="Ttulo2"/>
    <w:uiPriority w:val="9"/>
    <w:rsid w:val="00693E3E"/>
    <w:rPr>
      <w:rFonts w:ascii="Times New Roman" w:eastAsia="Times New Roman" w:hAnsi="Times New Roman" w:cs="Times New Roman"/>
      <w:b/>
      <w:bCs/>
      <w:sz w:val="36"/>
      <w:szCs w:val="3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1579</Words>
  <Characters>8685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2022-01-06T09:53:00Z</dcterms:created>
  <dcterms:modified xsi:type="dcterms:W3CDTF">2022-01-06T10:00:00Z</dcterms:modified>
</cp:coreProperties>
</file>