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1B69" w14:textId="20146081" w:rsidR="00316B51" w:rsidRPr="00316B51" w:rsidRDefault="00316B51" w:rsidP="00316B51">
      <w:pPr>
        <w:spacing w:line="480" w:lineRule="auto"/>
        <w:contextualSpacing/>
        <w:rPr>
          <w:rFonts w:ascii="Arial" w:hAnsi="Arial" w:cs="Arial"/>
          <w:b/>
          <w:bCs/>
          <w:sz w:val="24"/>
        </w:rPr>
      </w:pPr>
      <w:r w:rsidRPr="00316B51">
        <w:rPr>
          <w:rFonts w:ascii="Arial" w:hAnsi="Arial" w:cs="Arial"/>
          <w:b/>
          <w:bCs/>
          <w:sz w:val="24"/>
        </w:rPr>
        <w:t>Supplementary methods</w:t>
      </w:r>
    </w:p>
    <w:p w14:paraId="17CEE3E6" w14:textId="33B41C2C" w:rsidR="00316B51" w:rsidRPr="00316B51" w:rsidRDefault="00316B51" w:rsidP="00316B51">
      <w:pPr>
        <w:spacing w:line="480" w:lineRule="auto"/>
        <w:ind w:firstLineChars="176" w:firstLine="422"/>
        <w:rPr>
          <w:rFonts w:ascii="Arial" w:hAnsi="Arial" w:cs="Arial"/>
          <w:sz w:val="24"/>
        </w:rPr>
      </w:pPr>
      <w:r w:rsidRPr="00316B51">
        <w:rPr>
          <w:rFonts w:ascii="Arial" w:hAnsi="Arial" w:cs="Arial"/>
          <w:bCs/>
          <w:iCs/>
          <w:sz w:val="24"/>
        </w:rPr>
        <w:t xml:space="preserve">Here is the formula for the IPTW modeling: </w:t>
      </w:r>
      <w:r w:rsidRPr="00316B51">
        <w:rPr>
          <w:rFonts w:ascii="Arial" w:hAnsi="Arial" w:cs="Arial"/>
          <w:sz w:val="24"/>
        </w:rPr>
        <w:t xml:space="preserve">Suppose there are n people in the analysis, where we have a matrix </w:t>
      </w:r>
      <w:r w:rsidRPr="00316B51">
        <w:rPr>
          <w:rFonts w:ascii="Arial" w:hAnsi="Arial" w:cs="Arial"/>
          <w:b/>
          <w:bCs/>
          <w:i/>
          <w:iCs/>
          <w:sz w:val="24"/>
        </w:rPr>
        <w:t>L</w:t>
      </w:r>
      <w:r w:rsidRPr="00316B51">
        <w:rPr>
          <w:rFonts w:ascii="Arial" w:hAnsi="Arial" w:cs="Arial"/>
          <w:sz w:val="24"/>
        </w:rPr>
        <w:t xml:space="preserve"> indicating the adjusted variables, </w:t>
      </w:r>
      <w:r w:rsidRPr="00316B51">
        <w:rPr>
          <w:rFonts w:ascii="Arial" w:hAnsi="Arial" w:cs="Arial"/>
          <w:b/>
          <w:bCs/>
          <w:i/>
          <w:iCs/>
          <w:sz w:val="24"/>
        </w:rPr>
        <w:t>L</w:t>
      </w:r>
      <w:r w:rsidRPr="00316B51">
        <w:rPr>
          <w:rFonts w:ascii="Arial" w:hAnsi="Arial" w:cs="Arial"/>
          <w:i/>
          <w:iCs/>
          <w:sz w:val="24"/>
        </w:rPr>
        <w:t xml:space="preserve"> = [Age, Gender, Hypertension, Diabetes, Coronary heart disease, Neutrophils, Lymphocytes, D-Dimer, CRP, LMWH, </w:t>
      </w:r>
      <w:proofErr w:type="spellStart"/>
      <w:r w:rsidRPr="00316B51">
        <w:rPr>
          <w:rFonts w:ascii="Arial" w:hAnsi="Arial" w:cs="Arial"/>
          <w:i/>
          <w:iCs/>
          <w:sz w:val="24"/>
        </w:rPr>
        <w:t>Arbidol</w:t>
      </w:r>
      <w:proofErr w:type="spellEnd"/>
      <w:r w:rsidRPr="00316B51">
        <w:rPr>
          <w:rFonts w:ascii="Arial" w:hAnsi="Arial" w:cs="Arial"/>
          <w:i/>
          <w:iCs/>
          <w:sz w:val="24"/>
        </w:rPr>
        <w:t>, Ribavirin, Interferon</w:t>
      </w:r>
      <w:r w:rsidR="00021566">
        <w:rPr>
          <w:rFonts w:ascii="Arial" w:hAnsi="Arial" w:cs="Arial"/>
          <w:i/>
          <w:iCs/>
          <w:sz w:val="24"/>
        </w:rPr>
        <w:t xml:space="preserve"> </w:t>
      </w:r>
      <w:r w:rsidR="00021566" w:rsidRPr="00021566">
        <w:rPr>
          <w:rFonts w:ascii="Arial" w:hAnsi="Arial" w:cs="Arial"/>
          <w:i/>
          <w:iCs/>
          <w:sz w:val="24"/>
        </w:rPr>
        <w:t>α-2b</w:t>
      </w:r>
      <w:r w:rsidRPr="00316B51">
        <w:rPr>
          <w:rFonts w:ascii="Arial" w:hAnsi="Arial" w:cs="Arial"/>
          <w:i/>
          <w:iCs/>
          <w:sz w:val="24"/>
        </w:rPr>
        <w:t xml:space="preserve">, Chinese medicine, Antibiotics], </w:t>
      </w:r>
      <w:r w:rsidRPr="00316B51">
        <w:rPr>
          <w:rFonts w:ascii="Arial" w:hAnsi="Arial" w:cs="Arial"/>
          <w:sz w:val="24"/>
        </w:rPr>
        <w:t xml:space="preserve">and a vector </w:t>
      </w:r>
      <w:r w:rsidRPr="00316B51">
        <w:rPr>
          <w:rFonts w:ascii="Arial" w:hAnsi="Arial" w:cs="Arial"/>
          <w:b/>
          <w:bCs/>
          <w:i/>
          <w:iCs/>
          <w:sz w:val="24"/>
        </w:rPr>
        <w:t>x</w:t>
      </w:r>
      <w:r w:rsidRPr="00316B51">
        <w:rPr>
          <w:rFonts w:ascii="Arial" w:hAnsi="Arial" w:cs="Arial"/>
          <w:sz w:val="24"/>
        </w:rPr>
        <w:t xml:space="preserve"> indicating the Low C3. In order to generate the stabilized weighting, we have</w:t>
      </w:r>
    </w:p>
    <w:p w14:paraId="7709A03B" w14:textId="77777777" w:rsidR="00316B51" w:rsidRPr="00316B51" w:rsidRDefault="00316B51" w:rsidP="00316B51">
      <w:pPr>
        <w:spacing w:line="480" w:lineRule="auto"/>
        <w:rPr>
          <w:rFonts w:ascii="Arial" w:hAnsi="Arial"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S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</w:rPr>
                <m:t>W</m:t>
              </m:r>
            </m:e>
            <m:sup>
              <m:r>
                <w:rPr>
                  <w:rFonts w:ascii="Cambria Math" w:hAnsi="Cambria Math" w:cs="Arial"/>
                  <w:sz w:val="24"/>
                </w:rPr>
                <m:t>x</m:t>
              </m:r>
            </m:sup>
          </m:sSup>
          <m:r>
            <w:rPr>
              <w:rFonts w:ascii="Cambria Math" w:hAnsi="Cambria Math" w:cs="Arial"/>
              <w:sz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</m:d>
              <m:ctrlPr>
                <w:rPr>
                  <w:rFonts w:ascii="Cambria Math" w:hAnsi="Cambria Math" w:cs="Arial"/>
                  <w:i/>
                  <w:sz w:val="24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L</m:t>
                  </m:r>
                </m:e>
              </m:d>
              <m:ctrlPr>
                <w:rPr>
                  <w:rFonts w:ascii="Cambria Math" w:hAnsi="Cambria Math" w:cs="Arial"/>
                  <w:i/>
                  <w:sz w:val="24"/>
                </w:rPr>
              </m:ctrlPr>
            </m:den>
          </m:f>
          <m:r>
            <w:rPr>
              <w:rFonts w:ascii="Cambria Math" w:hAnsi="Cambria Math" w:cs="Arial"/>
              <w:sz w:val="24"/>
            </w:rPr>
            <m:t>,where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</w:rPr>
            <m:t>=sigm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10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</w:rPr>
            <m:t>,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</w:rPr>
                <m:t xml:space="preserve"> f</m:t>
              </m:r>
            </m:e>
            <m:sub>
              <m:r>
                <w:rPr>
                  <w:rFonts w:ascii="Cambria Math" w:hAnsi="Cambria Math" w:cs="Arial"/>
                  <w:sz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</m:t>
              </m:r>
            </m:e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L</m:t>
              </m:r>
            </m:e>
          </m:d>
          <m:r>
            <w:rPr>
              <w:rFonts w:ascii="Cambria Math" w:hAnsi="Cambria Math" w:cs="Arial"/>
              <w:sz w:val="24"/>
            </w:rPr>
            <m:t>=sigm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L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bCs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</w:rPr>
            <m:t xml:space="preserve">, </m:t>
          </m:r>
        </m:oMath>
      </m:oMathPara>
    </w:p>
    <w:p w14:paraId="4754E1AF" w14:textId="77777777" w:rsidR="00316B51" w:rsidRPr="00316B51" w:rsidRDefault="00316B51" w:rsidP="00316B51">
      <w:pPr>
        <w:spacing w:line="480" w:lineRule="auto"/>
        <w:rPr>
          <w:rFonts w:ascii="Arial" w:hAnsi="Arial"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and</m:t>
          </m:r>
          <m:sSub>
            <m:sSubPr>
              <m:ctrlPr>
                <w:rPr>
                  <w:rFonts w:ascii="Cambria Math" w:hAnsi="Cambria Math" w:cs="Arial"/>
                  <w:b/>
                  <w:bCs/>
                  <w:i/>
                  <w:sz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</w:rPr>
                        <m:t>age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</w:rPr>
                        <m:t>Gender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</w:rPr>
                        <m:t>Antibiotics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Arial"/>
                  <w:sz w:val="24"/>
                </w:rPr>
                <m:t>T</m:t>
              </m:r>
            </m:sup>
          </m:sSup>
        </m:oMath>
      </m:oMathPara>
    </w:p>
    <w:p w14:paraId="1E62BFEE" w14:textId="16D18570" w:rsidR="00316B51" w:rsidRPr="00316B51" w:rsidRDefault="00316B51" w:rsidP="00492DCF">
      <w:pPr>
        <w:spacing w:line="480" w:lineRule="auto"/>
        <w:ind w:firstLineChars="177" w:firstLine="425"/>
        <w:contextualSpacing/>
        <w:rPr>
          <w:rFonts w:ascii="Arial" w:hAnsi="Arial" w:cs="Arial"/>
          <w:sz w:val="24"/>
        </w:rPr>
      </w:pPr>
      <w:r w:rsidRPr="00316B51">
        <w:rPr>
          <w:rFonts w:ascii="Arial" w:hAnsi="Arial" w:cs="Arial"/>
          <w:sz w:val="24"/>
        </w:rPr>
        <w:t>Using the stabilized weighting, we built a Cox model which took all the adjusting variables into consideration and can provide unbiased estima</w:t>
      </w:r>
      <w:r w:rsidR="00CA59C7">
        <w:rPr>
          <w:rFonts w:ascii="Arial" w:hAnsi="Arial" w:cs="Arial"/>
          <w:sz w:val="24"/>
        </w:rPr>
        <w:t>te</w:t>
      </w:r>
      <w:r w:rsidRPr="00316B51">
        <w:rPr>
          <w:rFonts w:ascii="Arial" w:hAnsi="Arial" w:cs="Arial"/>
          <w:sz w:val="24"/>
        </w:rPr>
        <w:t xml:space="preserve"> under the correct model specification.</w:t>
      </w:r>
    </w:p>
    <w:p w14:paraId="4D69E0A1" w14:textId="77777777" w:rsidR="00316B51" w:rsidRPr="00316B51" w:rsidRDefault="00316B51" w:rsidP="00316B51">
      <w:pPr>
        <w:spacing w:line="480" w:lineRule="auto"/>
        <w:rPr>
          <w:rFonts w:ascii="Arial" w:hAnsi="Arial" w:cs="Arial"/>
          <w:sz w:val="24"/>
        </w:rPr>
      </w:pPr>
      <m:oMathPara>
        <m:oMath>
          <m:r>
            <w:rPr>
              <w:rFonts w:ascii="Cambria Math" w:hAnsi="Cambria Math" w:cs="Arial"/>
              <w:sz w:val="24"/>
            </w:rPr>
            <m:t>h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</w:rPr>
                <m:t>t</m:t>
              </m:r>
            </m:e>
          </m:d>
          <m:r>
            <w:rPr>
              <w:rFonts w:ascii="Cambria Math" w:hAnsi="Cambria Math" w:cs="Arial"/>
              <w:sz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</w:rPr>
                <m:t>h</m:t>
              </m:r>
            </m:e>
            <m:sub>
              <m:r>
                <w:rPr>
                  <w:rFonts w:ascii="Cambria Math" w:hAnsi="Cambria Math" w:cs="Arial"/>
                  <w:sz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</w:rPr>
                <m:t>t</m:t>
              </m:r>
            </m:e>
          </m:d>
          <m:r>
            <w:rPr>
              <w:rFonts w:ascii="Cambria Math" w:hAnsi="Cambria Math" w:cs="Arial"/>
              <w:sz w:val="24"/>
            </w:rPr>
            <m:t>exp</m:t>
          </m:r>
          <m:d>
            <m:dPr>
              <m:ctrlPr>
                <w:rPr>
                  <w:rFonts w:ascii="Cambria Math" w:hAnsi="Cambria Math" w:cs="Arial"/>
                  <w:i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w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T</m:t>
                  </m:r>
                </m:sup>
              </m:sSubSup>
            </m:e>
          </m:d>
          <m:r>
            <w:rPr>
              <w:rFonts w:ascii="Cambria Math" w:hAnsi="Cambria Math" w:cs="Arial"/>
              <w:sz w:val="24"/>
            </w:rPr>
            <m:t xml:space="preserve">, where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</w:rPr>
                <m:t>x</m:t>
              </m:r>
            </m:e>
            <m:sub>
              <m:r>
                <w:rPr>
                  <w:rFonts w:ascii="Cambria Math" w:hAnsi="Cambria Math" w:cs="Arial"/>
                  <w:sz w:val="24"/>
                </w:rPr>
                <m:t>w</m:t>
              </m:r>
            </m:sub>
          </m:sSub>
          <m:r>
            <w:rPr>
              <w:rFonts w:ascii="Cambria Math" w:hAnsi="Cambria Math" w:cs="Arial"/>
              <w:sz w:val="24"/>
            </w:rPr>
            <m:t>=</m:t>
          </m:r>
          <m:f>
            <m:fPr>
              <m:ctrlPr>
                <w:rPr>
                  <w:rFonts w:ascii="Cambria Math" w:hAnsi="Cambria Math" w:cs="Arial"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s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</w:rPr>
                            <m:t>x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</m:t>
              </m:r>
              <m:ctrlPr>
                <w:rPr>
                  <w:rFonts w:ascii="Cambria Math" w:hAnsi="Cambria Math" w:cs="Arial"/>
                  <w:i/>
                  <w:sz w:val="24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>⋅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</w:rPr>
                        <m:t>s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</w:rPr>
                            <m:t>x</m:t>
                          </m:r>
                        </m:sup>
                      </m:sSup>
                    </m:e>
                  </m:d>
                  <m:ctrlPr>
                    <w:rPr>
                      <w:rFonts w:ascii="Cambria Math" w:hAnsi="Cambria Math" w:cs="Arial"/>
                      <w:sz w:val="24"/>
                    </w:rPr>
                  </m:ctrlPr>
                </m:e>
                <m:sup>
                  <m:r>
                    <w:rPr>
                      <w:rFonts w:ascii="Cambria Math" w:hAnsi="Cambria Math" w:cs="Arial"/>
                      <w:sz w:val="24"/>
                    </w:rPr>
                    <m:t>T</m:t>
                  </m:r>
                </m:sup>
              </m:sSup>
              <m:ctrlPr>
                <w:rPr>
                  <w:rFonts w:ascii="Cambria Math" w:hAnsi="Cambria Math" w:cs="Arial"/>
                  <w:i/>
                  <w:sz w:val="24"/>
                </w:rPr>
              </m:ctrlPr>
            </m:den>
          </m:f>
          <m:r>
            <w:rPr>
              <w:rFonts w:ascii="Cambria Math" w:hAnsi="Cambria Math" w:cs="Arial"/>
              <w:sz w:val="24"/>
            </w:rPr>
            <m:t xml:space="preserve">,and </m:t>
          </m:r>
          <m:r>
            <m:rPr>
              <m:sty m:val="bi"/>
            </m:rPr>
            <w:rPr>
              <w:rFonts w:ascii="Cambria Math" w:hAnsi="Cambria Math" w:cs="Arial"/>
              <w:sz w:val="24"/>
            </w:rPr>
            <m:t>1</m:t>
          </m:r>
          <m:r>
            <w:rPr>
              <w:rFonts w:ascii="Cambria Math" w:hAnsi="Cambria Math" w:cs="Arial"/>
              <w:sz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</w:rPr>
                    <m:t>1,1,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⋯</m:t>
                  </m:r>
                  <m:r>
                    <w:rPr>
                      <w:rFonts w:ascii="Cambria Math" w:hAnsi="Cambria Math" w:cs="Arial"/>
                      <w:sz w:val="24"/>
                    </w:rPr>
                    <m:t>,1</m:t>
                  </m:r>
                </m:e>
              </m:d>
            </m:e>
            <m:sub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×</m:t>
                  </m:r>
                  <m:r>
                    <w:rPr>
                      <w:rFonts w:ascii="Cambria Math" w:hAnsi="Cambria Math" w:cs="Arial"/>
                      <w:sz w:val="24"/>
                    </w:rPr>
                    <m:t>n</m:t>
                  </m:r>
                </m:e>
              </m:d>
            </m:sub>
          </m:sSub>
        </m:oMath>
      </m:oMathPara>
    </w:p>
    <w:p w14:paraId="71DB7227" w14:textId="3526A0C3" w:rsidR="00316B51" w:rsidRPr="00316B51" w:rsidRDefault="00316B51" w:rsidP="00492DCF">
      <w:pPr>
        <w:spacing w:line="480" w:lineRule="auto"/>
        <w:ind w:firstLineChars="177" w:firstLine="425"/>
        <w:contextualSpacing/>
        <w:rPr>
          <w:rFonts w:ascii="Arial" w:hAnsi="Arial" w:cs="Arial"/>
          <w:sz w:val="24"/>
        </w:rPr>
      </w:pPr>
      <w:r w:rsidRPr="00316B51">
        <w:rPr>
          <w:rFonts w:ascii="Arial" w:hAnsi="Arial" w:cs="Arial"/>
          <w:sz w:val="24"/>
        </w:rPr>
        <w:t>There are very mature statistical packages about IPW in the majority of the statistical language such as R which was used in this study.</w:t>
      </w:r>
    </w:p>
    <w:p w14:paraId="759CB4BE" w14:textId="77777777" w:rsidR="00316B51" w:rsidRPr="00316B51" w:rsidRDefault="00316B51" w:rsidP="00366B54">
      <w:pPr>
        <w:spacing w:line="360" w:lineRule="auto"/>
        <w:contextualSpacing/>
        <w:rPr>
          <w:rFonts w:ascii="Arial" w:hAnsi="Arial" w:cs="Arial"/>
          <w:b/>
          <w:bCs/>
          <w:sz w:val="22"/>
        </w:rPr>
      </w:pPr>
    </w:p>
    <w:p w14:paraId="48835A09" w14:textId="77777777" w:rsidR="00316B51" w:rsidRDefault="00316B51" w:rsidP="00366B54">
      <w:pPr>
        <w:spacing w:line="360" w:lineRule="auto"/>
        <w:contextualSpacing/>
        <w:rPr>
          <w:rFonts w:ascii="Arial" w:hAnsi="Arial" w:cs="Arial"/>
          <w:b/>
          <w:bCs/>
          <w:sz w:val="22"/>
        </w:rPr>
      </w:pPr>
    </w:p>
    <w:p w14:paraId="19E08F07" w14:textId="77777777" w:rsidR="00316B51" w:rsidRDefault="00316B51" w:rsidP="00366B54">
      <w:pPr>
        <w:spacing w:line="360" w:lineRule="auto"/>
        <w:contextualSpacing/>
        <w:rPr>
          <w:rFonts w:ascii="Arial" w:hAnsi="Arial" w:cs="Arial"/>
          <w:b/>
          <w:bCs/>
          <w:sz w:val="22"/>
        </w:rPr>
      </w:pPr>
    </w:p>
    <w:p w14:paraId="46558E24" w14:textId="77777777" w:rsidR="00316B51" w:rsidRDefault="00316B51" w:rsidP="00366B54">
      <w:pPr>
        <w:spacing w:line="360" w:lineRule="auto"/>
        <w:contextualSpacing/>
        <w:rPr>
          <w:rFonts w:ascii="Arial" w:hAnsi="Arial" w:cs="Arial"/>
          <w:b/>
          <w:bCs/>
          <w:sz w:val="22"/>
        </w:rPr>
      </w:pPr>
    </w:p>
    <w:p w14:paraId="7D4BB2EA" w14:textId="77777777" w:rsidR="00316B51" w:rsidRDefault="00316B51" w:rsidP="00366B54">
      <w:pPr>
        <w:spacing w:line="360" w:lineRule="auto"/>
        <w:contextualSpacing/>
        <w:rPr>
          <w:rFonts w:ascii="Arial" w:hAnsi="Arial" w:cs="Arial"/>
          <w:b/>
          <w:bCs/>
          <w:sz w:val="22"/>
        </w:rPr>
      </w:pPr>
    </w:p>
    <w:p w14:paraId="7706AC21" w14:textId="77777777" w:rsidR="00316B51" w:rsidRDefault="00316B51" w:rsidP="00366B54">
      <w:pPr>
        <w:spacing w:line="360" w:lineRule="auto"/>
        <w:contextualSpacing/>
        <w:rPr>
          <w:rFonts w:ascii="Arial" w:hAnsi="Arial" w:cs="Arial"/>
          <w:b/>
          <w:bCs/>
          <w:sz w:val="22"/>
        </w:rPr>
        <w:sectPr w:rsidR="00316B51" w:rsidSect="00316B51">
          <w:pgSz w:w="11906" w:h="16838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3845D724" w14:textId="77777777" w:rsidR="00316B51" w:rsidRDefault="00316B51" w:rsidP="00366B54">
      <w:pPr>
        <w:spacing w:line="360" w:lineRule="auto"/>
        <w:contextualSpacing/>
        <w:rPr>
          <w:rFonts w:ascii="Arial" w:hAnsi="Arial" w:cs="Arial"/>
          <w:b/>
          <w:bCs/>
          <w:sz w:val="22"/>
        </w:rPr>
      </w:pPr>
    </w:p>
    <w:p w14:paraId="45293B60" w14:textId="25974BDB" w:rsidR="00366B54" w:rsidRPr="002F544A" w:rsidRDefault="00366B54" w:rsidP="00366B54">
      <w:pPr>
        <w:spacing w:line="360" w:lineRule="auto"/>
        <w:contextualSpacing/>
        <w:rPr>
          <w:rFonts w:ascii="Arial" w:hAnsi="Arial" w:cs="Arial"/>
          <w:b/>
          <w:bCs/>
          <w:sz w:val="24"/>
          <w:szCs w:val="28"/>
        </w:rPr>
      </w:pPr>
      <w:r w:rsidRPr="002F544A">
        <w:rPr>
          <w:rFonts w:ascii="Arial" w:hAnsi="Arial" w:cs="Arial"/>
          <w:b/>
          <w:bCs/>
          <w:sz w:val="22"/>
        </w:rPr>
        <w:t xml:space="preserve">Supplementary Table 1 </w:t>
      </w:r>
      <w:r w:rsidRPr="002F544A">
        <w:rPr>
          <w:rFonts w:ascii="Arial" w:hAnsi="Arial" w:cs="Arial"/>
          <w:b/>
          <w:bCs/>
          <w:sz w:val="22"/>
          <w:szCs w:val="24"/>
        </w:rPr>
        <w:t xml:space="preserve">Clinical outcomes according to the 6-point ordinal scale </w:t>
      </w:r>
    </w:p>
    <w:tbl>
      <w:tblPr>
        <w:tblpPr w:leftFromText="180" w:rightFromText="180" w:vertAnchor="text" w:horzAnchor="margin" w:tblpY="47"/>
        <w:tblW w:w="11335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7650"/>
        <w:gridCol w:w="1843"/>
        <w:gridCol w:w="1842"/>
      </w:tblGrid>
      <w:tr w:rsidR="00366B54" w:rsidRPr="002F544A" w14:paraId="3BE4B6B1" w14:textId="77777777" w:rsidTr="00B21219">
        <w:trPr>
          <w:trHeight w:val="391"/>
        </w:trPr>
        <w:tc>
          <w:tcPr>
            <w:tcW w:w="76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AEDC" w14:textId="77777777" w:rsidR="00366B54" w:rsidRPr="002F544A" w:rsidRDefault="00366B54" w:rsidP="0000760B">
            <w:pPr>
              <w:spacing w:line="360" w:lineRule="auto"/>
              <w:ind w:leftChars="-257" w:left="-540" w:firstLineChars="270" w:firstLine="5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44A">
              <w:rPr>
                <w:rFonts w:ascii="Arial" w:hAnsi="Arial" w:cs="Arial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C17B9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44A">
              <w:rPr>
                <w:rFonts w:ascii="Arial" w:hAnsi="Arial" w:cs="Arial"/>
                <w:b/>
                <w:bCs/>
                <w:sz w:val="20"/>
                <w:szCs w:val="20"/>
              </w:rPr>
              <w:t>Low C3 group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6D9F7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44A">
              <w:rPr>
                <w:rFonts w:ascii="Arial" w:hAnsi="Arial" w:cs="Arial"/>
                <w:b/>
                <w:bCs/>
                <w:sz w:val="20"/>
                <w:szCs w:val="20"/>
              </w:rPr>
              <w:t>Control group</w:t>
            </w:r>
          </w:p>
        </w:tc>
      </w:tr>
      <w:tr w:rsidR="00366B54" w:rsidRPr="002F544A" w14:paraId="41B11B43" w14:textId="77777777" w:rsidTr="00B21219">
        <w:trPr>
          <w:trHeight w:val="362"/>
        </w:trPr>
        <w:tc>
          <w:tcPr>
            <w:tcW w:w="7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7599" w14:textId="77777777" w:rsidR="00366B54" w:rsidRPr="002F544A" w:rsidRDefault="00366B54" w:rsidP="000076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494B7D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44A">
              <w:rPr>
                <w:rFonts w:ascii="Arial" w:hAnsi="Arial" w:cs="Arial"/>
                <w:b/>
                <w:bCs/>
                <w:sz w:val="20"/>
                <w:szCs w:val="20"/>
              </w:rPr>
              <w:t>(n=57)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E2039A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44A">
              <w:rPr>
                <w:rFonts w:ascii="Arial" w:hAnsi="Arial" w:cs="Arial"/>
                <w:b/>
                <w:bCs/>
                <w:sz w:val="20"/>
                <w:szCs w:val="20"/>
              </w:rPr>
              <w:t>(n=159)</w:t>
            </w:r>
          </w:p>
        </w:tc>
      </w:tr>
      <w:tr w:rsidR="00366B54" w:rsidRPr="002F544A" w14:paraId="14E2787F" w14:textId="77777777" w:rsidTr="00492DCF">
        <w:trPr>
          <w:trHeight w:val="288"/>
        </w:trPr>
        <w:tc>
          <w:tcPr>
            <w:tcW w:w="76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FBDE5" w14:textId="77777777" w:rsidR="00366B54" w:rsidRPr="002F544A" w:rsidRDefault="00366B54" w:rsidP="000076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Clinical status at study baseline — no. of patients (%)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4CAE3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585C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54" w:rsidRPr="002F544A" w14:paraId="2826AA2F" w14:textId="77777777" w:rsidTr="00492DCF">
        <w:trPr>
          <w:trHeight w:val="267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56705" w14:textId="77777777" w:rsidR="00366B54" w:rsidRPr="002F544A" w:rsidRDefault="00366B54" w:rsidP="000076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   2: B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>reathing ambient air without supplemental oxygen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FE36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21 (36.8)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3DD3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52 (32.7)</w:t>
            </w:r>
          </w:p>
        </w:tc>
      </w:tr>
      <w:tr w:rsidR="00366B54" w:rsidRPr="002F544A" w14:paraId="327C4F3E" w14:textId="77777777" w:rsidTr="00492DCF">
        <w:trPr>
          <w:trHeight w:val="205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BA171" w14:textId="77777777" w:rsidR="00366B54" w:rsidRPr="002F544A" w:rsidRDefault="00366B54" w:rsidP="000076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   3: 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>Receiving low-flow supplemental oxygen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5A1F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34 (59.6)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2AA8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104 (65.4)</w:t>
            </w:r>
          </w:p>
        </w:tc>
      </w:tr>
      <w:tr w:rsidR="00366B54" w:rsidRPr="002F544A" w14:paraId="7FE5081E" w14:textId="77777777" w:rsidTr="00492DCF">
        <w:trPr>
          <w:trHeight w:val="186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8B9B0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4: 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>Requiring noninvasive mechanical ventilation or high-flow oxygen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88FAC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1 (1.8)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C8132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3 (1.9)</w:t>
            </w:r>
          </w:p>
        </w:tc>
      </w:tr>
      <w:tr w:rsidR="00366B54" w:rsidRPr="002F544A" w14:paraId="67567760" w14:textId="77777777" w:rsidTr="00492DCF">
        <w:trPr>
          <w:trHeight w:val="285"/>
        </w:trPr>
        <w:tc>
          <w:tcPr>
            <w:tcW w:w="7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681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5: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 xml:space="preserve"> Requiring invasive ventilation or ECMO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33B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1 (1.8)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308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6B54" w:rsidRPr="002F544A" w14:paraId="3C83EF4D" w14:textId="77777777" w:rsidTr="00492DCF">
        <w:trPr>
          <w:trHeight w:val="32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E9D2D" w14:textId="77777777" w:rsidR="00366B54" w:rsidRPr="002F544A" w:rsidRDefault="00366B54" w:rsidP="000076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Clinical status at the end of follow-up — no. of patients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B87D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2780B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B54" w:rsidRPr="002F544A" w14:paraId="219BBBC9" w14:textId="77777777" w:rsidTr="00492DCF">
        <w:trPr>
          <w:trHeight w:val="286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2461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1: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 xml:space="preserve"> Discharge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07B0C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50 (87.7)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6515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155 (97.5)</w:t>
            </w:r>
          </w:p>
        </w:tc>
      </w:tr>
      <w:tr w:rsidR="00366B54" w:rsidRPr="002F544A" w14:paraId="2EED1188" w14:textId="77777777" w:rsidTr="00492DCF">
        <w:trPr>
          <w:trHeight w:val="225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FC9E2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2: 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>Hospitalized, breathing ambient air without supplemental oxygen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E853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907F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366B54" w:rsidRPr="002F544A" w14:paraId="74807974" w14:textId="77777777" w:rsidTr="00492DCF">
        <w:trPr>
          <w:trHeight w:val="231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6D7E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3: 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>Hospitalized, receiving low-flow supplemental oxygen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4D01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19CB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6B54" w:rsidRPr="002F544A" w14:paraId="16BAECD7" w14:textId="77777777" w:rsidTr="00492DCF">
        <w:trPr>
          <w:trHeight w:val="150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48E1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4: 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>Hospitalized, requiring noninvasive mechanical ventilation or high-flow oxygen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D5C1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2 (3.5)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D03E2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6B54" w:rsidRPr="002F544A" w14:paraId="1B69E4AF" w14:textId="77777777" w:rsidTr="00492DCF">
        <w:trPr>
          <w:trHeight w:val="226"/>
        </w:trPr>
        <w:tc>
          <w:tcPr>
            <w:tcW w:w="7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B1A0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5:</w:t>
            </w:r>
            <w:r w:rsidRPr="002F544A">
              <w:rPr>
                <w:rFonts w:ascii="Arial" w:hAnsi="Arial" w:cs="Arial"/>
                <w:color w:val="242021"/>
                <w:sz w:val="20"/>
                <w:szCs w:val="20"/>
              </w:rPr>
              <w:t xml:space="preserve"> Hospitalized, requiring invasive ventilation or ECMO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FF79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1 (1.8)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8F36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66B54" w:rsidRPr="002F544A" w14:paraId="71B56B52" w14:textId="77777777" w:rsidTr="00B21219">
        <w:trPr>
          <w:trHeight w:val="330"/>
        </w:trPr>
        <w:tc>
          <w:tcPr>
            <w:tcW w:w="7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DCA" w14:textId="77777777" w:rsidR="00366B54" w:rsidRPr="002F544A" w:rsidRDefault="00366B54" w:rsidP="0000760B">
            <w:pPr>
              <w:spacing w:line="360" w:lineRule="auto"/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6: Death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8B6A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4 (7.0)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A7E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4 (2.5)</w:t>
            </w:r>
          </w:p>
        </w:tc>
      </w:tr>
      <w:tr w:rsidR="00366B54" w:rsidRPr="002F544A" w14:paraId="5A08E5B2" w14:textId="77777777" w:rsidTr="00B21219">
        <w:trPr>
          <w:trHeight w:val="39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E32A30" w14:textId="77777777" w:rsidR="00366B54" w:rsidRPr="002F544A" w:rsidRDefault="00366B54" w:rsidP="000076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 xml:space="preserve">Clinical worsening during follow-up — no. of patients (%) </w:t>
            </w:r>
            <w:r w:rsidRPr="002F544A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D667F4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7 (12.3)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5EC06C" w14:textId="77777777" w:rsidR="00366B54" w:rsidRPr="002F544A" w:rsidRDefault="00366B54" w:rsidP="0000760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44A">
              <w:rPr>
                <w:rFonts w:ascii="Arial" w:hAnsi="Arial" w:cs="Arial"/>
                <w:sz w:val="20"/>
                <w:szCs w:val="20"/>
              </w:rPr>
              <w:t>4 (2.5)</w:t>
            </w:r>
          </w:p>
        </w:tc>
      </w:tr>
    </w:tbl>
    <w:p w14:paraId="2260BE40" w14:textId="63D58409" w:rsidR="00366B54" w:rsidRDefault="00366B54" w:rsidP="00366B54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</w:p>
    <w:p w14:paraId="1137331A" w14:textId="0DB01A28" w:rsidR="00316B51" w:rsidRDefault="00316B51" w:rsidP="00366B54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</w:p>
    <w:p w14:paraId="37E81C5D" w14:textId="5E94FF97" w:rsidR="00316B51" w:rsidRDefault="00316B51" w:rsidP="00366B54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</w:p>
    <w:p w14:paraId="151E1B99" w14:textId="3F158AF5" w:rsidR="00316B51" w:rsidRDefault="00316B51" w:rsidP="00366B54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</w:p>
    <w:p w14:paraId="3880B2B2" w14:textId="77777777" w:rsidR="00316B51" w:rsidRPr="002F544A" w:rsidRDefault="00316B51" w:rsidP="00366B54">
      <w:pPr>
        <w:spacing w:line="360" w:lineRule="auto"/>
        <w:rPr>
          <w:rFonts w:ascii="Arial" w:hAnsi="Arial" w:cs="Arial"/>
          <w:b/>
          <w:bCs/>
          <w:sz w:val="24"/>
          <w:szCs w:val="28"/>
        </w:rPr>
      </w:pPr>
    </w:p>
    <w:p w14:paraId="01859CB1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03198A4F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57800AFC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34E65E63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4DB3BA6E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4A2DBAA2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406C3B2D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58DEAA0B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17BA33BE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3E1C68A7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6A21ACF3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560CD06C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7DA1D0C1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6285CA6D" w14:textId="77777777" w:rsidR="00316B51" w:rsidRDefault="00316B51" w:rsidP="00366B54">
      <w:pPr>
        <w:rPr>
          <w:rFonts w:ascii="Arial" w:hAnsi="Arial" w:cs="Arial"/>
          <w:b/>
          <w:bCs/>
          <w:sz w:val="22"/>
        </w:rPr>
      </w:pPr>
    </w:p>
    <w:p w14:paraId="5BDF243D" w14:textId="55CE32F5" w:rsidR="00366B54" w:rsidRPr="002F544A" w:rsidRDefault="00366B54" w:rsidP="00366B54">
      <w:pPr>
        <w:rPr>
          <w:rFonts w:ascii="Arial" w:hAnsi="Arial" w:cs="Arial"/>
          <w:sz w:val="22"/>
        </w:rPr>
      </w:pPr>
      <w:r w:rsidRPr="002F544A">
        <w:rPr>
          <w:rFonts w:ascii="Arial" w:hAnsi="Arial" w:cs="Arial"/>
          <w:b/>
          <w:bCs/>
          <w:sz w:val="22"/>
        </w:rPr>
        <w:t>Abbreviations</w:t>
      </w:r>
      <w:r w:rsidRPr="002F544A">
        <w:rPr>
          <w:rFonts w:ascii="Arial" w:hAnsi="Arial" w:cs="Arial"/>
          <w:sz w:val="22"/>
        </w:rPr>
        <w:t>: ECMO, extracorporeal membrane oxygenation.</w:t>
      </w:r>
      <w:r w:rsidR="002F544A">
        <w:rPr>
          <w:rFonts w:ascii="Arial" w:hAnsi="Arial" w:cs="Arial"/>
          <w:sz w:val="22"/>
        </w:rPr>
        <w:t xml:space="preserve"> </w:t>
      </w:r>
    </w:p>
    <w:p w14:paraId="4E30970F" w14:textId="77777777" w:rsidR="00366B54" w:rsidRDefault="00366B54" w:rsidP="00366B54">
      <w:pPr>
        <w:rPr>
          <w:rFonts w:ascii="Arial" w:hAnsi="Arial" w:cs="Arial"/>
          <w:color w:val="242021"/>
          <w:sz w:val="22"/>
        </w:rPr>
      </w:pPr>
      <w:r w:rsidRPr="002F544A">
        <w:rPr>
          <w:rFonts w:ascii="Arial" w:hAnsi="Arial" w:cs="Arial"/>
          <w:color w:val="242021"/>
          <w:sz w:val="22"/>
          <w:vertAlign w:val="superscript"/>
        </w:rPr>
        <w:t>a</w:t>
      </w:r>
      <w:r w:rsidRPr="002F544A">
        <w:rPr>
          <w:rFonts w:ascii="Arial" w:hAnsi="Arial" w:cs="Arial"/>
          <w:color w:val="242021"/>
          <w:sz w:val="22"/>
        </w:rPr>
        <w:t xml:space="preserve"> Clinical worsening was defined as all-cause death during stay in</w:t>
      </w:r>
      <w:r w:rsidRPr="002F544A">
        <w:rPr>
          <w:rFonts w:ascii="Arial" w:hAnsi="Arial" w:cs="Arial"/>
          <w:sz w:val="22"/>
        </w:rPr>
        <w:t xml:space="preserve"> hospital, or an increase of</w:t>
      </w:r>
      <w:r w:rsidRPr="002F544A">
        <w:rPr>
          <w:rFonts w:ascii="Arial" w:hAnsi="Arial" w:cs="Arial"/>
          <w:color w:val="242021"/>
          <w:sz w:val="22"/>
        </w:rPr>
        <w:t xml:space="preserve"> at least 2 points from baseline on a 6-point ordinal scale.</w:t>
      </w:r>
    </w:p>
    <w:p w14:paraId="16BFEADA" w14:textId="38EB5B28" w:rsidR="00316B51" w:rsidRPr="002F544A" w:rsidRDefault="00316B51" w:rsidP="00366B54">
      <w:pPr>
        <w:rPr>
          <w:rFonts w:ascii="Arial" w:hAnsi="Arial" w:cs="Arial"/>
        </w:rPr>
        <w:sectPr w:rsidR="00316B51" w:rsidRPr="002F544A" w:rsidSect="00316B51">
          <w:pgSz w:w="16838" w:h="11906" w:orient="landscape" w:code="9"/>
          <w:pgMar w:top="1440" w:right="1797" w:bottom="1440" w:left="1797" w:header="851" w:footer="992" w:gutter="0"/>
          <w:cols w:space="425"/>
          <w:docGrid w:linePitch="312"/>
        </w:sectPr>
      </w:pPr>
    </w:p>
    <w:p w14:paraId="0723B037" w14:textId="55528230" w:rsidR="00366B54" w:rsidRPr="002F544A" w:rsidRDefault="003469A3" w:rsidP="00366B54">
      <w:pPr>
        <w:rPr>
          <w:rFonts w:ascii="Arial" w:hAnsi="Arial" w:cs="Arial"/>
          <w:b/>
          <w:bCs/>
          <w:sz w:val="24"/>
          <w:szCs w:val="24"/>
        </w:rPr>
      </w:pPr>
      <w:bookmarkStart w:id="0" w:name="_Toc51153012"/>
      <w:r w:rsidRPr="002F544A">
        <w:rPr>
          <w:rFonts w:ascii="Arial" w:hAnsi="Arial" w:cs="Arial"/>
          <w:noProof/>
        </w:rPr>
        <w:lastRenderedPageBreak/>
        <w:drawing>
          <wp:inline distT="0" distB="0" distL="0" distR="0" wp14:anchorId="1BC5A7D2" wp14:editId="7E7478FD">
            <wp:extent cx="5541645" cy="549846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BDEAE" w14:textId="77777777" w:rsidR="00366B54" w:rsidRPr="002F544A" w:rsidRDefault="00366B54" w:rsidP="00366B54">
      <w:pPr>
        <w:rPr>
          <w:rFonts w:ascii="Arial" w:hAnsi="Arial" w:cs="Arial"/>
          <w:b/>
          <w:bCs/>
          <w:sz w:val="24"/>
          <w:szCs w:val="24"/>
        </w:rPr>
      </w:pPr>
    </w:p>
    <w:p w14:paraId="49935506" w14:textId="0680CDC3" w:rsidR="00366B54" w:rsidRPr="002F544A" w:rsidRDefault="00366B54" w:rsidP="006B23B8">
      <w:pPr>
        <w:spacing w:line="480" w:lineRule="auto"/>
        <w:contextualSpacing/>
        <w:rPr>
          <w:rFonts w:ascii="Arial" w:hAnsi="Arial" w:cs="Arial"/>
        </w:rPr>
      </w:pPr>
      <w:r w:rsidRPr="002F544A">
        <w:rPr>
          <w:rFonts w:ascii="Arial" w:hAnsi="Arial" w:cs="Arial"/>
          <w:b/>
          <w:bCs/>
          <w:sz w:val="24"/>
          <w:szCs w:val="24"/>
        </w:rPr>
        <w:t>Supplementary Fig</w:t>
      </w:r>
      <w:r w:rsidR="002F544A" w:rsidRPr="002F544A">
        <w:rPr>
          <w:rFonts w:ascii="Arial" w:hAnsi="Arial" w:cs="Arial"/>
          <w:b/>
          <w:bCs/>
          <w:sz w:val="24"/>
          <w:szCs w:val="24"/>
        </w:rPr>
        <w:t>ure</w:t>
      </w:r>
      <w:r w:rsidRPr="002F544A">
        <w:rPr>
          <w:rFonts w:ascii="Arial" w:hAnsi="Arial" w:cs="Arial"/>
          <w:b/>
          <w:bCs/>
          <w:sz w:val="24"/>
          <w:szCs w:val="24"/>
        </w:rPr>
        <w:t xml:space="preserve"> 1</w:t>
      </w:r>
      <w:r w:rsidR="002F544A" w:rsidRPr="002F544A">
        <w:rPr>
          <w:rFonts w:ascii="Arial" w:hAnsi="Arial" w:cs="Arial"/>
          <w:b/>
          <w:bCs/>
          <w:sz w:val="24"/>
          <w:szCs w:val="24"/>
        </w:rPr>
        <w:t>:</w:t>
      </w:r>
      <w:r w:rsidRPr="002F544A">
        <w:rPr>
          <w:rFonts w:ascii="Arial" w:hAnsi="Arial" w:cs="Arial"/>
          <w:b/>
          <w:bCs/>
          <w:sz w:val="24"/>
          <w:szCs w:val="24"/>
        </w:rPr>
        <w:t xml:space="preserve"> Distribution of weights in the inverse probability treatment weighting analysis for clinical worsening</w:t>
      </w:r>
      <w:r w:rsidR="00AA2066" w:rsidRPr="002F544A">
        <w:rPr>
          <w:rFonts w:ascii="Arial" w:hAnsi="Arial" w:cs="Arial"/>
          <w:b/>
          <w:bCs/>
          <w:sz w:val="24"/>
          <w:szCs w:val="24"/>
        </w:rPr>
        <w:t xml:space="preserve"> and overall survival</w:t>
      </w:r>
      <w:r w:rsidRPr="002F544A">
        <w:rPr>
          <w:rFonts w:ascii="Arial" w:hAnsi="Arial" w:cs="Arial"/>
          <w:b/>
          <w:bCs/>
          <w:sz w:val="24"/>
          <w:szCs w:val="24"/>
        </w:rPr>
        <w:t>.</w:t>
      </w:r>
      <w:bookmarkEnd w:id="0"/>
      <w:r w:rsidRPr="002F544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A8CCFC" w14:textId="23B9E8E7" w:rsidR="00366B54" w:rsidRPr="002F544A" w:rsidRDefault="003469A3" w:rsidP="00366B54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1" w:name="_Toc51153013"/>
      <w:r w:rsidRPr="002F544A">
        <w:rPr>
          <w:rFonts w:ascii="Arial" w:hAnsi="Arial" w:cs="Arial"/>
          <w:noProof/>
        </w:rPr>
        <w:lastRenderedPageBreak/>
        <w:drawing>
          <wp:inline distT="0" distB="0" distL="0" distR="0" wp14:anchorId="0767F8C3" wp14:editId="1CB6968A">
            <wp:extent cx="5511165" cy="549846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C82C4" w14:textId="77777777" w:rsidR="00366B54" w:rsidRPr="002F544A" w:rsidRDefault="00366B54" w:rsidP="00366B54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FC15AEA" w14:textId="611EEF39" w:rsidR="00366B54" w:rsidRPr="002F544A" w:rsidRDefault="00366B54" w:rsidP="00CD7280">
      <w:pPr>
        <w:spacing w:line="48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F544A">
        <w:rPr>
          <w:rFonts w:ascii="Arial" w:hAnsi="Arial" w:cs="Arial"/>
          <w:b/>
          <w:bCs/>
          <w:sz w:val="24"/>
          <w:szCs w:val="24"/>
        </w:rPr>
        <w:t>Supplementary Fig</w:t>
      </w:r>
      <w:r w:rsidR="002F544A" w:rsidRPr="002F544A">
        <w:rPr>
          <w:rFonts w:ascii="Arial" w:hAnsi="Arial" w:cs="Arial"/>
          <w:b/>
          <w:bCs/>
          <w:sz w:val="24"/>
          <w:szCs w:val="24"/>
        </w:rPr>
        <w:t>ure</w:t>
      </w:r>
      <w:r w:rsidRPr="002F544A">
        <w:rPr>
          <w:rFonts w:ascii="Arial" w:hAnsi="Arial" w:cs="Arial"/>
          <w:b/>
          <w:bCs/>
          <w:sz w:val="24"/>
          <w:szCs w:val="24"/>
        </w:rPr>
        <w:t xml:space="preserve"> 2</w:t>
      </w:r>
      <w:r w:rsidR="002F544A" w:rsidRPr="002F544A">
        <w:rPr>
          <w:rFonts w:ascii="Arial" w:hAnsi="Arial" w:cs="Arial"/>
          <w:b/>
          <w:bCs/>
          <w:sz w:val="24"/>
          <w:szCs w:val="24"/>
        </w:rPr>
        <w:t>:</w:t>
      </w:r>
      <w:r w:rsidRPr="002F544A">
        <w:rPr>
          <w:rFonts w:ascii="Arial" w:hAnsi="Arial" w:cs="Arial"/>
          <w:b/>
          <w:bCs/>
          <w:sz w:val="24"/>
          <w:szCs w:val="24"/>
        </w:rPr>
        <w:t xml:space="preserve"> Absolute standardized mean differences (</w:t>
      </w:r>
      <w:proofErr w:type="spellStart"/>
      <w:r w:rsidRPr="002F544A">
        <w:rPr>
          <w:rFonts w:ascii="Arial" w:hAnsi="Arial" w:cs="Arial"/>
          <w:b/>
          <w:bCs/>
          <w:sz w:val="24"/>
          <w:szCs w:val="24"/>
        </w:rPr>
        <w:t>aSMD</w:t>
      </w:r>
      <w:proofErr w:type="spellEnd"/>
      <w:r w:rsidRPr="002F544A">
        <w:rPr>
          <w:rFonts w:ascii="Arial" w:hAnsi="Arial" w:cs="Arial"/>
          <w:b/>
          <w:bCs/>
          <w:sz w:val="24"/>
          <w:szCs w:val="24"/>
        </w:rPr>
        <w:t xml:space="preserve">) of variables in the inverse probability treatment weighting analysis for </w:t>
      </w:r>
      <w:r w:rsidR="00AA2066" w:rsidRPr="002F544A">
        <w:rPr>
          <w:rFonts w:ascii="Arial" w:hAnsi="Arial" w:cs="Arial"/>
          <w:b/>
          <w:bCs/>
          <w:sz w:val="24"/>
          <w:szCs w:val="24"/>
        </w:rPr>
        <w:t>clinical worsening and overall survival</w:t>
      </w:r>
      <w:r w:rsidRPr="002F544A">
        <w:rPr>
          <w:rFonts w:ascii="Arial" w:hAnsi="Arial" w:cs="Arial"/>
          <w:b/>
          <w:bCs/>
          <w:sz w:val="24"/>
          <w:szCs w:val="24"/>
        </w:rPr>
        <w:t>.</w:t>
      </w:r>
      <w:bookmarkEnd w:id="1"/>
      <w:r w:rsidRPr="002F54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544A">
        <w:rPr>
          <w:rFonts w:ascii="Arial" w:hAnsi="Arial" w:cs="Arial"/>
          <w:sz w:val="24"/>
          <w:szCs w:val="24"/>
        </w:rPr>
        <w:t xml:space="preserve">Neu, neutrophils; </w:t>
      </w:r>
      <w:proofErr w:type="spellStart"/>
      <w:r w:rsidRPr="002F544A">
        <w:rPr>
          <w:rFonts w:ascii="Arial" w:hAnsi="Arial" w:cs="Arial"/>
          <w:sz w:val="24"/>
          <w:szCs w:val="24"/>
        </w:rPr>
        <w:t>Lym</w:t>
      </w:r>
      <w:proofErr w:type="spellEnd"/>
      <w:r w:rsidRPr="002F544A">
        <w:rPr>
          <w:rFonts w:ascii="Arial" w:hAnsi="Arial" w:cs="Arial"/>
          <w:sz w:val="24"/>
          <w:szCs w:val="24"/>
        </w:rPr>
        <w:t>, lymphocytes; LMWH, low molecular weight heparin; CRP,</w:t>
      </w:r>
      <w:bookmarkStart w:id="2" w:name="_Hlk45659642"/>
      <w:r w:rsidRPr="002F544A">
        <w:rPr>
          <w:rFonts w:ascii="Arial" w:hAnsi="Arial" w:cs="Arial"/>
          <w:sz w:val="24"/>
          <w:szCs w:val="24"/>
        </w:rPr>
        <w:t xml:space="preserve"> C-reactive protein</w:t>
      </w:r>
      <w:bookmarkEnd w:id="2"/>
      <w:r w:rsidRPr="002F544A">
        <w:rPr>
          <w:rFonts w:ascii="Arial" w:hAnsi="Arial" w:cs="Arial"/>
          <w:sz w:val="24"/>
          <w:szCs w:val="24"/>
        </w:rPr>
        <w:t>; CHD, coronary heart disease.</w:t>
      </w:r>
    </w:p>
    <w:p w14:paraId="3FBBCBFB" w14:textId="77777777" w:rsidR="00366B54" w:rsidRPr="002F544A" w:rsidRDefault="00366B54" w:rsidP="00366B54">
      <w:pPr>
        <w:rPr>
          <w:rFonts w:ascii="Arial" w:hAnsi="Arial" w:cs="Arial"/>
        </w:rPr>
      </w:pPr>
    </w:p>
    <w:sectPr w:rsidR="00366B54" w:rsidRPr="002F544A" w:rsidSect="00316B51">
      <w:pgSz w:w="11906" w:h="16838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F7DE" w14:textId="77777777" w:rsidR="009B1F45" w:rsidRDefault="009B1F45" w:rsidP="00366B54">
      <w:r>
        <w:separator/>
      </w:r>
    </w:p>
  </w:endnote>
  <w:endnote w:type="continuationSeparator" w:id="0">
    <w:p w14:paraId="1E08EBDB" w14:textId="77777777" w:rsidR="009B1F45" w:rsidRDefault="009B1F45" w:rsidP="0036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1759" w14:textId="77777777" w:rsidR="009B1F45" w:rsidRDefault="009B1F45" w:rsidP="00366B54">
      <w:r>
        <w:separator/>
      </w:r>
    </w:p>
  </w:footnote>
  <w:footnote w:type="continuationSeparator" w:id="0">
    <w:p w14:paraId="60CFE476" w14:textId="77777777" w:rsidR="009B1F45" w:rsidRDefault="009B1F45" w:rsidP="0036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F2"/>
    <w:rsid w:val="0001101A"/>
    <w:rsid w:val="00021566"/>
    <w:rsid w:val="00084E19"/>
    <w:rsid w:val="000957F1"/>
    <w:rsid w:val="000C0F60"/>
    <w:rsid w:val="000C350D"/>
    <w:rsid w:val="00176B11"/>
    <w:rsid w:val="001C03A8"/>
    <w:rsid w:val="002A6DE4"/>
    <w:rsid w:val="002D76A0"/>
    <w:rsid w:val="002F544A"/>
    <w:rsid w:val="002F651B"/>
    <w:rsid w:val="00316B51"/>
    <w:rsid w:val="003457B9"/>
    <w:rsid w:val="003469A3"/>
    <w:rsid w:val="00361C4A"/>
    <w:rsid w:val="003648C3"/>
    <w:rsid w:val="00366B54"/>
    <w:rsid w:val="00492DCF"/>
    <w:rsid w:val="004A42C2"/>
    <w:rsid w:val="00523F82"/>
    <w:rsid w:val="005830DB"/>
    <w:rsid w:val="005E7E07"/>
    <w:rsid w:val="00604D7D"/>
    <w:rsid w:val="006730B7"/>
    <w:rsid w:val="006B23B8"/>
    <w:rsid w:val="006F45D6"/>
    <w:rsid w:val="007071BC"/>
    <w:rsid w:val="00734E46"/>
    <w:rsid w:val="008213FA"/>
    <w:rsid w:val="0086436A"/>
    <w:rsid w:val="009644DC"/>
    <w:rsid w:val="0097361C"/>
    <w:rsid w:val="009B1F45"/>
    <w:rsid w:val="00A268B0"/>
    <w:rsid w:val="00A515A0"/>
    <w:rsid w:val="00A541FB"/>
    <w:rsid w:val="00A943E7"/>
    <w:rsid w:val="00AA2066"/>
    <w:rsid w:val="00AF3650"/>
    <w:rsid w:val="00B21219"/>
    <w:rsid w:val="00B64898"/>
    <w:rsid w:val="00CA59C7"/>
    <w:rsid w:val="00CB733F"/>
    <w:rsid w:val="00CC4C00"/>
    <w:rsid w:val="00CD4D06"/>
    <w:rsid w:val="00CD7280"/>
    <w:rsid w:val="00E72DF2"/>
    <w:rsid w:val="00EC2530"/>
    <w:rsid w:val="00EE1B1F"/>
    <w:rsid w:val="00F228D2"/>
    <w:rsid w:val="00F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14CCE"/>
  <w15:chartTrackingRefBased/>
  <w15:docId w15:val="{E2545A23-6C5C-475F-B2CE-05E67262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B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B54"/>
    <w:rPr>
      <w:sz w:val="18"/>
      <w:szCs w:val="18"/>
    </w:rPr>
  </w:style>
  <w:style w:type="character" w:styleId="a7">
    <w:name w:val="Strong"/>
    <w:basedOn w:val="a0"/>
    <w:uiPriority w:val="22"/>
    <w:qFormat/>
    <w:rsid w:val="00366B54"/>
    <w:rPr>
      <w:b/>
      <w:bCs/>
    </w:rPr>
  </w:style>
  <w:style w:type="paragraph" w:styleId="TOC1">
    <w:name w:val="toc 1"/>
    <w:basedOn w:val="a"/>
    <w:next w:val="a"/>
    <w:autoRedefine/>
    <w:uiPriority w:val="39"/>
    <w:unhideWhenUsed/>
    <w:rsid w:val="00366B54"/>
  </w:style>
  <w:style w:type="character" w:styleId="a8">
    <w:name w:val="Hyperlink"/>
    <w:basedOn w:val="a0"/>
    <w:uiPriority w:val="99"/>
    <w:unhideWhenUsed/>
    <w:rsid w:val="00366B5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C4C0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C4C00"/>
    <w:rPr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5E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zh</dc:creator>
  <cp:keywords/>
  <dc:description/>
  <cp:lastModifiedBy>w zh</cp:lastModifiedBy>
  <cp:revision>6</cp:revision>
  <cp:lastPrinted>2020-10-30T13:18:00Z</cp:lastPrinted>
  <dcterms:created xsi:type="dcterms:W3CDTF">2021-12-29T13:37:00Z</dcterms:created>
  <dcterms:modified xsi:type="dcterms:W3CDTF">2022-01-04T12:42:00Z</dcterms:modified>
</cp:coreProperties>
</file>