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9443226"/>
        <w:docPartObj>
          <w:docPartGallery w:val="Table of Contents"/>
          <w:docPartUnique/>
        </w:docPartObj>
      </w:sdtPr>
      <w:sdtEndPr>
        <w:rPr>
          <w:rFonts w:ascii="Times New Roman" w:eastAsiaTheme="minorHAnsi" w:hAnsi="Times New Roman" w:cstheme="minorBidi"/>
          <w:b/>
          <w:bCs/>
          <w:noProof/>
          <w:color w:val="auto"/>
          <w:sz w:val="24"/>
          <w:szCs w:val="22"/>
          <w:lang w:val="en-GB"/>
        </w:rPr>
      </w:sdtEndPr>
      <w:sdtContent>
        <w:p w14:paraId="69EE0EBA" w14:textId="785193F1" w:rsidR="0013088C" w:rsidRDefault="0013088C">
          <w:pPr>
            <w:pStyle w:val="TOCHeading"/>
          </w:pPr>
          <w:r>
            <w:t>Contents</w:t>
          </w:r>
        </w:p>
        <w:p w14:paraId="2339B8B6" w14:textId="50B50B71" w:rsidR="0013088C" w:rsidRDefault="0013088C">
          <w:pPr>
            <w:pStyle w:val="TOC1"/>
            <w:tabs>
              <w:tab w:val="right" w:leader="dot" w:pos="9350"/>
            </w:tabs>
            <w:rPr>
              <w:rFonts w:eastAsiaTheme="minorEastAsia" w:cstheme="minorBidi"/>
              <w:b w:val="0"/>
              <w:caps w:val="0"/>
              <w:noProof/>
              <w:color w:val="auto"/>
              <w:lang w:val="en-US"/>
            </w:rPr>
          </w:pPr>
          <w:r>
            <w:fldChar w:fldCharType="begin"/>
          </w:r>
          <w:r>
            <w:instrText xml:space="preserve"> TOC \o "1-3" \h \z \u </w:instrText>
          </w:r>
          <w:r>
            <w:fldChar w:fldCharType="separate"/>
          </w:r>
          <w:hyperlink w:anchor="_Toc95385305" w:history="1">
            <w:r w:rsidRPr="00AC5798">
              <w:rPr>
                <w:rStyle w:val="Hyperlink"/>
                <w:noProof/>
              </w:rPr>
              <w:t>SUPPLEMENTARY METHODS</w:t>
            </w:r>
            <w:r>
              <w:rPr>
                <w:noProof/>
                <w:webHidden/>
              </w:rPr>
              <w:tab/>
            </w:r>
            <w:r>
              <w:rPr>
                <w:noProof/>
                <w:webHidden/>
              </w:rPr>
              <w:fldChar w:fldCharType="begin"/>
            </w:r>
            <w:r>
              <w:rPr>
                <w:noProof/>
                <w:webHidden/>
              </w:rPr>
              <w:instrText xml:space="preserve"> PAGEREF _Toc95385305 \h </w:instrText>
            </w:r>
            <w:r>
              <w:rPr>
                <w:noProof/>
                <w:webHidden/>
              </w:rPr>
            </w:r>
            <w:r>
              <w:rPr>
                <w:noProof/>
                <w:webHidden/>
              </w:rPr>
              <w:fldChar w:fldCharType="separate"/>
            </w:r>
            <w:r>
              <w:rPr>
                <w:noProof/>
                <w:webHidden/>
              </w:rPr>
              <w:t>2</w:t>
            </w:r>
            <w:r>
              <w:rPr>
                <w:noProof/>
                <w:webHidden/>
              </w:rPr>
              <w:fldChar w:fldCharType="end"/>
            </w:r>
          </w:hyperlink>
        </w:p>
        <w:p w14:paraId="786FD230" w14:textId="62F9EE90" w:rsidR="0013088C" w:rsidRDefault="0013088C">
          <w:pPr>
            <w:pStyle w:val="TOC1"/>
            <w:tabs>
              <w:tab w:val="right" w:leader="dot" w:pos="9350"/>
            </w:tabs>
            <w:rPr>
              <w:rFonts w:eastAsiaTheme="minorEastAsia" w:cstheme="minorBidi"/>
              <w:b w:val="0"/>
              <w:caps w:val="0"/>
              <w:noProof/>
              <w:color w:val="auto"/>
              <w:lang w:val="en-US"/>
            </w:rPr>
          </w:pPr>
          <w:hyperlink w:anchor="_Toc95385306" w:history="1">
            <w:r w:rsidRPr="00AC5798">
              <w:rPr>
                <w:rStyle w:val="Hyperlink"/>
                <w:noProof/>
              </w:rPr>
              <w:t>SUPPLEMENTARY TABLES</w:t>
            </w:r>
            <w:r>
              <w:rPr>
                <w:noProof/>
                <w:webHidden/>
              </w:rPr>
              <w:tab/>
            </w:r>
            <w:r>
              <w:rPr>
                <w:noProof/>
                <w:webHidden/>
              </w:rPr>
              <w:fldChar w:fldCharType="begin"/>
            </w:r>
            <w:r>
              <w:rPr>
                <w:noProof/>
                <w:webHidden/>
              </w:rPr>
              <w:instrText xml:space="preserve"> PAGEREF _Toc95385306 \h </w:instrText>
            </w:r>
            <w:r>
              <w:rPr>
                <w:noProof/>
                <w:webHidden/>
              </w:rPr>
            </w:r>
            <w:r>
              <w:rPr>
                <w:noProof/>
                <w:webHidden/>
              </w:rPr>
              <w:fldChar w:fldCharType="separate"/>
            </w:r>
            <w:r>
              <w:rPr>
                <w:noProof/>
                <w:webHidden/>
              </w:rPr>
              <w:t>5</w:t>
            </w:r>
            <w:r>
              <w:rPr>
                <w:noProof/>
                <w:webHidden/>
              </w:rPr>
              <w:fldChar w:fldCharType="end"/>
            </w:r>
          </w:hyperlink>
        </w:p>
        <w:p w14:paraId="74DF84DA" w14:textId="45D6BAEC" w:rsidR="0013088C" w:rsidRDefault="0013088C">
          <w:pPr>
            <w:pStyle w:val="TOC1"/>
            <w:tabs>
              <w:tab w:val="right" w:leader="dot" w:pos="9350"/>
            </w:tabs>
            <w:rPr>
              <w:rFonts w:eastAsiaTheme="minorEastAsia" w:cstheme="minorBidi"/>
              <w:b w:val="0"/>
              <w:caps w:val="0"/>
              <w:noProof/>
              <w:color w:val="auto"/>
              <w:lang w:val="en-US"/>
            </w:rPr>
          </w:pPr>
          <w:hyperlink w:anchor="_Toc95385307" w:history="1">
            <w:r w:rsidRPr="00AC5798">
              <w:rPr>
                <w:rStyle w:val="Hyperlink"/>
                <w:noProof/>
              </w:rPr>
              <w:t>SUPPELMENTARY FIGURES</w:t>
            </w:r>
            <w:r>
              <w:rPr>
                <w:noProof/>
                <w:webHidden/>
              </w:rPr>
              <w:tab/>
            </w:r>
            <w:r>
              <w:rPr>
                <w:noProof/>
                <w:webHidden/>
              </w:rPr>
              <w:fldChar w:fldCharType="begin"/>
            </w:r>
            <w:r>
              <w:rPr>
                <w:noProof/>
                <w:webHidden/>
              </w:rPr>
              <w:instrText xml:space="preserve"> PAGEREF _Toc95385307 \h </w:instrText>
            </w:r>
            <w:r>
              <w:rPr>
                <w:noProof/>
                <w:webHidden/>
              </w:rPr>
            </w:r>
            <w:r>
              <w:rPr>
                <w:noProof/>
                <w:webHidden/>
              </w:rPr>
              <w:fldChar w:fldCharType="separate"/>
            </w:r>
            <w:r>
              <w:rPr>
                <w:noProof/>
                <w:webHidden/>
              </w:rPr>
              <w:t>10</w:t>
            </w:r>
            <w:r>
              <w:rPr>
                <w:noProof/>
                <w:webHidden/>
              </w:rPr>
              <w:fldChar w:fldCharType="end"/>
            </w:r>
          </w:hyperlink>
        </w:p>
        <w:p w14:paraId="6CB7F578" w14:textId="3DF8A47E" w:rsidR="0013088C" w:rsidRDefault="0013088C">
          <w:r>
            <w:rPr>
              <w:b/>
              <w:bCs/>
              <w:noProof/>
            </w:rPr>
            <w:fldChar w:fldCharType="end"/>
          </w:r>
        </w:p>
      </w:sdtContent>
    </w:sdt>
    <w:p w14:paraId="32DE5BD4" w14:textId="77777777" w:rsidR="0013088C" w:rsidRDefault="0013088C">
      <w:pPr>
        <w:spacing w:line="259" w:lineRule="auto"/>
        <w:rPr>
          <w:rFonts w:cs="Times New Roman"/>
          <w:b/>
          <w:bCs/>
          <w:color w:val="404040" w:themeColor="text1" w:themeTint="BF"/>
          <w:szCs w:val="24"/>
        </w:rPr>
      </w:pPr>
      <w:r>
        <w:br w:type="page"/>
      </w:r>
    </w:p>
    <w:p w14:paraId="7B4CF6AB" w14:textId="64796252" w:rsidR="00E01D5B" w:rsidRPr="00E01D5B" w:rsidRDefault="00E01D5B" w:rsidP="0013088C">
      <w:pPr>
        <w:pStyle w:val="Heading1"/>
      </w:pPr>
      <w:bookmarkStart w:id="0" w:name="_Toc95385305"/>
      <w:r w:rsidRPr="00E01D5B">
        <w:lastRenderedPageBreak/>
        <w:t>SUPPL</w:t>
      </w:r>
      <w:r w:rsidR="0013088C">
        <w:t>E</w:t>
      </w:r>
      <w:r w:rsidRPr="00E01D5B">
        <w:t xml:space="preserve">MENTARY </w:t>
      </w:r>
      <w:r w:rsidRPr="0013088C">
        <w:t>METHODS</w:t>
      </w:r>
      <w:bookmarkEnd w:id="0"/>
    </w:p>
    <w:p w14:paraId="471D825E" w14:textId="77777777" w:rsidR="00E01D5B" w:rsidRPr="00D34493" w:rsidRDefault="00E01D5B" w:rsidP="00E01D5B">
      <w:pPr>
        <w:rPr>
          <w:rFonts w:cs="Times New Roman"/>
          <w:b/>
          <w:szCs w:val="24"/>
          <w:lang w:val="en-US"/>
        </w:rPr>
      </w:pPr>
      <w:r w:rsidRPr="00715E79">
        <w:rPr>
          <w:rFonts w:cs="Times New Roman"/>
          <w:b/>
          <w:szCs w:val="24"/>
          <w:lang w:val="en-US"/>
        </w:rPr>
        <w:t>Patient pathway optimization</w:t>
      </w:r>
    </w:p>
    <w:p w14:paraId="521F3DD8" w14:textId="77777777" w:rsidR="00E01D5B" w:rsidRPr="00D34493" w:rsidRDefault="00E01D5B" w:rsidP="00E01D5B">
      <w:pPr>
        <w:rPr>
          <w:rFonts w:cs="Times New Roman"/>
          <w:szCs w:val="24"/>
          <w:lang w:val="en-US"/>
        </w:rPr>
      </w:pPr>
      <w:r w:rsidRPr="00D34493">
        <w:rPr>
          <w:rFonts w:cs="Times New Roman"/>
          <w:szCs w:val="24"/>
          <w:lang w:val="en-US"/>
        </w:rPr>
        <w:t>The patient pathway optimization (PPO) program at Cantonal Hospital Münsterlingen was custom designed for the comprehensive management of patient care for orthopedic surgery, and it guided the coordination of care and standardization of key practices. The PPO program consisted of the following elements:</w:t>
      </w:r>
    </w:p>
    <w:p w14:paraId="13945E50" w14:textId="77777777" w:rsidR="00E01D5B" w:rsidRPr="00D34493" w:rsidRDefault="00E01D5B" w:rsidP="00E01D5B">
      <w:pPr>
        <w:pStyle w:val="ListParagraph"/>
        <w:numPr>
          <w:ilvl w:val="0"/>
          <w:numId w:val="18"/>
        </w:numPr>
        <w:rPr>
          <w:rFonts w:cs="Times New Roman"/>
          <w:szCs w:val="24"/>
          <w:lang w:val="en-US"/>
        </w:rPr>
      </w:pPr>
      <w:r w:rsidRPr="00D34493">
        <w:rPr>
          <w:rFonts w:cs="Times New Roman"/>
          <w:szCs w:val="24"/>
          <w:lang w:val="en-US"/>
        </w:rPr>
        <w:t>Services that improved the current care pathway and reduced inefficiencies and variation in clinical practice</w:t>
      </w:r>
    </w:p>
    <w:p w14:paraId="3DF2EA8B" w14:textId="77777777" w:rsidR="00E01D5B" w:rsidRPr="00D34493" w:rsidRDefault="00E01D5B" w:rsidP="00E01D5B">
      <w:pPr>
        <w:ind w:left="47"/>
        <w:rPr>
          <w:rFonts w:cs="Times New Roman"/>
          <w:szCs w:val="24"/>
          <w:lang w:val="en-US"/>
        </w:rPr>
      </w:pPr>
      <w:r w:rsidRPr="00D34493">
        <w:rPr>
          <w:rFonts w:cs="Times New Roman"/>
          <w:szCs w:val="24"/>
          <w:lang w:val="en-US"/>
        </w:rPr>
        <w:t xml:space="preserve"> A standardized process was implemented to identify the optimal patient pathway in alignment with all the professional groups who were involved (see section ii for details of the professional groups). This process included single interviews with representatives from all involved professional groups, analysis of current patient pathway in local visitations, presentation of results from the analysis in a comprehensive workshop where recommended areas of improvement were discussed, definition of working groups and leads for different parts of the patient pathway as well as selection criteria for the final pathway definition.</w:t>
      </w:r>
    </w:p>
    <w:p w14:paraId="2B1CBB47" w14:textId="77777777" w:rsidR="00E01D5B" w:rsidRPr="00D34493" w:rsidRDefault="00E01D5B" w:rsidP="00E01D5B">
      <w:pPr>
        <w:pStyle w:val="ListParagraph"/>
        <w:numPr>
          <w:ilvl w:val="0"/>
          <w:numId w:val="18"/>
        </w:numPr>
        <w:rPr>
          <w:rFonts w:cs="Times New Roman"/>
          <w:szCs w:val="24"/>
          <w:lang w:val="en-US"/>
        </w:rPr>
      </w:pPr>
      <w:r w:rsidRPr="00D34493">
        <w:rPr>
          <w:rFonts w:cs="Times New Roman"/>
          <w:szCs w:val="24"/>
          <w:lang w:val="en-US"/>
        </w:rPr>
        <w:t xml:space="preserve">Increase the commitment and involvement of the multidisciplinary team </w:t>
      </w:r>
    </w:p>
    <w:p w14:paraId="08495209" w14:textId="77777777" w:rsidR="00E01D5B" w:rsidRPr="00D34493" w:rsidRDefault="00E01D5B" w:rsidP="00E01D5B">
      <w:pPr>
        <w:rPr>
          <w:rFonts w:cs="Times New Roman"/>
          <w:szCs w:val="24"/>
          <w:lang w:val="en-US"/>
        </w:rPr>
      </w:pPr>
      <w:r w:rsidRPr="00D34493">
        <w:rPr>
          <w:rFonts w:cs="Times New Roman"/>
          <w:szCs w:val="24"/>
          <w:lang w:val="en-US"/>
        </w:rPr>
        <w:t xml:space="preserve">There was a strong focus on including all involved professional groups, independent of hospital hierarchy, to ensure comprehensive inclusion of all relevant perspectives. Single interviews were conducted with all parties to include unbiased feedback and suggestions for improvement, and there was participation of all stakeholders with working groups and joint selection of criteria for final pathway definition. The interviewed stakeholders included the Chief Executive Officer, Chief Finance Officer, management team, Head of Surgery department, Senior Surgeon, Head of </w:t>
      </w:r>
      <w:r w:rsidRPr="00D34493">
        <w:rPr>
          <w:rFonts w:cs="Times New Roman"/>
          <w:szCs w:val="24"/>
          <w:lang w:val="en-US"/>
        </w:rPr>
        <w:lastRenderedPageBreak/>
        <w:t xml:space="preserve">Anesthesiology department, Senior Anesthesiologist, Head Nurse, Operating Room Manager, Head of recovery room, Head of </w:t>
      </w:r>
      <w:r>
        <w:rPr>
          <w:rFonts w:cs="Times New Roman"/>
          <w:szCs w:val="24"/>
          <w:lang w:val="en-US"/>
        </w:rPr>
        <w:t>P</w:t>
      </w:r>
      <w:r w:rsidRPr="00D34493">
        <w:rPr>
          <w:rFonts w:cs="Times New Roman"/>
          <w:szCs w:val="24"/>
          <w:lang w:val="en-US"/>
        </w:rPr>
        <w:t xml:space="preserve">hysiotherapy, Head of Social Service, admission and discharge management, pre- and post-clinical outpatient services, inpatient services, quality management, medical controlling, with further groups included in the working groups. </w:t>
      </w:r>
    </w:p>
    <w:p w14:paraId="7FDCE26E" w14:textId="77777777" w:rsidR="00E01D5B" w:rsidRPr="00D34493" w:rsidRDefault="00E01D5B" w:rsidP="00E01D5B">
      <w:pPr>
        <w:pStyle w:val="ListParagraph"/>
        <w:numPr>
          <w:ilvl w:val="0"/>
          <w:numId w:val="18"/>
        </w:numPr>
        <w:rPr>
          <w:rFonts w:cs="Times New Roman"/>
          <w:szCs w:val="24"/>
          <w:lang w:val="en-US"/>
        </w:rPr>
      </w:pPr>
      <w:r w:rsidRPr="00D34493">
        <w:rPr>
          <w:rFonts w:cs="Times New Roman"/>
          <w:szCs w:val="24"/>
          <w:lang w:val="en-US"/>
        </w:rPr>
        <w:t>Enhanced recovery principles</w:t>
      </w:r>
    </w:p>
    <w:p w14:paraId="57E79AE2" w14:textId="77777777" w:rsidR="00E01D5B" w:rsidRPr="00D34493" w:rsidRDefault="00E01D5B" w:rsidP="00E01D5B">
      <w:pPr>
        <w:rPr>
          <w:rFonts w:cs="Times New Roman"/>
          <w:szCs w:val="24"/>
          <w:lang w:val="en-US"/>
        </w:rPr>
      </w:pPr>
      <w:r w:rsidRPr="00D34493">
        <w:rPr>
          <w:rFonts w:cs="Times New Roman"/>
          <w:szCs w:val="24"/>
          <w:lang w:val="en-US"/>
        </w:rPr>
        <w:t>As part of the PPO program, five additional enhanced recovery principles were introduced.</w:t>
      </w:r>
    </w:p>
    <w:p w14:paraId="6B2DB2EE" w14:textId="77777777" w:rsidR="00E01D5B" w:rsidRPr="00D34493" w:rsidRDefault="00E01D5B" w:rsidP="00E01D5B">
      <w:pPr>
        <w:rPr>
          <w:rFonts w:cs="Times New Roman"/>
          <w:szCs w:val="24"/>
          <w:lang w:val="en-US"/>
        </w:rPr>
      </w:pPr>
      <w:r w:rsidRPr="00D34493">
        <w:rPr>
          <w:rFonts w:cs="Times New Roman"/>
          <w:b/>
          <w:i/>
          <w:szCs w:val="24"/>
          <w:lang w:val="en-US"/>
        </w:rPr>
        <w:t>Preoperative patient education</w:t>
      </w:r>
      <w:r w:rsidRPr="00D34493">
        <w:rPr>
          <w:rFonts w:cs="Times New Roman"/>
          <w:b/>
          <w:bCs/>
          <w:i/>
          <w:iCs/>
          <w:szCs w:val="24"/>
          <w:lang w:val="en-US"/>
        </w:rPr>
        <w:t>:</w:t>
      </w:r>
      <w:r w:rsidRPr="00D34493">
        <w:rPr>
          <w:rFonts w:cs="Times New Roman"/>
          <w:szCs w:val="24"/>
          <w:lang w:val="en-US"/>
        </w:rPr>
        <w:t xml:space="preserve"> An information workshop event was conducted to educate patients on pre-operative preparations, anesthesia methods, the surgery, as well as post-operative mobilization and recovery. Patient materials were developed specifically for Cantonal Hospital Münsterlingen; these included all essential information, checklists for preparation and a physiotherapy manual to prepare for and guide through helpful exercises pre- and post-operation.</w:t>
      </w:r>
    </w:p>
    <w:p w14:paraId="7C3035B7" w14:textId="77777777" w:rsidR="00D03968" w:rsidRPr="00D34493" w:rsidRDefault="00E01D5B" w:rsidP="00D03968">
      <w:pPr>
        <w:rPr>
          <w:rFonts w:cs="Times New Roman"/>
          <w:szCs w:val="24"/>
          <w:lang w:val="en-US"/>
        </w:rPr>
      </w:pPr>
      <w:r w:rsidRPr="00D03968">
        <w:rPr>
          <w:rFonts w:cs="Times New Roman"/>
          <w:b/>
          <w:i/>
          <w:szCs w:val="24"/>
          <w:lang w:val="en-US"/>
        </w:rPr>
        <w:t>Pre-operative physiotherapy</w:t>
      </w:r>
      <w:r w:rsidRPr="00D03968">
        <w:rPr>
          <w:rFonts w:cs="Times New Roman"/>
          <w:szCs w:val="24"/>
          <w:lang w:val="en-US"/>
        </w:rPr>
        <w:t>:</w:t>
      </w:r>
      <w:r w:rsidRPr="00D34493">
        <w:rPr>
          <w:rFonts w:cs="Times New Roman"/>
          <w:szCs w:val="24"/>
          <w:lang w:val="en-US"/>
        </w:rPr>
        <w:t xml:space="preserve"> </w:t>
      </w:r>
      <w:r w:rsidR="00D03968" w:rsidRPr="00D34493">
        <w:rPr>
          <w:rFonts w:cs="Times New Roman"/>
          <w:szCs w:val="24"/>
          <w:lang w:val="en-US"/>
        </w:rPr>
        <w:t>Prior to the surgery, patients were</w:t>
      </w:r>
      <w:r w:rsidR="00D03968">
        <w:rPr>
          <w:rFonts w:cs="Times New Roman"/>
          <w:szCs w:val="24"/>
          <w:lang w:val="en-US"/>
        </w:rPr>
        <w:t xml:space="preserve"> introduced to</w:t>
      </w:r>
      <w:r w:rsidR="00D03968" w:rsidRPr="00D34493">
        <w:rPr>
          <w:rFonts w:cs="Times New Roman"/>
          <w:szCs w:val="24"/>
          <w:lang w:val="en-US"/>
        </w:rPr>
        <w:t xml:space="preserve"> the exercises that they would be required to do post-operatively</w:t>
      </w:r>
      <w:r w:rsidR="00D03968">
        <w:rPr>
          <w:rFonts w:cs="Times New Roman"/>
          <w:szCs w:val="24"/>
          <w:lang w:val="en-US"/>
        </w:rPr>
        <w:t xml:space="preserve"> and also encouraged to practice them before as well as</w:t>
      </w:r>
      <w:r w:rsidR="00D03968" w:rsidRPr="00D34493">
        <w:rPr>
          <w:rFonts w:cs="Times New Roman"/>
          <w:szCs w:val="24"/>
          <w:lang w:val="en-US"/>
        </w:rPr>
        <w:t xml:space="preserve"> to master the use of forearm crutches. </w:t>
      </w:r>
      <w:r w:rsidR="00D03968">
        <w:rPr>
          <w:rFonts w:cs="Times New Roman"/>
          <w:szCs w:val="24"/>
          <w:lang w:val="en-US"/>
        </w:rPr>
        <w:t>The necessary information and support were given in a dedicated educational event for the patients as well as supplementary hand-outs.</w:t>
      </w:r>
    </w:p>
    <w:p w14:paraId="63F68B20" w14:textId="77777777" w:rsidR="00E01D5B" w:rsidRPr="00D34493" w:rsidRDefault="00E01D5B" w:rsidP="00E01D5B">
      <w:pPr>
        <w:rPr>
          <w:rFonts w:cs="Times New Roman"/>
          <w:szCs w:val="24"/>
          <w:lang w:val="en-US"/>
        </w:rPr>
      </w:pPr>
      <w:r w:rsidRPr="00D34493">
        <w:rPr>
          <w:rFonts w:cs="Times New Roman"/>
          <w:b/>
          <w:i/>
          <w:szCs w:val="24"/>
          <w:lang w:val="en-US"/>
        </w:rPr>
        <w:t>Local infiltration analgesia</w:t>
      </w:r>
      <w:r w:rsidRPr="00D34493">
        <w:rPr>
          <w:rFonts w:cs="Times New Roman"/>
          <w:szCs w:val="24"/>
          <w:lang w:val="en-US"/>
        </w:rPr>
        <w:t>: Peri-operative local analgesia with long lasting local anesthesia was used to improve control of post-operative pain and to prevent pain low-point when patients awoke from anesthesia. Administration of opioids was avoided as much as possible to prevent related side effects, especially nausea and hypotonia, thereby enhancing early mobilization from surgery day.</w:t>
      </w:r>
    </w:p>
    <w:p w14:paraId="04442D62" w14:textId="77777777" w:rsidR="00E01D5B" w:rsidRPr="00D34493" w:rsidRDefault="00E01D5B" w:rsidP="00E01D5B">
      <w:pPr>
        <w:rPr>
          <w:rFonts w:cs="Times New Roman"/>
          <w:szCs w:val="24"/>
          <w:lang w:val="en-US"/>
        </w:rPr>
      </w:pPr>
      <w:r w:rsidRPr="00D34493">
        <w:rPr>
          <w:rFonts w:cs="Times New Roman"/>
          <w:b/>
          <w:i/>
          <w:szCs w:val="24"/>
          <w:lang w:val="en-US"/>
        </w:rPr>
        <w:t>Early mobilization</w:t>
      </w:r>
      <w:r w:rsidRPr="00D34493">
        <w:rPr>
          <w:rFonts w:cs="Times New Roman"/>
          <w:b/>
          <w:bCs/>
          <w:i/>
          <w:iCs/>
          <w:szCs w:val="24"/>
          <w:lang w:val="en-US"/>
        </w:rPr>
        <w:t>:</w:t>
      </w:r>
      <w:r w:rsidRPr="00D34493" w:rsidDel="00B32E33">
        <w:rPr>
          <w:rFonts w:cs="Times New Roman"/>
          <w:szCs w:val="24"/>
          <w:lang w:val="en-US"/>
        </w:rPr>
        <w:t xml:space="preserve"> </w:t>
      </w:r>
      <w:r w:rsidRPr="00D34493">
        <w:rPr>
          <w:rFonts w:cs="Times New Roman"/>
          <w:szCs w:val="24"/>
          <w:lang w:val="en-US"/>
        </w:rPr>
        <w:t xml:space="preserve">Under the surveillance of physiotherapy team, patients were encouraged to sit on the edge of the bed or get up from bed on the same day as the surgery was performed. The </w:t>
      </w:r>
      <w:r w:rsidRPr="00D34493">
        <w:rPr>
          <w:rFonts w:cs="Times New Roman"/>
          <w:szCs w:val="24"/>
          <w:lang w:val="en-US"/>
        </w:rPr>
        <w:lastRenderedPageBreak/>
        <w:t>goal of early mobilization was to reduce the time needed for patients to reach a state where they could switch from using a walking frame to using forearm crutches instead, as well as to master walking up and down stairs. Avoiding the use of parenteral pain medication and switching to oral medication allowed for early removal of intravenous access and thereby reduced the perception of patients of being ill, vulnerable and dependent on assistance; this was further stressed by inviting patients to wear their own clothes.</w:t>
      </w:r>
    </w:p>
    <w:p w14:paraId="468DCB83" w14:textId="15745264" w:rsidR="0013088C" w:rsidRDefault="00E01D5B" w:rsidP="00E01D5B">
      <w:pPr>
        <w:rPr>
          <w:rFonts w:cs="Times New Roman"/>
          <w:szCs w:val="24"/>
          <w:lang w:val="en-US"/>
        </w:rPr>
      </w:pPr>
      <w:r w:rsidRPr="00B642DA">
        <w:rPr>
          <w:rFonts w:cs="Times New Roman"/>
          <w:b/>
          <w:i/>
          <w:szCs w:val="24"/>
          <w:lang w:val="en-US"/>
        </w:rPr>
        <w:t>Oral analgesia</w:t>
      </w:r>
      <w:r w:rsidRPr="00B642DA">
        <w:rPr>
          <w:rFonts w:cs="Times New Roman"/>
          <w:b/>
          <w:bCs/>
          <w:i/>
          <w:iCs/>
          <w:szCs w:val="24"/>
          <w:lang w:val="en-US"/>
        </w:rPr>
        <w:t>:</w:t>
      </w:r>
      <w:r w:rsidRPr="00B642DA">
        <w:rPr>
          <w:rFonts w:cs="Times New Roman"/>
          <w:szCs w:val="24"/>
          <w:lang w:val="en-US"/>
        </w:rPr>
        <w:t xml:space="preserve"> </w:t>
      </w:r>
      <w:r w:rsidR="00B642DA" w:rsidRPr="00B642DA">
        <w:rPr>
          <w:rFonts w:cs="Times New Roman"/>
          <w:szCs w:val="24"/>
          <w:lang w:val="en-US"/>
        </w:rPr>
        <w:t>Avoiding</w:t>
      </w:r>
      <w:r w:rsidR="00B642DA" w:rsidRPr="00D34493">
        <w:rPr>
          <w:rFonts w:cs="Times New Roman"/>
          <w:szCs w:val="24"/>
          <w:lang w:val="en-US"/>
        </w:rPr>
        <w:t xml:space="preserve"> the use of parenteral pain medication and switching to oral medication allowed for early removal of intravenous access and thereby reduced the perception of patients of being ill, vulnerable and dependent on assistance; this was further stressed by inviting patients to wear their own clothes.</w:t>
      </w:r>
    </w:p>
    <w:p w14:paraId="2A89923B" w14:textId="77777777" w:rsidR="0013088C" w:rsidRDefault="0013088C">
      <w:pPr>
        <w:spacing w:line="259" w:lineRule="auto"/>
        <w:rPr>
          <w:rFonts w:cs="Times New Roman"/>
          <w:szCs w:val="24"/>
          <w:lang w:val="en-US"/>
        </w:rPr>
      </w:pPr>
      <w:r>
        <w:rPr>
          <w:rFonts w:cs="Times New Roman"/>
          <w:szCs w:val="24"/>
          <w:lang w:val="en-US"/>
        </w:rPr>
        <w:br w:type="page"/>
      </w:r>
    </w:p>
    <w:p w14:paraId="628AC1D7" w14:textId="78B5143D" w:rsidR="0013088C" w:rsidRPr="00E01D5B" w:rsidRDefault="0013088C" w:rsidP="0013088C">
      <w:pPr>
        <w:pStyle w:val="Heading1"/>
      </w:pPr>
      <w:bookmarkStart w:id="1" w:name="_Toc95385306"/>
      <w:r w:rsidRPr="00E01D5B">
        <w:lastRenderedPageBreak/>
        <w:t>SUPPL</w:t>
      </w:r>
      <w:r>
        <w:t>E</w:t>
      </w:r>
      <w:r w:rsidRPr="00E01D5B">
        <w:t xml:space="preserve">MENTARY </w:t>
      </w:r>
      <w:r>
        <w:t>TABLES</w:t>
      </w:r>
      <w:bookmarkEnd w:id="1"/>
    </w:p>
    <w:p w14:paraId="28177568" w14:textId="77777777" w:rsidR="0013088C" w:rsidRPr="00D34493" w:rsidRDefault="0013088C" w:rsidP="0013088C">
      <w:pPr>
        <w:rPr>
          <w:rFonts w:cs="Times New Roman"/>
          <w:b/>
          <w:szCs w:val="24"/>
          <w:lang w:val="en-US"/>
        </w:rPr>
      </w:pPr>
      <w:r w:rsidRPr="00D34493">
        <w:rPr>
          <w:rFonts w:cs="Times New Roman"/>
          <w:b/>
          <w:szCs w:val="24"/>
          <w:lang w:val="en-US"/>
        </w:rPr>
        <w:t>Supplemental Table S1: ICD-10 codes defining complications following Total Knee Arthroplasty and Total Hip Arthroplasty procedures</w:t>
      </w:r>
    </w:p>
    <w:tbl>
      <w:tblPr>
        <w:tblStyle w:val="TableGrid"/>
        <w:tblpPr w:leftFromText="180" w:rightFromText="180" w:vertAnchor="text" w:horzAnchor="margin" w:tblpY="37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5"/>
        <w:gridCol w:w="8688"/>
      </w:tblGrid>
      <w:tr w:rsidR="0013088C" w:rsidRPr="00D34493" w14:paraId="626378BB" w14:textId="77777777" w:rsidTr="00EE01BB">
        <w:tc>
          <w:tcPr>
            <w:tcW w:w="1129" w:type="dxa"/>
            <w:tcBorders>
              <w:top w:val="single" w:sz="4" w:space="0" w:color="auto"/>
              <w:bottom w:val="single" w:sz="4" w:space="0" w:color="auto"/>
            </w:tcBorders>
          </w:tcPr>
          <w:p w14:paraId="26FFD533" w14:textId="77777777" w:rsidR="0013088C" w:rsidRPr="00D34493" w:rsidRDefault="0013088C" w:rsidP="00EE01BB">
            <w:pPr>
              <w:rPr>
                <w:rFonts w:cs="Times New Roman"/>
                <w:b/>
                <w:szCs w:val="24"/>
              </w:rPr>
            </w:pPr>
            <w:r w:rsidRPr="00D34493">
              <w:rPr>
                <w:rFonts w:cs="Times New Roman"/>
                <w:b/>
                <w:szCs w:val="24"/>
              </w:rPr>
              <w:t>ICD-10 code</w:t>
            </w:r>
            <w:bookmarkStart w:id="2" w:name="_Hlk47955202"/>
            <w:r w:rsidRPr="00D34493">
              <w:rPr>
                <w:rFonts w:cs="Times New Roman"/>
                <w:szCs w:val="24"/>
              </w:rPr>
              <w:t>†</w:t>
            </w:r>
            <w:bookmarkEnd w:id="2"/>
          </w:p>
        </w:tc>
        <w:tc>
          <w:tcPr>
            <w:tcW w:w="7943" w:type="dxa"/>
            <w:tcBorders>
              <w:top w:val="single" w:sz="4" w:space="0" w:color="auto"/>
              <w:bottom w:val="single" w:sz="4" w:space="0" w:color="auto"/>
            </w:tcBorders>
            <w:vAlign w:val="center"/>
          </w:tcPr>
          <w:p w14:paraId="3FA2C4C4" w14:textId="77777777" w:rsidR="0013088C" w:rsidRPr="00D34493" w:rsidRDefault="0013088C" w:rsidP="00EE01BB">
            <w:pPr>
              <w:jc w:val="center"/>
              <w:rPr>
                <w:rFonts w:cs="Times New Roman"/>
                <w:b/>
                <w:szCs w:val="24"/>
              </w:rPr>
            </w:pPr>
            <w:r w:rsidRPr="00D34493">
              <w:rPr>
                <w:rFonts w:cs="Times New Roman"/>
                <w:b/>
                <w:szCs w:val="24"/>
              </w:rPr>
              <w:t>Definition</w:t>
            </w:r>
          </w:p>
        </w:tc>
      </w:tr>
      <w:tr w:rsidR="0013088C" w:rsidRPr="00D34493" w14:paraId="55E0D472" w14:textId="77777777" w:rsidTr="00EE01BB">
        <w:tc>
          <w:tcPr>
            <w:tcW w:w="1129" w:type="dxa"/>
            <w:tcBorders>
              <w:top w:val="single" w:sz="4" w:space="0" w:color="auto"/>
            </w:tcBorders>
          </w:tcPr>
          <w:p w14:paraId="1D1B7C7F" w14:textId="77777777" w:rsidR="0013088C" w:rsidRPr="00D34493" w:rsidRDefault="0013088C" w:rsidP="00EE01BB">
            <w:pPr>
              <w:rPr>
                <w:rFonts w:cs="Times New Roman"/>
                <w:b/>
                <w:szCs w:val="24"/>
              </w:rPr>
            </w:pPr>
            <w:r w:rsidRPr="00D34493">
              <w:rPr>
                <w:rFonts w:cs="Times New Roman"/>
                <w:color w:val="000000"/>
                <w:szCs w:val="24"/>
              </w:rPr>
              <w:t>I97.84</w:t>
            </w:r>
          </w:p>
        </w:tc>
        <w:tc>
          <w:tcPr>
            <w:tcW w:w="7943" w:type="dxa"/>
            <w:tcBorders>
              <w:top w:val="single" w:sz="4" w:space="0" w:color="auto"/>
            </w:tcBorders>
            <w:vAlign w:val="bottom"/>
          </w:tcPr>
          <w:p w14:paraId="4283D074" w14:textId="77777777" w:rsidR="0013088C" w:rsidRPr="00D34493" w:rsidRDefault="0013088C" w:rsidP="00EE01BB">
            <w:pPr>
              <w:rPr>
                <w:rFonts w:cs="Times New Roman"/>
                <w:szCs w:val="24"/>
              </w:rPr>
            </w:pPr>
            <w:r w:rsidRPr="00D34493">
              <w:rPr>
                <w:rFonts w:cs="Times New Roman"/>
                <w:szCs w:val="24"/>
              </w:rPr>
              <w:t>Lymphedema after medical measures in the inguinal lymphatic drainage area, stage I</w:t>
            </w:r>
          </w:p>
        </w:tc>
      </w:tr>
      <w:tr w:rsidR="0013088C" w:rsidRPr="00D34493" w14:paraId="7B7DB669" w14:textId="77777777" w:rsidTr="00EE01BB">
        <w:tc>
          <w:tcPr>
            <w:tcW w:w="1129" w:type="dxa"/>
          </w:tcPr>
          <w:p w14:paraId="2D42FF3E" w14:textId="77777777" w:rsidR="0013088C" w:rsidRPr="00D34493" w:rsidRDefault="0013088C" w:rsidP="00EE01BB">
            <w:pPr>
              <w:rPr>
                <w:rFonts w:cs="Times New Roman"/>
                <w:b/>
                <w:szCs w:val="24"/>
              </w:rPr>
            </w:pPr>
            <w:r w:rsidRPr="00D34493">
              <w:rPr>
                <w:rFonts w:cs="Times New Roman"/>
                <w:color w:val="000000"/>
                <w:szCs w:val="24"/>
              </w:rPr>
              <w:t>I97.85</w:t>
            </w:r>
          </w:p>
        </w:tc>
        <w:tc>
          <w:tcPr>
            <w:tcW w:w="7943" w:type="dxa"/>
            <w:vAlign w:val="bottom"/>
          </w:tcPr>
          <w:p w14:paraId="7E46C197" w14:textId="77777777" w:rsidR="0013088C" w:rsidRPr="00D34493" w:rsidRDefault="0013088C" w:rsidP="00EE01BB">
            <w:pPr>
              <w:rPr>
                <w:rFonts w:cs="Times New Roman"/>
                <w:szCs w:val="24"/>
              </w:rPr>
            </w:pPr>
            <w:r w:rsidRPr="00D34493">
              <w:rPr>
                <w:rFonts w:cs="Times New Roman"/>
                <w:szCs w:val="24"/>
              </w:rPr>
              <w:t>Lymphedema after medical measures in the inguinal lymphatic drainage area, stage II</w:t>
            </w:r>
          </w:p>
        </w:tc>
      </w:tr>
      <w:tr w:rsidR="0013088C" w:rsidRPr="00D34493" w14:paraId="745BFEF8" w14:textId="77777777" w:rsidTr="00EE01BB">
        <w:tc>
          <w:tcPr>
            <w:tcW w:w="1129" w:type="dxa"/>
          </w:tcPr>
          <w:p w14:paraId="20CBE464" w14:textId="77777777" w:rsidR="0013088C" w:rsidRPr="00D34493" w:rsidRDefault="0013088C" w:rsidP="00EE01BB">
            <w:pPr>
              <w:rPr>
                <w:rFonts w:cs="Times New Roman"/>
                <w:b/>
                <w:szCs w:val="24"/>
              </w:rPr>
            </w:pPr>
            <w:r w:rsidRPr="00D34493">
              <w:rPr>
                <w:rFonts w:cs="Times New Roman"/>
                <w:color w:val="000000"/>
                <w:szCs w:val="24"/>
              </w:rPr>
              <w:t>I97.86</w:t>
            </w:r>
          </w:p>
        </w:tc>
        <w:tc>
          <w:tcPr>
            <w:tcW w:w="7943" w:type="dxa"/>
            <w:vAlign w:val="bottom"/>
          </w:tcPr>
          <w:p w14:paraId="490588C0" w14:textId="77777777" w:rsidR="0013088C" w:rsidRPr="00D34493" w:rsidRDefault="0013088C" w:rsidP="00EE01BB">
            <w:pPr>
              <w:rPr>
                <w:rFonts w:cs="Times New Roman"/>
                <w:szCs w:val="24"/>
              </w:rPr>
            </w:pPr>
            <w:r w:rsidRPr="00D34493">
              <w:rPr>
                <w:rFonts w:cs="Times New Roman"/>
                <w:szCs w:val="24"/>
              </w:rPr>
              <w:t>Lymphedema after medical measures in the inguinal lymphatic drainage area, stage III</w:t>
            </w:r>
          </w:p>
        </w:tc>
      </w:tr>
      <w:tr w:rsidR="0013088C" w:rsidRPr="00D34493" w14:paraId="5C17321A" w14:textId="77777777" w:rsidTr="00EE01BB">
        <w:tc>
          <w:tcPr>
            <w:tcW w:w="1129" w:type="dxa"/>
          </w:tcPr>
          <w:p w14:paraId="08516C67" w14:textId="77777777" w:rsidR="0013088C" w:rsidRPr="00D34493" w:rsidRDefault="0013088C" w:rsidP="00EE01BB">
            <w:pPr>
              <w:rPr>
                <w:rFonts w:cs="Times New Roman"/>
                <w:b/>
                <w:szCs w:val="24"/>
              </w:rPr>
            </w:pPr>
            <w:r w:rsidRPr="00D34493">
              <w:rPr>
                <w:rFonts w:cs="Times New Roman"/>
                <w:color w:val="000000"/>
                <w:szCs w:val="24"/>
              </w:rPr>
              <w:t>I97.88</w:t>
            </w:r>
          </w:p>
        </w:tc>
        <w:tc>
          <w:tcPr>
            <w:tcW w:w="7943" w:type="dxa"/>
            <w:vAlign w:val="bottom"/>
          </w:tcPr>
          <w:p w14:paraId="36B86C15" w14:textId="77777777" w:rsidR="0013088C" w:rsidRPr="00D34493" w:rsidRDefault="0013088C" w:rsidP="00EE01BB">
            <w:pPr>
              <w:rPr>
                <w:rFonts w:cs="Times New Roman"/>
                <w:szCs w:val="24"/>
              </w:rPr>
            </w:pPr>
            <w:r w:rsidRPr="00D34493">
              <w:rPr>
                <w:rFonts w:cs="Times New Roman"/>
                <w:szCs w:val="24"/>
              </w:rPr>
              <w:t>Lymphedema after medical measures, other locations, all stages</w:t>
            </w:r>
          </w:p>
        </w:tc>
      </w:tr>
      <w:tr w:rsidR="0013088C" w:rsidRPr="00D34493" w14:paraId="50BBFB99" w14:textId="77777777" w:rsidTr="00EE01BB">
        <w:tc>
          <w:tcPr>
            <w:tcW w:w="1129" w:type="dxa"/>
          </w:tcPr>
          <w:p w14:paraId="00E9EC6F" w14:textId="77777777" w:rsidR="0013088C" w:rsidRPr="00D34493" w:rsidRDefault="0013088C" w:rsidP="00EE01BB">
            <w:pPr>
              <w:rPr>
                <w:rFonts w:cs="Times New Roman"/>
                <w:b/>
                <w:szCs w:val="24"/>
              </w:rPr>
            </w:pPr>
            <w:r w:rsidRPr="00D34493">
              <w:rPr>
                <w:rFonts w:cs="Times New Roman"/>
                <w:color w:val="000000"/>
                <w:szCs w:val="24"/>
              </w:rPr>
              <w:t>I97.89</w:t>
            </w:r>
          </w:p>
        </w:tc>
        <w:tc>
          <w:tcPr>
            <w:tcW w:w="7943" w:type="dxa"/>
            <w:vAlign w:val="bottom"/>
          </w:tcPr>
          <w:p w14:paraId="292021C3" w14:textId="77777777" w:rsidR="0013088C" w:rsidRPr="00D34493" w:rsidRDefault="0013088C" w:rsidP="00EE01BB">
            <w:pPr>
              <w:rPr>
                <w:rFonts w:cs="Times New Roman"/>
                <w:szCs w:val="24"/>
              </w:rPr>
            </w:pPr>
            <w:r w:rsidRPr="00D34493">
              <w:rPr>
                <w:rFonts w:cs="Times New Roman"/>
                <w:szCs w:val="24"/>
              </w:rPr>
              <w:t>Other circulatory complications following medical procedures, not elsewhere classified</w:t>
            </w:r>
          </w:p>
        </w:tc>
      </w:tr>
      <w:tr w:rsidR="0013088C" w:rsidRPr="00D34493" w14:paraId="15D691F1" w14:textId="77777777" w:rsidTr="00EE01BB">
        <w:tc>
          <w:tcPr>
            <w:tcW w:w="1129" w:type="dxa"/>
          </w:tcPr>
          <w:p w14:paraId="56B0060B" w14:textId="77777777" w:rsidR="0013088C" w:rsidRPr="00D34493" w:rsidRDefault="0013088C" w:rsidP="00EE01BB">
            <w:pPr>
              <w:rPr>
                <w:rFonts w:cs="Times New Roman"/>
                <w:b/>
                <w:szCs w:val="24"/>
              </w:rPr>
            </w:pPr>
            <w:r w:rsidRPr="00D34493">
              <w:rPr>
                <w:rFonts w:cs="Times New Roman"/>
                <w:color w:val="000000"/>
                <w:szCs w:val="24"/>
              </w:rPr>
              <w:t>I97.9</w:t>
            </w:r>
          </w:p>
        </w:tc>
        <w:tc>
          <w:tcPr>
            <w:tcW w:w="7943" w:type="dxa"/>
          </w:tcPr>
          <w:p w14:paraId="39E4B3E8" w14:textId="77777777" w:rsidR="0013088C" w:rsidRPr="00D34493" w:rsidRDefault="0013088C" w:rsidP="00EE01BB">
            <w:pPr>
              <w:rPr>
                <w:rFonts w:cs="Times New Roman"/>
                <w:szCs w:val="24"/>
              </w:rPr>
            </w:pPr>
            <w:r w:rsidRPr="00D34493">
              <w:rPr>
                <w:rFonts w:cs="Times New Roman"/>
                <w:szCs w:val="24"/>
              </w:rPr>
              <w:t>Postprocedural disorder of circulatory system, unspecified</w:t>
            </w:r>
          </w:p>
        </w:tc>
      </w:tr>
      <w:tr w:rsidR="0013088C" w:rsidRPr="00D34493" w14:paraId="349B794C" w14:textId="77777777" w:rsidTr="00EE01BB">
        <w:tc>
          <w:tcPr>
            <w:tcW w:w="1129" w:type="dxa"/>
          </w:tcPr>
          <w:p w14:paraId="63A9890A" w14:textId="77777777" w:rsidR="0013088C" w:rsidRPr="00D34493" w:rsidRDefault="0013088C" w:rsidP="00EE01BB">
            <w:pPr>
              <w:rPr>
                <w:rFonts w:cs="Times New Roman"/>
                <w:b/>
                <w:szCs w:val="24"/>
              </w:rPr>
            </w:pPr>
            <w:r w:rsidRPr="00D34493">
              <w:rPr>
                <w:rFonts w:cs="Times New Roman"/>
                <w:color w:val="000000"/>
                <w:szCs w:val="24"/>
              </w:rPr>
              <w:t>J95.5</w:t>
            </w:r>
          </w:p>
        </w:tc>
        <w:tc>
          <w:tcPr>
            <w:tcW w:w="7943" w:type="dxa"/>
          </w:tcPr>
          <w:p w14:paraId="79FB3133" w14:textId="77777777" w:rsidR="0013088C" w:rsidRPr="00D34493" w:rsidRDefault="0013088C" w:rsidP="00EE01BB">
            <w:pPr>
              <w:rPr>
                <w:rFonts w:cs="Times New Roman"/>
                <w:szCs w:val="24"/>
              </w:rPr>
            </w:pPr>
            <w:r w:rsidRPr="00D34493">
              <w:rPr>
                <w:rFonts w:cs="Times New Roman"/>
                <w:szCs w:val="24"/>
              </w:rPr>
              <w:t>Postprocedural subglottic stenosis</w:t>
            </w:r>
          </w:p>
        </w:tc>
      </w:tr>
      <w:tr w:rsidR="0013088C" w:rsidRPr="00D34493" w14:paraId="1C4D30BC" w14:textId="77777777" w:rsidTr="00EE01BB">
        <w:tc>
          <w:tcPr>
            <w:tcW w:w="1129" w:type="dxa"/>
          </w:tcPr>
          <w:p w14:paraId="4B89378B" w14:textId="77777777" w:rsidR="0013088C" w:rsidRPr="00D34493" w:rsidRDefault="0013088C" w:rsidP="00EE01BB">
            <w:pPr>
              <w:rPr>
                <w:rFonts w:cs="Times New Roman"/>
                <w:b/>
                <w:szCs w:val="24"/>
              </w:rPr>
            </w:pPr>
            <w:r w:rsidRPr="00D34493">
              <w:rPr>
                <w:rFonts w:cs="Times New Roman"/>
                <w:color w:val="000000"/>
                <w:szCs w:val="24"/>
              </w:rPr>
              <w:t>J95.8</w:t>
            </w:r>
          </w:p>
        </w:tc>
        <w:tc>
          <w:tcPr>
            <w:tcW w:w="7943" w:type="dxa"/>
          </w:tcPr>
          <w:p w14:paraId="6A24AEA7" w14:textId="77777777" w:rsidR="0013088C" w:rsidRPr="00D34493" w:rsidRDefault="0013088C" w:rsidP="00EE01BB">
            <w:pPr>
              <w:rPr>
                <w:rFonts w:cs="Times New Roman"/>
                <w:szCs w:val="24"/>
              </w:rPr>
            </w:pPr>
            <w:r w:rsidRPr="00D34493">
              <w:rPr>
                <w:rFonts w:cs="Times New Roman"/>
                <w:szCs w:val="24"/>
              </w:rPr>
              <w:t>Other postprocedural respiratory disorders</w:t>
            </w:r>
          </w:p>
        </w:tc>
      </w:tr>
      <w:tr w:rsidR="0013088C" w:rsidRPr="00D34493" w14:paraId="44BFE31C" w14:textId="77777777" w:rsidTr="00EE01BB">
        <w:tc>
          <w:tcPr>
            <w:tcW w:w="1129" w:type="dxa"/>
          </w:tcPr>
          <w:p w14:paraId="58535DA2" w14:textId="77777777" w:rsidR="0013088C" w:rsidRPr="00D34493" w:rsidRDefault="0013088C" w:rsidP="00EE01BB">
            <w:pPr>
              <w:rPr>
                <w:rFonts w:cs="Times New Roman"/>
                <w:b/>
                <w:szCs w:val="24"/>
              </w:rPr>
            </w:pPr>
            <w:r w:rsidRPr="00D34493">
              <w:rPr>
                <w:rFonts w:cs="Times New Roman"/>
                <w:color w:val="000000"/>
                <w:szCs w:val="24"/>
              </w:rPr>
              <w:t>J95.81</w:t>
            </w:r>
          </w:p>
        </w:tc>
        <w:tc>
          <w:tcPr>
            <w:tcW w:w="7943" w:type="dxa"/>
            <w:vAlign w:val="bottom"/>
          </w:tcPr>
          <w:p w14:paraId="113BF8AE" w14:textId="77777777" w:rsidR="0013088C" w:rsidRPr="00D34493" w:rsidRDefault="0013088C" w:rsidP="00EE01BB">
            <w:pPr>
              <w:rPr>
                <w:rFonts w:cs="Times New Roman"/>
                <w:szCs w:val="24"/>
              </w:rPr>
            </w:pPr>
            <w:r w:rsidRPr="00D34493">
              <w:rPr>
                <w:rFonts w:cs="Times New Roman"/>
                <w:szCs w:val="24"/>
              </w:rPr>
              <w:t>Stenosis of the trachea after medical measures</w:t>
            </w:r>
          </w:p>
        </w:tc>
      </w:tr>
      <w:tr w:rsidR="0013088C" w:rsidRPr="00D34493" w14:paraId="218C9101" w14:textId="77777777" w:rsidTr="00EE01BB">
        <w:tc>
          <w:tcPr>
            <w:tcW w:w="1129" w:type="dxa"/>
          </w:tcPr>
          <w:p w14:paraId="10786FFB" w14:textId="77777777" w:rsidR="0013088C" w:rsidRPr="00D34493" w:rsidRDefault="0013088C" w:rsidP="00EE01BB">
            <w:pPr>
              <w:rPr>
                <w:rFonts w:cs="Times New Roman"/>
                <w:b/>
                <w:szCs w:val="24"/>
              </w:rPr>
            </w:pPr>
            <w:r w:rsidRPr="00D34493">
              <w:rPr>
                <w:rFonts w:cs="Times New Roman"/>
                <w:color w:val="000000"/>
                <w:szCs w:val="24"/>
              </w:rPr>
              <w:t>J95.88</w:t>
            </w:r>
          </w:p>
        </w:tc>
        <w:tc>
          <w:tcPr>
            <w:tcW w:w="7943" w:type="dxa"/>
            <w:vAlign w:val="bottom"/>
          </w:tcPr>
          <w:p w14:paraId="776CBC9B" w14:textId="77777777" w:rsidR="0013088C" w:rsidRPr="00D34493" w:rsidRDefault="0013088C" w:rsidP="00EE01BB">
            <w:pPr>
              <w:rPr>
                <w:rFonts w:cs="Times New Roman"/>
                <w:szCs w:val="24"/>
              </w:rPr>
            </w:pPr>
            <w:r w:rsidRPr="00D34493">
              <w:rPr>
                <w:rFonts w:cs="Times New Roman"/>
                <w:szCs w:val="24"/>
              </w:rPr>
              <w:t>Other respiratory diseases after medical intervention</w:t>
            </w:r>
          </w:p>
        </w:tc>
      </w:tr>
      <w:tr w:rsidR="0013088C" w:rsidRPr="00D34493" w14:paraId="04FD7A71" w14:textId="77777777" w:rsidTr="00EE01BB">
        <w:tc>
          <w:tcPr>
            <w:tcW w:w="1129" w:type="dxa"/>
          </w:tcPr>
          <w:p w14:paraId="28A38F3C" w14:textId="77777777" w:rsidR="0013088C" w:rsidRPr="00D34493" w:rsidRDefault="0013088C" w:rsidP="00EE01BB">
            <w:pPr>
              <w:rPr>
                <w:rFonts w:cs="Times New Roman"/>
                <w:b/>
                <w:szCs w:val="24"/>
              </w:rPr>
            </w:pPr>
            <w:r w:rsidRPr="00D34493">
              <w:rPr>
                <w:rFonts w:cs="Times New Roman"/>
                <w:color w:val="000000"/>
                <w:szCs w:val="24"/>
              </w:rPr>
              <w:t>J95.9</w:t>
            </w:r>
          </w:p>
        </w:tc>
        <w:tc>
          <w:tcPr>
            <w:tcW w:w="7943" w:type="dxa"/>
          </w:tcPr>
          <w:p w14:paraId="25BAA94B" w14:textId="77777777" w:rsidR="0013088C" w:rsidRPr="00D34493" w:rsidRDefault="0013088C" w:rsidP="00EE01BB">
            <w:pPr>
              <w:rPr>
                <w:rFonts w:cs="Times New Roman"/>
                <w:szCs w:val="24"/>
              </w:rPr>
            </w:pPr>
            <w:r w:rsidRPr="00D34493">
              <w:rPr>
                <w:rFonts w:cs="Times New Roman"/>
                <w:szCs w:val="24"/>
              </w:rPr>
              <w:t>Postprocedural respiratory disorder, unspecified</w:t>
            </w:r>
          </w:p>
        </w:tc>
      </w:tr>
      <w:tr w:rsidR="0013088C" w:rsidRPr="00D34493" w14:paraId="7DA4F391" w14:textId="77777777" w:rsidTr="00EE01BB">
        <w:tc>
          <w:tcPr>
            <w:tcW w:w="1129" w:type="dxa"/>
          </w:tcPr>
          <w:p w14:paraId="0B4EEC83" w14:textId="77777777" w:rsidR="0013088C" w:rsidRPr="00D34493" w:rsidRDefault="0013088C" w:rsidP="00EE01BB">
            <w:pPr>
              <w:rPr>
                <w:rFonts w:cs="Times New Roman"/>
                <w:b/>
                <w:szCs w:val="24"/>
              </w:rPr>
            </w:pPr>
            <w:r w:rsidRPr="00D34493">
              <w:rPr>
                <w:rFonts w:cs="Times New Roman"/>
                <w:color w:val="000000"/>
                <w:szCs w:val="24"/>
              </w:rPr>
              <w:t>M96.8</w:t>
            </w:r>
          </w:p>
        </w:tc>
        <w:tc>
          <w:tcPr>
            <w:tcW w:w="7943" w:type="dxa"/>
          </w:tcPr>
          <w:p w14:paraId="6DD41E8D" w14:textId="77777777" w:rsidR="0013088C" w:rsidRPr="00D34493" w:rsidRDefault="0013088C" w:rsidP="00EE01BB">
            <w:pPr>
              <w:rPr>
                <w:rFonts w:cs="Times New Roman"/>
                <w:szCs w:val="24"/>
              </w:rPr>
            </w:pPr>
            <w:r w:rsidRPr="00D34493">
              <w:rPr>
                <w:rFonts w:cs="Times New Roman"/>
                <w:szCs w:val="24"/>
              </w:rPr>
              <w:t>Other postprocedural musculoskeletal disorders</w:t>
            </w:r>
          </w:p>
        </w:tc>
      </w:tr>
      <w:tr w:rsidR="0013088C" w:rsidRPr="00D34493" w14:paraId="659B36A5" w14:textId="77777777" w:rsidTr="00EE01BB">
        <w:tc>
          <w:tcPr>
            <w:tcW w:w="1129" w:type="dxa"/>
          </w:tcPr>
          <w:p w14:paraId="3C20F4B1" w14:textId="77777777" w:rsidR="0013088C" w:rsidRPr="00D34493" w:rsidRDefault="0013088C" w:rsidP="00EE01BB">
            <w:pPr>
              <w:rPr>
                <w:rFonts w:cs="Times New Roman"/>
                <w:b/>
                <w:szCs w:val="24"/>
              </w:rPr>
            </w:pPr>
            <w:r w:rsidRPr="00D34493">
              <w:rPr>
                <w:rFonts w:cs="Times New Roman"/>
                <w:color w:val="000000"/>
                <w:szCs w:val="24"/>
              </w:rPr>
              <w:t>M96.88</w:t>
            </w:r>
          </w:p>
        </w:tc>
        <w:tc>
          <w:tcPr>
            <w:tcW w:w="7943" w:type="dxa"/>
          </w:tcPr>
          <w:p w14:paraId="5757FD3F" w14:textId="77777777" w:rsidR="0013088C" w:rsidRPr="00D34493" w:rsidRDefault="0013088C" w:rsidP="00EE01BB">
            <w:pPr>
              <w:rPr>
                <w:rFonts w:cs="Times New Roman"/>
                <w:szCs w:val="24"/>
              </w:rPr>
            </w:pPr>
            <w:r w:rsidRPr="00D34493">
              <w:rPr>
                <w:rFonts w:cs="Times New Roman"/>
                <w:szCs w:val="24"/>
              </w:rPr>
              <w:t>Other diseases of the musculoskeletal system following medical measures</w:t>
            </w:r>
          </w:p>
        </w:tc>
      </w:tr>
      <w:tr w:rsidR="0013088C" w:rsidRPr="00D34493" w14:paraId="6D8CC623" w14:textId="77777777" w:rsidTr="00EE01BB">
        <w:tc>
          <w:tcPr>
            <w:tcW w:w="1129" w:type="dxa"/>
          </w:tcPr>
          <w:p w14:paraId="0E8C5334" w14:textId="77777777" w:rsidR="0013088C" w:rsidRPr="00D34493" w:rsidRDefault="0013088C" w:rsidP="00EE01BB">
            <w:pPr>
              <w:rPr>
                <w:rFonts w:cs="Times New Roman"/>
                <w:b/>
                <w:szCs w:val="24"/>
              </w:rPr>
            </w:pPr>
            <w:r w:rsidRPr="00D34493">
              <w:rPr>
                <w:rFonts w:cs="Times New Roman"/>
                <w:color w:val="000000"/>
                <w:szCs w:val="24"/>
              </w:rPr>
              <w:t>M96.9</w:t>
            </w:r>
          </w:p>
        </w:tc>
        <w:tc>
          <w:tcPr>
            <w:tcW w:w="7943" w:type="dxa"/>
          </w:tcPr>
          <w:p w14:paraId="38609DA6" w14:textId="77777777" w:rsidR="0013088C" w:rsidRPr="00D34493" w:rsidRDefault="0013088C" w:rsidP="00EE01BB">
            <w:pPr>
              <w:rPr>
                <w:rFonts w:cs="Times New Roman"/>
                <w:szCs w:val="24"/>
              </w:rPr>
            </w:pPr>
            <w:r w:rsidRPr="00D34493">
              <w:rPr>
                <w:rFonts w:cs="Times New Roman"/>
                <w:szCs w:val="24"/>
              </w:rPr>
              <w:t>Postprocedural musculoskeletal disorder, unspecified</w:t>
            </w:r>
          </w:p>
        </w:tc>
      </w:tr>
      <w:tr w:rsidR="0013088C" w:rsidRPr="00D34493" w14:paraId="09D33B2E" w14:textId="77777777" w:rsidTr="00EE01BB">
        <w:tc>
          <w:tcPr>
            <w:tcW w:w="1129" w:type="dxa"/>
          </w:tcPr>
          <w:p w14:paraId="4C9A2EF1" w14:textId="77777777" w:rsidR="0013088C" w:rsidRPr="00D34493" w:rsidRDefault="0013088C" w:rsidP="00EE01BB">
            <w:pPr>
              <w:rPr>
                <w:rFonts w:cs="Times New Roman"/>
                <w:b/>
                <w:szCs w:val="24"/>
              </w:rPr>
            </w:pPr>
            <w:r w:rsidRPr="00D34493">
              <w:rPr>
                <w:rFonts w:cs="Times New Roman"/>
                <w:color w:val="000000"/>
                <w:szCs w:val="24"/>
              </w:rPr>
              <w:t>N99.0</w:t>
            </w:r>
          </w:p>
        </w:tc>
        <w:tc>
          <w:tcPr>
            <w:tcW w:w="7943" w:type="dxa"/>
          </w:tcPr>
          <w:p w14:paraId="5207A1B3" w14:textId="77777777" w:rsidR="0013088C" w:rsidRPr="00D34493" w:rsidRDefault="0013088C" w:rsidP="00EE01BB">
            <w:pPr>
              <w:rPr>
                <w:rFonts w:cs="Times New Roman"/>
                <w:szCs w:val="24"/>
              </w:rPr>
            </w:pPr>
            <w:r w:rsidRPr="00D34493">
              <w:rPr>
                <w:rFonts w:cs="Times New Roman"/>
                <w:szCs w:val="24"/>
              </w:rPr>
              <w:t>Postprocedural renal failure</w:t>
            </w:r>
          </w:p>
        </w:tc>
      </w:tr>
      <w:tr w:rsidR="0013088C" w:rsidRPr="00D34493" w14:paraId="63D8DBC6" w14:textId="77777777" w:rsidTr="00EE01BB">
        <w:tc>
          <w:tcPr>
            <w:tcW w:w="1129" w:type="dxa"/>
          </w:tcPr>
          <w:p w14:paraId="0791FD73" w14:textId="77777777" w:rsidR="0013088C" w:rsidRPr="00D34493" w:rsidRDefault="0013088C" w:rsidP="00EE01BB">
            <w:pPr>
              <w:rPr>
                <w:rFonts w:cs="Times New Roman"/>
                <w:b/>
                <w:szCs w:val="24"/>
              </w:rPr>
            </w:pPr>
            <w:r w:rsidRPr="00D34493">
              <w:rPr>
                <w:rFonts w:cs="Times New Roman"/>
                <w:color w:val="000000"/>
                <w:szCs w:val="24"/>
              </w:rPr>
              <w:t>N99.8</w:t>
            </w:r>
          </w:p>
        </w:tc>
        <w:tc>
          <w:tcPr>
            <w:tcW w:w="7943" w:type="dxa"/>
          </w:tcPr>
          <w:p w14:paraId="06B4DEED" w14:textId="77777777" w:rsidR="0013088C" w:rsidRPr="00D34493" w:rsidRDefault="0013088C" w:rsidP="00EE01BB">
            <w:pPr>
              <w:rPr>
                <w:rFonts w:cs="Times New Roman"/>
                <w:szCs w:val="24"/>
              </w:rPr>
            </w:pPr>
            <w:r w:rsidRPr="00D34493">
              <w:rPr>
                <w:rFonts w:cs="Times New Roman"/>
                <w:szCs w:val="24"/>
              </w:rPr>
              <w:t>Other postprocedural disorders of genitourinary system</w:t>
            </w:r>
          </w:p>
        </w:tc>
      </w:tr>
      <w:tr w:rsidR="0013088C" w:rsidRPr="00D34493" w14:paraId="6B85E29A" w14:textId="77777777" w:rsidTr="00EE01BB">
        <w:tc>
          <w:tcPr>
            <w:tcW w:w="1129" w:type="dxa"/>
          </w:tcPr>
          <w:p w14:paraId="1174252E" w14:textId="77777777" w:rsidR="0013088C" w:rsidRPr="00D34493" w:rsidRDefault="0013088C" w:rsidP="00EE01BB">
            <w:pPr>
              <w:rPr>
                <w:rFonts w:cs="Times New Roman"/>
                <w:b/>
                <w:szCs w:val="24"/>
              </w:rPr>
            </w:pPr>
            <w:r w:rsidRPr="00D34493">
              <w:rPr>
                <w:rFonts w:cs="Times New Roman"/>
                <w:color w:val="000000"/>
                <w:szCs w:val="24"/>
              </w:rPr>
              <w:t>N99.9</w:t>
            </w:r>
          </w:p>
        </w:tc>
        <w:tc>
          <w:tcPr>
            <w:tcW w:w="7943" w:type="dxa"/>
          </w:tcPr>
          <w:p w14:paraId="2FC31EEB" w14:textId="77777777" w:rsidR="0013088C" w:rsidRPr="00D34493" w:rsidRDefault="0013088C" w:rsidP="00EE01BB">
            <w:pPr>
              <w:rPr>
                <w:rFonts w:cs="Times New Roman"/>
                <w:szCs w:val="24"/>
              </w:rPr>
            </w:pPr>
            <w:r w:rsidRPr="00D34493">
              <w:rPr>
                <w:rFonts w:cs="Times New Roman"/>
                <w:szCs w:val="24"/>
              </w:rPr>
              <w:t>Postprocedural disorder of genitourinary system, unspecified</w:t>
            </w:r>
          </w:p>
        </w:tc>
      </w:tr>
      <w:tr w:rsidR="0013088C" w:rsidRPr="00D34493" w14:paraId="5777F7C3" w14:textId="77777777" w:rsidTr="00EE01BB">
        <w:tc>
          <w:tcPr>
            <w:tcW w:w="1129" w:type="dxa"/>
          </w:tcPr>
          <w:p w14:paraId="0A5327DB" w14:textId="77777777" w:rsidR="0013088C" w:rsidRPr="00D34493" w:rsidRDefault="0013088C" w:rsidP="00EE01BB">
            <w:pPr>
              <w:rPr>
                <w:rFonts w:cs="Times New Roman"/>
                <w:b/>
                <w:szCs w:val="24"/>
              </w:rPr>
            </w:pPr>
            <w:r w:rsidRPr="00D34493">
              <w:rPr>
                <w:rFonts w:cs="Times New Roman"/>
                <w:color w:val="000000"/>
                <w:szCs w:val="24"/>
              </w:rPr>
              <w:lastRenderedPageBreak/>
              <w:t>T80.0</w:t>
            </w:r>
          </w:p>
        </w:tc>
        <w:tc>
          <w:tcPr>
            <w:tcW w:w="7943" w:type="dxa"/>
          </w:tcPr>
          <w:p w14:paraId="332CC46A" w14:textId="77777777" w:rsidR="0013088C" w:rsidRPr="00D34493" w:rsidRDefault="0013088C" w:rsidP="00EE01BB">
            <w:pPr>
              <w:rPr>
                <w:rFonts w:cs="Times New Roman"/>
                <w:szCs w:val="24"/>
              </w:rPr>
            </w:pPr>
            <w:r w:rsidRPr="00D34493">
              <w:rPr>
                <w:rFonts w:cs="Times New Roman"/>
                <w:szCs w:val="24"/>
              </w:rPr>
              <w:t>Air embolism following infusion, transfusion and therapeutic injection</w:t>
            </w:r>
          </w:p>
        </w:tc>
      </w:tr>
      <w:tr w:rsidR="0013088C" w:rsidRPr="00D34493" w14:paraId="4B287969" w14:textId="77777777" w:rsidTr="00EE01BB">
        <w:tc>
          <w:tcPr>
            <w:tcW w:w="1129" w:type="dxa"/>
          </w:tcPr>
          <w:p w14:paraId="3068EB34" w14:textId="77777777" w:rsidR="0013088C" w:rsidRPr="00D34493" w:rsidRDefault="0013088C" w:rsidP="00EE01BB">
            <w:pPr>
              <w:rPr>
                <w:rFonts w:cs="Times New Roman"/>
                <w:b/>
                <w:szCs w:val="24"/>
              </w:rPr>
            </w:pPr>
            <w:r w:rsidRPr="00D34493">
              <w:rPr>
                <w:rFonts w:cs="Times New Roman"/>
                <w:color w:val="000000"/>
                <w:szCs w:val="24"/>
              </w:rPr>
              <w:t>T80.1</w:t>
            </w:r>
          </w:p>
        </w:tc>
        <w:tc>
          <w:tcPr>
            <w:tcW w:w="7943" w:type="dxa"/>
          </w:tcPr>
          <w:p w14:paraId="4413EAEE" w14:textId="77777777" w:rsidR="0013088C" w:rsidRPr="00D34493" w:rsidRDefault="0013088C" w:rsidP="00EE01BB">
            <w:pPr>
              <w:rPr>
                <w:rFonts w:cs="Times New Roman"/>
                <w:szCs w:val="24"/>
              </w:rPr>
            </w:pPr>
            <w:r w:rsidRPr="00D34493">
              <w:rPr>
                <w:rFonts w:cs="Times New Roman"/>
                <w:szCs w:val="24"/>
              </w:rPr>
              <w:t>Vascular complications following infusion, transfusion and therapeutic injection</w:t>
            </w:r>
          </w:p>
        </w:tc>
      </w:tr>
      <w:tr w:rsidR="0013088C" w:rsidRPr="00D34493" w14:paraId="0D15204E" w14:textId="77777777" w:rsidTr="00EE01BB">
        <w:tc>
          <w:tcPr>
            <w:tcW w:w="1129" w:type="dxa"/>
          </w:tcPr>
          <w:p w14:paraId="6AC69FE3" w14:textId="77777777" w:rsidR="0013088C" w:rsidRPr="00D34493" w:rsidRDefault="0013088C" w:rsidP="00EE01BB">
            <w:pPr>
              <w:rPr>
                <w:rFonts w:cs="Times New Roman"/>
                <w:b/>
                <w:szCs w:val="24"/>
              </w:rPr>
            </w:pPr>
            <w:r w:rsidRPr="00D34493">
              <w:rPr>
                <w:rFonts w:cs="Times New Roman"/>
                <w:color w:val="000000"/>
                <w:szCs w:val="24"/>
              </w:rPr>
              <w:t>T80.2</w:t>
            </w:r>
          </w:p>
        </w:tc>
        <w:tc>
          <w:tcPr>
            <w:tcW w:w="7943" w:type="dxa"/>
          </w:tcPr>
          <w:p w14:paraId="60F0B323" w14:textId="77777777" w:rsidR="0013088C" w:rsidRPr="00D34493" w:rsidRDefault="0013088C" w:rsidP="00EE01BB">
            <w:pPr>
              <w:rPr>
                <w:rFonts w:cs="Times New Roman"/>
                <w:szCs w:val="24"/>
              </w:rPr>
            </w:pPr>
            <w:r w:rsidRPr="00D34493">
              <w:rPr>
                <w:rFonts w:cs="Times New Roman"/>
                <w:szCs w:val="24"/>
              </w:rPr>
              <w:t>Infections following infusion, transfusion and therapeutic injection</w:t>
            </w:r>
          </w:p>
        </w:tc>
      </w:tr>
      <w:tr w:rsidR="0013088C" w:rsidRPr="00D34493" w14:paraId="6342EB79" w14:textId="77777777" w:rsidTr="00EE01BB">
        <w:tc>
          <w:tcPr>
            <w:tcW w:w="1129" w:type="dxa"/>
          </w:tcPr>
          <w:p w14:paraId="7E851AF6" w14:textId="77777777" w:rsidR="0013088C" w:rsidRPr="00D34493" w:rsidRDefault="0013088C" w:rsidP="00EE01BB">
            <w:pPr>
              <w:rPr>
                <w:rFonts w:cs="Times New Roman"/>
                <w:b/>
                <w:szCs w:val="24"/>
              </w:rPr>
            </w:pPr>
            <w:r w:rsidRPr="00D34493">
              <w:rPr>
                <w:rFonts w:cs="Times New Roman"/>
                <w:color w:val="000000"/>
                <w:szCs w:val="24"/>
              </w:rPr>
              <w:t>T80.3</w:t>
            </w:r>
          </w:p>
        </w:tc>
        <w:tc>
          <w:tcPr>
            <w:tcW w:w="7943" w:type="dxa"/>
          </w:tcPr>
          <w:p w14:paraId="53684C46" w14:textId="77777777" w:rsidR="0013088C" w:rsidRPr="00D34493" w:rsidRDefault="0013088C" w:rsidP="00EE01BB">
            <w:pPr>
              <w:rPr>
                <w:rFonts w:cs="Times New Roman"/>
                <w:szCs w:val="24"/>
              </w:rPr>
            </w:pPr>
            <w:r w:rsidRPr="00D34493">
              <w:rPr>
                <w:rFonts w:cs="Times New Roman"/>
                <w:szCs w:val="24"/>
              </w:rPr>
              <w:t>ABO incompatibility reaction</w:t>
            </w:r>
          </w:p>
        </w:tc>
      </w:tr>
      <w:tr w:rsidR="0013088C" w:rsidRPr="00D34493" w14:paraId="7B684EDB" w14:textId="77777777" w:rsidTr="00EE01BB">
        <w:tc>
          <w:tcPr>
            <w:tcW w:w="1129" w:type="dxa"/>
          </w:tcPr>
          <w:p w14:paraId="19507D31" w14:textId="77777777" w:rsidR="0013088C" w:rsidRPr="00D34493" w:rsidRDefault="0013088C" w:rsidP="00EE01BB">
            <w:pPr>
              <w:rPr>
                <w:rFonts w:cs="Times New Roman"/>
                <w:b/>
                <w:szCs w:val="24"/>
              </w:rPr>
            </w:pPr>
            <w:r w:rsidRPr="00D34493">
              <w:rPr>
                <w:rFonts w:cs="Times New Roman"/>
                <w:color w:val="000000"/>
                <w:szCs w:val="24"/>
              </w:rPr>
              <w:t>T80.4</w:t>
            </w:r>
          </w:p>
        </w:tc>
        <w:tc>
          <w:tcPr>
            <w:tcW w:w="7943" w:type="dxa"/>
          </w:tcPr>
          <w:p w14:paraId="3FDF7A6C" w14:textId="77777777" w:rsidR="0013088C" w:rsidRPr="00D34493" w:rsidRDefault="0013088C" w:rsidP="00EE01BB">
            <w:pPr>
              <w:rPr>
                <w:rFonts w:cs="Times New Roman"/>
                <w:szCs w:val="24"/>
              </w:rPr>
            </w:pPr>
            <w:r w:rsidRPr="00D34493">
              <w:rPr>
                <w:rFonts w:cs="Times New Roman"/>
                <w:szCs w:val="24"/>
              </w:rPr>
              <w:t>Rh incompatibility reaction</w:t>
            </w:r>
          </w:p>
        </w:tc>
      </w:tr>
      <w:tr w:rsidR="0013088C" w:rsidRPr="00D34493" w14:paraId="2172A9DE" w14:textId="77777777" w:rsidTr="00EE01BB">
        <w:tc>
          <w:tcPr>
            <w:tcW w:w="1129" w:type="dxa"/>
          </w:tcPr>
          <w:p w14:paraId="6BA62EA7" w14:textId="77777777" w:rsidR="0013088C" w:rsidRPr="00D34493" w:rsidRDefault="0013088C" w:rsidP="00EE01BB">
            <w:pPr>
              <w:rPr>
                <w:rFonts w:cs="Times New Roman"/>
                <w:b/>
                <w:szCs w:val="24"/>
              </w:rPr>
            </w:pPr>
            <w:r w:rsidRPr="00D34493">
              <w:rPr>
                <w:rFonts w:cs="Times New Roman"/>
                <w:color w:val="000000"/>
                <w:szCs w:val="24"/>
              </w:rPr>
              <w:t>T80.5</w:t>
            </w:r>
          </w:p>
        </w:tc>
        <w:tc>
          <w:tcPr>
            <w:tcW w:w="7943" w:type="dxa"/>
          </w:tcPr>
          <w:p w14:paraId="6158A9B0" w14:textId="77777777" w:rsidR="0013088C" w:rsidRPr="00D34493" w:rsidRDefault="0013088C" w:rsidP="00EE01BB">
            <w:pPr>
              <w:rPr>
                <w:rFonts w:cs="Times New Roman"/>
                <w:szCs w:val="24"/>
              </w:rPr>
            </w:pPr>
            <w:r w:rsidRPr="00D34493">
              <w:rPr>
                <w:rFonts w:cs="Times New Roman"/>
                <w:szCs w:val="24"/>
              </w:rPr>
              <w:t>Anaphylactic shock due to serum</w:t>
            </w:r>
          </w:p>
        </w:tc>
      </w:tr>
      <w:tr w:rsidR="0013088C" w:rsidRPr="00D34493" w14:paraId="23992B80" w14:textId="77777777" w:rsidTr="00EE01BB">
        <w:tc>
          <w:tcPr>
            <w:tcW w:w="1129" w:type="dxa"/>
          </w:tcPr>
          <w:p w14:paraId="46EB76D3" w14:textId="77777777" w:rsidR="0013088C" w:rsidRPr="00D34493" w:rsidRDefault="0013088C" w:rsidP="00EE01BB">
            <w:pPr>
              <w:rPr>
                <w:rFonts w:cs="Times New Roman"/>
                <w:b/>
                <w:szCs w:val="24"/>
              </w:rPr>
            </w:pPr>
            <w:r w:rsidRPr="00D34493">
              <w:rPr>
                <w:rFonts w:cs="Times New Roman"/>
                <w:color w:val="000000"/>
                <w:szCs w:val="24"/>
              </w:rPr>
              <w:t>T80.6</w:t>
            </w:r>
          </w:p>
        </w:tc>
        <w:tc>
          <w:tcPr>
            <w:tcW w:w="7943" w:type="dxa"/>
          </w:tcPr>
          <w:p w14:paraId="523A59F0" w14:textId="77777777" w:rsidR="0013088C" w:rsidRPr="00D34493" w:rsidRDefault="0013088C" w:rsidP="00EE01BB">
            <w:pPr>
              <w:rPr>
                <w:rFonts w:cs="Times New Roman"/>
                <w:szCs w:val="24"/>
              </w:rPr>
            </w:pPr>
            <w:r w:rsidRPr="00D34493">
              <w:rPr>
                <w:rFonts w:cs="Times New Roman"/>
                <w:szCs w:val="24"/>
              </w:rPr>
              <w:t>Other serum reactions</w:t>
            </w:r>
          </w:p>
        </w:tc>
      </w:tr>
      <w:tr w:rsidR="0013088C" w:rsidRPr="00D34493" w14:paraId="4A68508A" w14:textId="77777777" w:rsidTr="00EE01BB">
        <w:tc>
          <w:tcPr>
            <w:tcW w:w="1129" w:type="dxa"/>
          </w:tcPr>
          <w:p w14:paraId="462682C6" w14:textId="77777777" w:rsidR="0013088C" w:rsidRPr="00D34493" w:rsidRDefault="0013088C" w:rsidP="00EE01BB">
            <w:pPr>
              <w:rPr>
                <w:rFonts w:cs="Times New Roman"/>
                <w:b/>
                <w:szCs w:val="24"/>
              </w:rPr>
            </w:pPr>
            <w:r w:rsidRPr="00D34493">
              <w:rPr>
                <w:rFonts w:cs="Times New Roman"/>
                <w:color w:val="000000"/>
                <w:szCs w:val="24"/>
              </w:rPr>
              <w:t>T80.8</w:t>
            </w:r>
          </w:p>
        </w:tc>
        <w:tc>
          <w:tcPr>
            <w:tcW w:w="7943" w:type="dxa"/>
          </w:tcPr>
          <w:p w14:paraId="4E73C563" w14:textId="77777777" w:rsidR="0013088C" w:rsidRPr="00D34493" w:rsidRDefault="0013088C" w:rsidP="00EE01BB">
            <w:pPr>
              <w:rPr>
                <w:rFonts w:cs="Times New Roman"/>
                <w:szCs w:val="24"/>
              </w:rPr>
            </w:pPr>
            <w:r w:rsidRPr="00D34493">
              <w:rPr>
                <w:rFonts w:cs="Times New Roman"/>
                <w:szCs w:val="24"/>
              </w:rPr>
              <w:t>Other complications following infusion, transfusion and therapeutic injection</w:t>
            </w:r>
          </w:p>
        </w:tc>
      </w:tr>
      <w:tr w:rsidR="0013088C" w:rsidRPr="00D34493" w14:paraId="033B3A35" w14:textId="77777777" w:rsidTr="00EE01BB">
        <w:tc>
          <w:tcPr>
            <w:tcW w:w="1129" w:type="dxa"/>
          </w:tcPr>
          <w:p w14:paraId="1EE6955A" w14:textId="77777777" w:rsidR="0013088C" w:rsidRPr="00D34493" w:rsidRDefault="0013088C" w:rsidP="00EE01BB">
            <w:pPr>
              <w:rPr>
                <w:rFonts w:cs="Times New Roman"/>
                <w:b/>
                <w:szCs w:val="24"/>
              </w:rPr>
            </w:pPr>
            <w:r w:rsidRPr="00D34493">
              <w:rPr>
                <w:rFonts w:cs="Times New Roman"/>
                <w:color w:val="000000"/>
                <w:szCs w:val="24"/>
              </w:rPr>
              <w:t>T80.9</w:t>
            </w:r>
          </w:p>
        </w:tc>
        <w:tc>
          <w:tcPr>
            <w:tcW w:w="7943" w:type="dxa"/>
          </w:tcPr>
          <w:p w14:paraId="0EFC61A9" w14:textId="77777777" w:rsidR="0013088C" w:rsidRPr="00D34493" w:rsidRDefault="0013088C" w:rsidP="00EE01BB">
            <w:pPr>
              <w:rPr>
                <w:rFonts w:cs="Times New Roman"/>
                <w:szCs w:val="24"/>
              </w:rPr>
            </w:pPr>
            <w:r w:rsidRPr="00D34493">
              <w:rPr>
                <w:rFonts w:cs="Times New Roman"/>
                <w:szCs w:val="24"/>
              </w:rPr>
              <w:t>Unspecified complication following infusion, transfusion and therapeutic injection</w:t>
            </w:r>
          </w:p>
        </w:tc>
      </w:tr>
      <w:tr w:rsidR="0013088C" w:rsidRPr="00D34493" w14:paraId="6EB473CD" w14:textId="77777777" w:rsidTr="00EE01BB">
        <w:tc>
          <w:tcPr>
            <w:tcW w:w="1129" w:type="dxa"/>
          </w:tcPr>
          <w:p w14:paraId="1234C45F" w14:textId="77777777" w:rsidR="0013088C" w:rsidRPr="00D34493" w:rsidRDefault="0013088C" w:rsidP="00EE01BB">
            <w:pPr>
              <w:rPr>
                <w:rFonts w:cs="Times New Roman"/>
                <w:b/>
                <w:szCs w:val="24"/>
              </w:rPr>
            </w:pPr>
            <w:r w:rsidRPr="00D34493">
              <w:rPr>
                <w:rFonts w:cs="Times New Roman"/>
                <w:color w:val="000000"/>
                <w:szCs w:val="24"/>
              </w:rPr>
              <w:t>T81.0</w:t>
            </w:r>
          </w:p>
        </w:tc>
        <w:tc>
          <w:tcPr>
            <w:tcW w:w="7943" w:type="dxa"/>
          </w:tcPr>
          <w:p w14:paraId="0D5E1E13" w14:textId="77777777" w:rsidR="0013088C" w:rsidRPr="00D34493" w:rsidRDefault="0013088C" w:rsidP="00EE01BB">
            <w:pPr>
              <w:rPr>
                <w:rFonts w:cs="Times New Roman"/>
                <w:szCs w:val="24"/>
              </w:rPr>
            </w:pPr>
            <w:r w:rsidRPr="00D34493">
              <w:rPr>
                <w:rFonts w:cs="Times New Roman"/>
                <w:szCs w:val="24"/>
              </w:rPr>
              <w:t>Hemorrhage and hematoma complicating a procedure, not elsewhere classified</w:t>
            </w:r>
          </w:p>
        </w:tc>
      </w:tr>
      <w:tr w:rsidR="0013088C" w:rsidRPr="00D34493" w14:paraId="09AF1339" w14:textId="77777777" w:rsidTr="00EE01BB">
        <w:tc>
          <w:tcPr>
            <w:tcW w:w="1129" w:type="dxa"/>
          </w:tcPr>
          <w:p w14:paraId="1BCB6275" w14:textId="77777777" w:rsidR="0013088C" w:rsidRPr="00D34493" w:rsidRDefault="0013088C" w:rsidP="00EE01BB">
            <w:pPr>
              <w:rPr>
                <w:rFonts w:cs="Times New Roman"/>
                <w:b/>
                <w:szCs w:val="24"/>
              </w:rPr>
            </w:pPr>
            <w:r w:rsidRPr="00D34493">
              <w:rPr>
                <w:rFonts w:cs="Times New Roman"/>
                <w:color w:val="000000"/>
                <w:szCs w:val="24"/>
              </w:rPr>
              <w:t>T81.1</w:t>
            </w:r>
          </w:p>
        </w:tc>
        <w:tc>
          <w:tcPr>
            <w:tcW w:w="7943" w:type="dxa"/>
          </w:tcPr>
          <w:p w14:paraId="648CD408" w14:textId="77777777" w:rsidR="0013088C" w:rsidRPr="00D34493" w:rsidRDefault="0013088C" w:rsidP="00EE01BB">
            <w:pPr>
              <w:rPr>
                <w:rFonts w:cs="Times New Roman"/>
                <w:szCs w:val="24"/>
              </w:rPr>
            </w:pPr>
            <w:r w:rsidRPr="00D34493">
              <w:rPr>
                <w:rFonts w:cs="Times New Roman"/>
                <w:szCs w:val="24"/>
              </w:rPr>
              <w:t>Shock during or resulting from a procedure, not elsewhere classified</w:t>
            </w:r>
          </w:p>
        </w:tc>
      </w:tr>
      <w:tr w:rsidR="0013088C" w:rsidRPr="00D34493" w14:paraId="79F11E05" w14:textId="77777777" w:rsidTr="00EE01BB">
        <w:tc>
          <w:tcPr>
            <w:tcW w:w="1129" w:type="dxa"/>
          </w:tcPr>
          <w:p w14:paraId="1C811CCB" w14:textId="77777777" w:rsidR="0013088C" w:rsidRPr="00D34493" w:rsidRDefault="0013088C" w:rsidP="00EE01BB">
            <w:pPr>
              <w:rPr>
                <w:rFonts w:cs="Times New Roman"/>
                <w:b/>
                <w:szCs w:val="24"/>
              </w:rPr>
            </w:pPr>
            <w:r w:rsidRPr="00D34493">
              <w:rPr>
                <w:rFonts w:cs="Times New Roman"/>
                <w:color w:val="000000"/>
                <w:szCs w:val="24"/>
              </w:rPr>
              <w:t>T81.2</w:t>
            </w:r>
          </w:p>
        </w:tc>
        <w:tc>
          <w:tcPr>
            <w:tcW w:w="7943" w:type="dxa"/>
          </w:tcPr>
          <w:p w14:paraId="203A5C3C" w14:textId="77777777" w:rsidR="0013088C" w:rsidRPr="00D34493" w:rsidRDefault="0013088C" w:rsidP="00EE01BB">
            <w:pPr>
              <w:rPr>
                <w:rFonts w:cs="Times New Roman"/>
                <w:szCs w:val="24"/>
              </w:rPr>
            </w:pPr>
            <w:r w:rsidRPr="00D34493">
              <w:rPr>
                <w:rFonts w:cs="Times New Roman"/>
                <w:szCs w:val="24"/>
              </w:rPr>
              <w:t>Accidental puncture and laceration during a procedure, not elsewhere classified</w:t>
            </w:r>
          </w:p>
        </w:tc>
      </w:tr>
      <w:tr w:rsidR="0013088C" w:rsidRPr="00D34493" w14:paraId="206E9FFF" w14:textId="77777777" w:rsidTr="00EE01BB">
        <w:tc>
          <w:tcPr>
            <w:tcW w:w="1129" w:type="dxa"/>
          </w:tcPr>
          <w:p w14:paraId="321996CF" w14:textId="77777777" w:rsidR="0013088C" w:rsidRPr="00D34493" w:rsidRDefault="0013088C" w:rsidP="00EE01BB">
            <w:pPr>
              <w:rPr>
                <w:rFonts w:cs="Times New Roman"/>
                <w:b/>
                <w:szCs w:val="24"/>
              </w:rPr>
            </w:pPr>
            <w:r w:rsidRPr="00D34493">
              <w:rPr>
                <w:rFonts w:cs="Times New Roman"/>
                <w:color w:val="000000"/>
                <w:szCs w:val="24"/>
              </w:rPr>
              <w:t>T81.3</w:t>
            </w:r>
          </w:p>
        </w:tc>
        <w:tc>
          <w:tcPr>
            <w:tcW w:w="7943" w:type="dxa"/>
          </w:tcPr>
          <w:p w14:paraId="1ABB59BE" w14:textId="77777777" w:rsidR="0013088C" w:rsidRPr="00D34493" w:rsidRDefault="0013088C" w:rsidP="00EE01BB">
            <w:pPr>
              <w:rPr>
                <w:rFonts w:cs="Times New Roman"/>
                <w:szCs w:val="24"/>
              </w:rPr>
            </w:pPr>
            <w:r w:rsidRPr="00D34493">
              <w:rPr>
                <w:rFonts w:cs="Times New Roman"/>
                <w:szCs w:val="24"/>
              </w:rPr>
              <w:t>Disruption of operation wound, not elsewhere classified</w:t>
            </w:r>
          </w:p>
        </w:tc>
      </w:tr>
      <w:tr w:rsidR="0013088C" w:rsidRPr="00D34493" w14:paraId="485545A0" w14:textId="77777777" w:rsidTr="00EE01BB">
        <w:tc>
          <w:tcPr>
            <w:tcW w:w="1129" w:type="dxa"/>
          </w:tcPr>
          <w:p w14:paraId="4EFCC889" w14:textId="77777777" w:rsidR="0013088C" w:rsidRPr="00D34493" w:rsidRDefault="0013088C" w:rsidP="00EE01BB">
            <w:pPr>
              <w:rPr>
                <w:rFonts w:cs="Times New Roman"/>
                <w:b/>
                <w:szCs w:val="24"/>
              </w:rPr>
            </w:pPr>
            <w:r w:rsidRPr="00D34493">
              <w:rPr>
                <w:rFonts w:cs="Times New Roman"/>
                <w:color w:val="000000"/>
                <w:szCs w:val="24"/>
              </w:rPr>
              <w:t>T81.4</w:t>
            </w:r>
          </w:p>
        </w:tc>
        <w:tc>
          <w:tcPr>
            <w:tcW w:w="7943" w:type="dxa"/>
          </w:tcPr>
          <w:p w14:paraId="52A613DF" w14:textId="77777777" w:rsidR="0013088C" w:rsidRPr="00D34493" w:rsidRDefault="0013088C" w:rsidP="00EE01BB">
            <w:pPr>
              <w:rPr>
                <w:rFonts w:cs="Times New Roman"/>
                <w:szCs w:val="24"/>
              </w:rPr>
            </w:pPr>
            <w:r w:rsidRPr="00D34493">
              <w:rPr>
                <w:rFonts w:cs="Times New Roman"/>
                <w:szCs w:val="24"/>
              </w:rPr>
              <w:t>Infection following a procedure, not elsewhere classified</w:t>
            </w:r>
          </w:p>
        </w:tc>
      </w:tr>
      <w:tr w:rsidR="0013088C" w:rsidRPr="00D34493" w14:paraId="15532C9D" w14:textId="77777777" w:rsidTr="00EE01BB">
        <w:tc>
          <w:tcPr>
            <w:tcW w:w="1129" w:type="dxa"/>
          </w:tcPr>
          <w:p w14:paraId="0A5CEF62" w14:textId="77777777" w:rsidR="0013088C" w:rsidRPr="00D34493" w:rsidRDefault="0013088C" w:rsidP="00EE01BB">
            <w:pPr>
              <w:rPr>
                <w:rFonts w:cs="Times New Roman"/>
                <w:b/>
                <w:szCs w:val="24"/>
              </w:rPr>
            </w:pPr>
            <w:r w:rsidRPr="00D34493">
              <w:rPr>
                <w:rFonts w:cs="Times New Roman"/>
                <w:color w:val="000000"/>
                <w:szCs w:val="24"/>
              </w:rPr>
              <w:t>T81.5</w:t>
            </w:r>
          </w:p>
        </w:tc>
        <w:tc>
          <w:tcPr>
            <w:tcW w:w="7943" w:type="dxa"/>
          </w:tcPr>
          <w:p w14:paraId="2A58376D" w14:textId="77777777" w:rsidR="0013088C" w:rsidRPr="00D34493" w:rsidRDefault="0013088C" w:rsidP="00EE01BB">
            <w:pPr>
              <w:rPr>
                <w:rFonts w:cs="Times New Roman"/>
                <w:szCs w:val="24"/>
              </w:rPr>
            </w:pPr>
            <w:r w:rsidRPr="00D34493">
              <w:rPr>
                <w:rFonts w:cs="Times New Roman"/>
                <w:szCs w:val="24"/>
              </w:rPr>
              <w:t>Foreign body accidentally left in body cavity or operation wound following a procedure</w:t>
            </w:r>
          </w:p>
        </w:tc>
      </w:tr>
      <w:tr w:rsidR="0013088C" w:rsidRPr="00D34493" w14:paraId="53E9A5AB" w14:textId="77777777" w:rsidTr="00EE01BB">
        <w:tc>
          <w:tcPr>
            <w:tcW w:w="1129" w:type="dxa"/>
          </w:tcPr>
          <w:p w14:paraId="32E3389C" w14:textId="77777777" w:rsidR="0013088C" w:rsidRPr="00D34493" w:rsidRDefault="0013088C" w:rsidP="00EE01BB">
            <w:pPr>
              <w:rPr>
                <w:rFonts w:cs="Times New Roman"/>
                <w:b/>
                <w:szCs w:val="24"/>
              </w:rPr>
            </w:pPr>
            <w:r w:rsidRPr="00D34493">
              <w:rPr>
                <w:rFonts w:cs="Times New Roman"/>
                <w:color w:val="000000"/>
                <w:szCs w:val="24"/>
              </w:rPr>
              <w:t>T81.6</w:t>
            </w:r>
          </w:p>
        </w:tc>
        <w:tc>
          <w:tcPr>
            <w:tcW w:w="7943" w:type="dxa"/>
          </w:tcPr>
          <w:p w14:paraId="51FF8DA4" w14:textId="77777777" w:rsidR="0013088C" w:rsidRPr="00D34493" w:rsidRDefault="0013088C" w:rsidP="00EE01BB">
            <w:pPr>
              <w:rPr>
                <w:rFonts w:cs="Times New Roman"/>
                <w:szCs w:val="24"/>
              </w:rPr>
            </w:pPr>
            <w:r w:rsidRPr="00D34493">
              <w:rPr>
                <w:rFonts w:cs="Times New Roman"/>
                <w:szCs w:val="24"/>
              </w:rPr>
              <w:t>Acute reaction to foreign substance accidentally left during a procedure</w:t>
            </w:r>
          </w:p>
        </w:tc>
      </w:tr>
      <w:tr w:rsidR="0013088C" w:rsidRPr="00D34493" w14:paraId="10F6F1AA" w14:textId="77777777" w:rsidTr="00EE01BB">
        <w:tc>
          <w:tcPr>
            <w:tcW w:w="1129" w:type="dxa"/>
          </w:tcPr>
          <w:p w14:paraId="458569D6" w14:textId="77777777" w:rsidR="0013088C" w:rsidRPr="00D34493" w:rsidRDefault="0013088C" w:rsidP="00EE01BB">
            <w:pPr>
              <w:rPr>
                <w:rFonts w:cs="Times New Roman"/>
                <w:b/>
                <w:szCs w:val="24"/>
              </w:rPr>
            </w:pPr>
            <w:r w:rsidRPr="00D34493">
              <w:rPr>
                <w:rFonts w:cs="Times New Roman"/>
                <w:color w:val="000000"/>
                <w:szCs w:val="24"/>
              </w:rPr>
              <w:t>T81.7</w:t>
            </w:r>
          </w:p>
        </w:tc>
        <w:tc>
          <w:tcPr>
            <w:tcW w:w="7943" w:type="dxa"/>
          </w:tcPr>
          <w:p w14:paraId="2A3A12FB" w14:textId="77777777" w:rsidR="0013088C" w:rsidRPr="00D34493" w:rsidRDefault="0013088C" w:rsidP="00EE01BB">
            <w:pPr>
              <w:rPr>
                <w:rFonts w:cs="Times New Roman"/>
                <w:szCs w:val="24"/>
              </w:rPr>
            </w:pPr>
            <w:r w:rsidRPr="00D34493">
              <w:rPr>
                <w:rFonts w:cs="Times New Roman"/>
                <w:szCs w:val="24"/>
              </w:rPr>
              <w:t>Vascular complications following a procedure, not elsewhere classified</w:t>
            </w:r>
          </w:p>
        </w:tc>
      </w:tr>
      <w:tr w:rsidR="0013088C" w:rsidRPr="00D34493" w14:paraId="1FA2B727" w14:textId="77777777" w:rsidTr="00EE01BB">
        <w:tc>
          <w:tcPr>
            <w:tcW w:w="1129" w:type="dxa"/>
          </w:tcPr>
          <w:p w14:paraId="6CA1CF5C" w14:textId="77777777" w:rsidR="0013088C" w:rsidRPr="00D34493" w:rsidRDefault="0013088C" w:rsidP="00EE01BB">
            <w:pPr>
              <w:rPr>
                <w:rFonts w:cs="Times New Roman"/>
                <w:b/>
                <w:szCs w:val="24"/>
              </w:rPr>
            </w:pPr>
            <w:r w:rsidRPr="00D34493">
              <w:rPr>
                <w:rFonts w:cs="Times New Roman"/>
                <w:color w:val="000000"/>
                <w:szCs w:val="24"/>
              </w:rPr>
              <w:t>T81.8</w:t>
            </w:r>
          </w:p>
        </w:tc>
        <w:tc>
          <w:tcPr>
            <w:tcW w:w="7943" w:type="dxa"/>
          </w:tcPr>
          <w:p w14:paraId="169CFD00" w14:textId="77777777" w:rsidR="0013088C" w:rsidRPr="00D34493" w:rsidRDefault="0013088C" w:rsidP="00EE01BB">
            <w:pPr>
              <w:rPr>
                <w:rFonts w:cs="Times New Roman"/>
                <w:szCs w:val="24"/>
              </w:rPr>
            </w:pPr>
            <w:r w:rsidRPr="00D34493">
              <w:rPr>
                <w:rFonts w:cs="Times New Roman"/>
                <w:szCs w:val="24"/>
              </w:rPr>
              <w:t>Other complications of procedures, not elsewhere classified</w:t>
            </w:r>
          </w:p>
        </w:tc>
      </w:tr>
      <w:tr w:rsidR="0013088C" w:rsidRPr="00D34493" w14:paraId="4547222B" w14:textId="77777777" w:rsidTr="00EE01BB">
        <w:tc>
          <w:tcPr>
            <w:tcW w:w="1129" w:type="dxa"/>
          </w:tcPr>
          <w:p w14:paraId="405917F4" w14:textId="77777777" w:rsidR="0013088C" w:rsidRPr="00D34493" w:rsidRDefault="0013088C" w:rsidP="00EE01BB">
            <w:pPr>
              <w:rPr>
                <w:rFonts w:cs="Times New Roman"/>
                <w:b/>
                <w:szCs w:val="24"/>
              </w:rPr>
            </w:pPr>
            <w:r w:rsidRPr="00D34493">
              <w:rPr>
                <w:rFonts w:cs="Times New Roman"/>
                <w:color w:val="000000"/>
                <w:szCs w:val="24"/>
              </w:rPr>
              <w:t>T81.9</w:t>
            </w:r>
          </w:p>
        </w:tc>
        <w:tc>
          <w:tcPr>
            <w:tcW w:w="7943" w:type="dxa"/>
          </w:tcPr>
          <w:p w14:paraId="34F8BBBD" w14:textId="77777777" w:rsidR="0013088C" w:rsidRPr="00D34493" w:rsidRDefault="0013088C" w:rsidP="00EE01BB">
            <w:pPr>
              <w:rPr>
                <w:rFonts w:cs="Times New Roman"/>
                <w:szCs w:val="24"/>
              </w:rPr>
            </w:pPr>
            <w:r w:rsidRPr="00D34493">
              <w:rPr>
                <w:rFonts w:cs="Times New Roman"/>
                <w:szCs w:val="24"/>
              </w:rPr>
              <w:t>Unspecified complication of procedure</w:t>
            </w:r>
          </w:p>
        </w:tc>
      </w:tr>
      <w:tr w:rsidR="0013088C" w:rsidRPr="00D34493" w14:paraId="0E14A726" w14:textId="77777777" w:rsidTr="00EE01BB">
        <w:tc>
          <w:tcPr>
            <w:tcW w:w="1129" w:type="dxa"/>
          </w:tcPr>
          <w:p w14:paraId="54F6A3A9" w14:textId="77777777" w:rsidR="0013088C" w:rsidRPr="00D34493" w:rsidRDefault="0013088C" w:rsidP="00EE01BB">
            <w:pPr>
              <w:rPr>
                <w:rFonts w:cs="Times New Roman"/>
                <w:b/>
                <w:szCs w:val="24"/>
              </w:rPr>
            </w:pPr>
            <w:r w:rsidRPr="00D34493">
              <w:rPr>
                <w:rFonts w:cs="Times New Roman"/>
                <w:color w:val="000000"/>
                <w:szCs w:val="24"/>
              </w:rPr>
              <w:t>T84.04</w:t>
            </w:r>
          </w:p>
        </w:tc>
        <w:tc>
          <w:tcPr>
            <w:tcW w:w="7943" w:type="dxa"/>
            <w:vAlign w:val="bottom"/>
          </w:tcPr>
          <w:p w14:paraId="14F174A5" w14:textId="77777777" w:rsidR="0013088C" w:rsidRPr="00D34493" w:rsidRDefault="0013088C" w:rsidP="00EE01BB">
            <w:pPr>
              <w:rPr>
                <w:rFonts w:cs="Times New Roman"/>
                <w:szCs w:val="24"/>
              </w:rPr>
            </w:pPr>
            <w:r w:rsidRPr="00D34493">
              <w:rPr>
                <w:rFonts w:cs="Times New Roman"/>
                <w:szCs w:val="24"/>
              </w:rPr>
              <w:t>Mechanical complication of a joint endoprosthesis: hip joint</w:t>
            </w:r>
          </w:p>
        </w:tc>
      </w:tr>
      <w:tr w:rsidR="0013088C" w:rsidRPr="00D34493" w14:paraId="49D3857E" w14:textId="77777777" w:rsidTr="00EE01BB">
        <w:tc>
          <w:tcPr>
            <w:tcW w:w="1129" w:type="dxa"/>
          </w:tcPr>
          <w:p w14:paraId="495D220A" w14:textId="77777777" w:rsidR="0013088C" w:rsidRPr="00D34493" w:rsidRDefault="0013088C" w:rsidP="00EE01BB">
            <w:pPr>
              <w:rPr>
                <w:rFonts w:cs="Times New Roman"/>
                <w:b/>
                <w:szCs w:val="24"/>
              </w:rPr>
            </w:pPr>
            <w:r w:rsidRPr="00D34493">
              <w:rPr>
                <w:rFonts w:cs="Times New Roman"/>
                <w:color w:val="000000"/>
                <w:szCs w:val="24"/>
              </w:rPr>
              <w:t>T84.05</w:t>
            </w:r>
          </w:p>
        </w:tc>
        <w:tc>
          <w:tcPr>
            <w:tcW w:w="7943" w:type="dxa"/>
            <w:vAlign w:val="bottom"/>
          </w:tcPr>
          <w:p w14:paraId="14EFAD2E" w14:textId="77777777" w:rsidR="0013088C" w:rsidRPr="00D34493" w:rsidRDefault="0013088C" w:rsidP="00EE01BB">
            <w:pPr>
              <w:rPr>
                <w:rFonts w:cs="Times New Roman"/>
                <w:szCs w:val="24"/>
              </w:rPr>
            </w:pPr>
            <w:r w:rsidRPr="00D34493">
              <w:rPr>
                <w:rFonts w:cs="Times New Roman"/>
                <w:szCs w:val="24"/>
              </w:rPr>
              <w:t>Mechanical complication of a joint endoprosthesis: knee joint</w:t>
            </w:r>
          </w:p>
        </w:tc>
      </w:tr>
      <w:tr w:rsidR="0013088C" w:rsidRPr="00D34493" w14:paraId="0014D87E" w14:textId="77777777" w:rsidTr="00EE01BB">
        <w:tc>
          <w:tcPr>
            <w:tcW w:w="1129" w:type="dxa"/>
          </w:tcPr>
          <w:p w14:paraId="52B50D10" w14:textId="77777777" w:rsidR="0013088C" w:rsidRPr="00D34493" w:rsidRDefault="0013088C" w:rsidP="00EE01BB">
            <w:pPr>
              <w:rPr>
                <w:rFonts w:cs="Times New Roman"/>
                <w:b/>
                <w:szCs w:val="24"/>
              </w:rPr>
            </w:pPr>
            <w:r w:rsidRPr="00D34493">
              <w:rPr>
                <w:rFonts w:cs="Times New Roman"/>
                <w:color w:val="000000"/>
                <w:szCs w:val="24"/>
              </w:rPr>
              <w:t>T84.5</w:t>
            </w:r>
          </w:p>
        </w:tc>
        <w:tc>
          <w:tcPr>
            <w:tcW w:w="7943" w:type="dxa"/>
          </w:tcPr>
          <w:p w14:paraId="06C2F3EF" w14:textId="77777777" w:rsidR="0013088C" w:rsidRPr="00D34493" w:rsidRDefault="0013088C" w:rsidP="00EE01BB">
            <w:pPr>
              <w:rPr>
                <w:rFonts w:cs="Times New Roman"/>
                <w:szCs w:val="24"/>
              </w:rPr>
            </w:pPr>
            <w:r w:rsidRPr="00D34493">
              <w:rPr>
                <w:rFonts w:cs="Times New Roman"/>
                <w:szCs w:val="24"/>
              </w:rPr>
              <w:t>Infection and inflammatory reaction due to internal joint prosthesis</w:t>
            </w:r>
          </w:p>
        </w:tc>
      </w:tr>
      <w:tr w:rsidR="0013088C" w:rsidRPr="00D34493" w14:paraId="06578D6F" w14:textId="77777777" w:rsidTr="00EE01BB">
        <w:tc>
          <w:tcPr>
            <w:tcW w:w="1129" w:type="dxa"/>
          </w:tcPr>
          <w:p w14:paraId="3AC203E2" w14:textId="77777777" w:rsidR="0013088C" w:rsidRPr="00D34493" w:rsidRDefault="0013088C" w:rsidP="00EE01BB">
            <w:pPr>
              <w:rPr>
                <w:rFonts w:cs="Times New Roman"/>
                <w:b/>
                <w:szCs w:val="24"/>
              </w:rPr>
            </w:pPr>
            <w:r w:rsidRPr="00D34493">
              <w:rPr>
                <w:rFonts w:cs="Times New Roman"/>
                <w:color w:val="000000"/>
                <w:szCs w:val="24"/>
              </w:rPr>
              <w:lastRenderedPageBreak/>
              <w:t>T84.7</w:t>
            </w:r>
          </w:p>
        </w:tc>
        <w:tc>
          <w:tcPr>
            <w:tcW w:w="7943" w:type="dxa"/>
          </w:tcPr>
          <w:p w14:paraId="401BD217" w14:textId="77777777" w:rsidR="0013088C" w:rsidRPr="00D34493" w:rsidRDefault="0013088C" w:rsidP="00EE01BB">
            <w:pPr>
              <w:rPr>
                <w:rFonts w:cs="Times New Roman"/>
                <w:szCs w:val="24"/>
              </w:rPr>
            </w:pPr>
            <w:r w:rsidRPr="00D34493">
              <w:rPr>
                <w:rFonts w:cs="Times New Roman"/>
                <w:szCs w:val="24"/>
              </w:rPr>
              <w:t>Infection and inflammatory reaction due to other internal orthopedic prosthetic devices, implants and grafts</w:t>
            </w:r>
          </w:p>
        </w:tc>
      </w:tr>
      <w:tr w:rsidR="0013088C" w:rsidRPr="00D34493" w14:paraId="048F92DB" w14:textId="77777777" w:rsidTr="00EE01BB">
        <w:tc>
          <w:tcPr>
            <w:tcW w:w="1129" w:type="dxa"/>
          </w:tcPr>
          <w:p w14:paraId="67D97CF7" w14:textId="77777777" w:rsidR="0013088C" w:rsidRPr="00D34493" w:rsidRDefault="0013088C" w:rsidP="00EE01BB">
            <w:pPr>
              <w:rPr>
                <w:rFonts w:cs="Times New Roman"/>
                <w:b/>
                <w:szCs w:val="24"/>
              </w:rPr>
            </w:pPr>
            <w:r w:rsidRPr="00D34493">
              <w:rPr>
                <w:rFonts w:cs="Times New Roman"/>
                <w:color w:val="000000"/>
                <w:szCs w:val="24"/>
              </w:rPr>
              <w:t>T84.8</w:t>
            </w:r>
          </w:p>
        </w:tc>
        <w:tc>
          <w:tcPr>
            <w:tcW w:w="7943" w:type="dxa"/>
          </w:tcPr>
          <w:p w14:paraId="1D9BFEED" w14:textId="77777777" w:rsidR="0013088C" w:rsidRPr="00D34493" w:rsidRDefault="0013088C" w:rsidP="00EE01BB">
            <w:pPr>
              <w:rPr>
                <w:rFonts w:cs="Times New Roman"/>
                <w:szCs w:val="24"/>
              </w:rPr>
            </w:pPr>
            <w:r w:rsidRPr="00D34493">
              <w:rPr>
                <w:rFonts w:cs="Times New Roman"/>
                <w:szCs w:val="24"/>
              </w:rPr>
              <w:t>Other complications of internal orthopedic prosthetic devices, implants and grafts</w:t>
            </w:r>
          </w:p>
        </w:tc>
      </w:tr>
      <w:tr w:rsidR="0013088C" w:rsidRPr="00D34493" w14:paraId="13E7810F" w14:textId="77777777" w:rsidTr="00EE01BB">
        <w:tc>
          <w:tcPr>
            <w:tcW w:w="1129" w:type="dxa"/>
          </w:tcPr>
          <w:p w14:paraId="13019D59" w14:textId="77777777" w:rsidR="0013088C" w:rsidRPr="00D34493" w:rsidRDefault="0013088C" w:rsidP="00EE01BB">
            <w:pPr>
              <w:rPr>
                <w:rFonts w:cs="Times New Roman"/>
                <w:b/>
                <w:szCs w:val="24"/>
              </w:rPr>
            </w:pPr>
            <w:r w:rsidRPr="00D34493">
              <w:rPr>
                <w:rFonts w:cs="Times New Roman"/>
                <w:color w:val="000000"/>
                <w:szCs w:val="24"/>
              </w:rPr>
              <w:t>T84.9</w:t>
            </w:r>
          </w:p>
        </w:tc>
        <w:tc>
          <w:tcPr>
            <w:tcW w:w="7943" w:type="dxa"/>
          </w:tcPr>
          <w:p w14:paraId="3FFE253E" w14:textId="77777777" w:rsidR="0013088C" w:rsidRPr="00D34493" w:rsidRDefault="0013088C" w:rsidP="00EE01BB">
            <w:pPr>
              <w:rPr>
                <w:rFonts w:cs="Times New Roman"/>
                <w:szCs w:val="24"/>
              </w:rPr>
            </w:pPr>
            <w:r w:rsidRPr="00D34493">
              <w:rPr>
                <w:rFonts w:cs="Times New Roman"/>
                <w:szCs w:val="24"/>
              </w:rPr>
              <w:t>Unspecified complication of internal orthopedic prosthetic device, implant and graft</w:t>
            </w:r>
          </w:p>
        </w:tc>
      </w:tr>
      <w:tr w:rsidR="0013088C" w:rsidRPr="00D34493" w14:paraId="2041E778" w14:textId="77777777" w:rsidTr="00EE01BB">
        <w:tc>
          <w:tcPr>
            <w:tcW w:w="1129" w:type="dxa"/>
          </w:tcPr>
          <w:p w14:paraId="334EE581" w14:textId="77777777" w:rsidR="0013088C" w:rsidRPr="00D34493" w:rsidRDefault="0013088C" w:rsidP="00EE01BB">
            <w:pPr>
              <w:rPr>
                <w:rFonts w:cs="Times New Roman"/>
                <w:b/>
                <w:szCs w:val="24"/>
              </w:rPr>
            </w:pPr>
            <w:r w:rsidRPr="00D34493">
              <w:rPr>
                <w:rFonts w:cs="Times New Roman"/>
                <w:color w:val="000000"/>
                <w:szCs w:val="24"/>
              </w:rPr>
              <w:t>T85.78</w:t>
            </w:r>
          </w:p>
        </w:tc>
        <w:tc>
          <w:tcPr>
            <w:tcW w:w="7943" w:type="dxa"/>
          </w:tcPr>
          <w:p w14:paraId="74C76385" w14:textId="77777777" w:rsidR="0013088C" w:rsidRPr="00D34493" w:rsidRDefault="0013088C" w:rsidP="00EE01BB">
            <w:pPr>
              <w:rPr>
                <w:rFonts w:cs="Times New Roman"/>
                <w:szCs w:val="24"/>
              </w:rPr>
            </w:pPr>
            <w:r w:rsidRPr="00D34493">
              <w:rPr>
                <w:rFonts w:cs="Times New Roman"/>
                <w:szCs w:val="24"/>
              </w:rPr>
              <w:t>Infection and inflammatory reaction from other internal prostheses, implants or grafts</w:t>
            </w:r>
          </w:p>
        </w:tc>
      </w:tr>
      <w:tr w:rsidR="0013088C" w:rsidRPr="00D34493" w14:paraId="1F6C2E5D" w14:textId="77777777" w:rsidTr="00EE01BB">
        <w:tc>
          <w:tcPr>
            <w:tcW w:w="1129" w:type="dxa"/>
          </w:tcPr>
          <w:p w14:paraId="1B59ADB4" w14:textId="77777777" w:rsidR="0013088C" w:rsidRPr="00D34493" w:rsidRDefault="0013088C" w:rsidP="00EE01BB">
            <w:pPr>
              <w:rPr>
                <w:rFonts w:cs="Times New Roman"/>
                <w:b/>
                <w:szCs w:val="24"/>
              </w:rPr>
            </w:pPr>
            <w:r w:rsidRPr="00D34493">
              <w:rPr>
                <w:rFonts w:cs="Times New Roman"/>
                <w:color w:val="000000"/>
                <w:szCs w:val="24"/>
              </w:rPr>
              <w:t>T88.2</w:t>
            </w:r>
          </w:p>
        </w:tc>
        <w:tc>
          <w:tcPr>
            <w:tcW w:w="7943" w:type="dxa"/>
          </w:tcPr>
          <w:p w14:paraId="5A699454" w14:textId="77777777" w:rsidR="0013088C" w:rsidRPr="00D34493" w:rsidRDefault="0013088C" w:rsidP="00EE01BB">
            <w:pPr>
              <w:rPr>
                <w:rFonts w:cs="Times New Roman"/>
                <w:szCs w:val="24"/>
              </w:rPr>
            </w:pPr>
            <w:r w:rsidRPr="00D34493">
              <w:rPr>
                <w:rFonts w:cs="Times New Roman"/>
                <w:szCs w:val="24"/>
              </w:rPr>
              <w:t>Shock due to anesthesia</w:t>
            </w:r>
          </w:p>
        </w:tc>
      </w:tr>
      <w:tr w:rsidR="0013088C" w:rsidRPr="00D34493" w14:paraId="5F594928" w14:textId="77777777" w:rsidTr="00EE01BB">
        <w:tc>
          <w:tcPr>
            <w:tcW w:w="1129" w:type="dxa"/>
          </w:tcPr>
          <w:p w14:paraId="143B6314" w14:textId="77777777" w:rsidR="0013088C" w:rsidRPr="00D34493" w:rsidRDefault="0013088C" w:rsidP="00EE01BB">
            <w:pPr>
              <w:rPr>
                <w:rFonts w:cs="Times New Roman"/>
                <w:b/>
                <w:szCs w:val="24"/>
              </w:rPr>
            </w:pPr>
            <w:r w:rsidRPr="00D34493">
              <w:rPr>
                <w:rFonts w:cs="Times New Roman"/>
                <w:color w:val="000000"/>
                <w:szCs w:val="24"/>
              </w:rPr>
              <w:t>T88.3</w:t>
            </w:r>
          </w:p>
        </w:tc>
        <w:tc>
          <w:tcPr>
            <w:tcW w:w="7943" w:type="dxa"/>
          </w:tcPr>
          <w:p w14:paraId="4554C012" w14:textId="77777777" w:rsidR="0013088C" w:rsidRPr="00D34493" w:rsidRDefault="0013088C" w:rsidP="00EE01BB">
            <w:pPr>
              <w:rPr>
                <w:rFonts w:cs="Times New Roman"/>
                <w:szCs w:val="24"/>
              </w:rPr>
            </w:pPr>
            <w:r w:rsidRPr="00D34493">
              <w:rPr>
                <w:rFonts w:cs="Times New Roman"/>
                <w:szCs w:val="24"/>
              </w:rPr>
              <w:t>Malignant hyperthermia due to anesthesia</w:t>
            </w:r>
          </w:p>
        </w:tc>
      </w:tr>
      <w:tr w:rsidR="0013088C" w:rsidRPr="00D34493" w14:paraId="68B908EC" w14:textId="77777777" w:rsidTr="00EE01BB">
        <w:tc>
          <w:tcPr>
            <w:tcW w:w="1129" w:type="dxa"/>
          </w:tcPr>
          <w:p w14:paraId="7F585C78" w14:textId="77777777" w:rsidR="0013088C" w:rsidRPr="00D34493" w:rsidRDefault="0013088C" w:rsidP="00EE01BB">
            <w:pPr>
              <w:rPr>
                <w:rFonts w:cs="Times New Roman"/>
                <w:b/>
                <w:szCs w:val="24"/>
              </w:rPr>
            </w:pPr>
            <w:r w:rsidRPr="00D34493">
              <w:rPr>
                <w:rFonts w:cs="Times New Roman"/>
                <w:color w:val="000000"/>
                <w:szCs w:val="24"/>
              </w:rPr>
              <w:t>T88.4</w:t>
            </w:r>
          </w:p>
        </w:tc>
        <w:tc>
          <w:tcPr>
            <w:tcW w:w="7943" w:type="dxa"/>
          </w:tcPr>
          <w:p w14:paraId="7BE058BB" w14:textId="77777777" w:rsidR="0013088C" w:rsidRPr="00D34493" w:rsidRDefault="0013088C" w:rsidP="00EE01BB">
            <w:pPr>
              <w:rPr>
                <w:rFonts w:cs="Times New Roman"/>
                <w:szCs w:val="24"/>
              </w:rPr>
            </w:pPr>
            <w:r w:rsidRPr="00D34493">
              <w:rPr>
                <w:rFonts w:cs="Times New Roman"/>
                <w:szCs w:val="24"/>
              </w:rPr>
              <w:t>Failed or difficult intubation</w:t>
            </w:r>
          </w:p>
        </w:tc>
      </w:tr>
      <w:tr w:rsidR="0013088C" w:rsidRPr="00D34493" w14:paraId="4C62115F" w14:textId="77777777" w:rsidTr="00EE01BB">
        <w:tc>
          <w:tcPr>
            <w:tcW w:w="1129" w:type="dxa"/>
          </w:tcPr>
          <w:p w14:paraId="1D9843D7" w14:textId="77777777" w:rsidR="0013088C" w:rsidRPr="00D34493" w:rsidRDefault="0013088C" w:rsidP="00EE01BB">
            <w:pPr>
              <w:rPr>
                <w:rFonts w:cs="Times New Roman"/>
                <w:b/>
                <w:szCs w:val="24"/>
              </w:rPr>
            </w:pPr>
            <w:r w:rsidRPr="00D34493">
              <w:rPr>
                <w:rFonts w:cs="Times New Roman"/>
                <w:color w:val="000000"/>
                <w:szCs w:val="24"/>
              </w:rPr>
              <w:t>T88.5</w:t>
            </w:r>
          </w:p>
        </w:tc>
        <w:tc>
          <w:tcPr>
            <w:tcW w:w="7943" w:type="dxa"/>
          </w:tcPr>
          <w:p w14:paraId="756F5D7A" w14:textId="77777777" w:rsidR="0013088C" w:rsidRPr="00D34493" w:rsidRDefault="0013088C" w:rsidP="00EE01BB">
            <w:pPr>
              <w:rPr>
                <w:rFonts w:cs="Times New Roman"/>
                <w:szCs w:val="24"/>
              </w:rPr>
            </w:pPr>
            <w:r w:rsidRPr="00D34493">
              <w:rPr>
                <w:rFonts w:cs="Times New Roman"/>
                <w:szCs w:val="24"/>
              </w:rPr>
              <w:t>Other complications of anesthesia</w:t>
            </w:r>
          </w:p>
        </w:tc>
      </w:tr>
      <w:tr w:rsidR="0013088C" w:rsidRPr="00D34493" w14:paraId="12E80CB5" w14:textId="77777777" w:rsidTr="00EE01BB">
        <w:tc>
          <w:tcPr>
            <w:tcW w:w="1129" w:type="dxa"/>
          </w:tcPr>
          <w:p w14:paraId="694153AF" w14:textId="77777777" w:rsidR="0013088C" w:rsidRPr="00D34493" w:rsidRDefault="0013088C" w:rsidP="00EE01BB">
            <w:pPr>
              <w:rPr>
                <w:rFonts w:cs="Times New Roman"/>
                <w:b/>
                <w:szCs w:val="24"/>
              </w:rPr>
            </w:pPr>
            <w:r w:rsidRPr="00D34493">
              <w:rPr>
                <w:rFonts w:cs="Times New Roman"/>
                <w:color w:val="000000"/>
                <w:szCs w:val="24"/>
              </w:rPr>
              <w:t>T88.6</w:t>
            </w:r>
          </w:p>
        </w:tc>
        <w:tc>
          <w:tcPr>
            <w:tcW w:w="7943" w:type="dxa"/>
          </w:tcPr>
          <w:p w14:paraId="0A34492D" w14:textId="77777777" w:rsidR="0013088C" w:rsidRPr="00D34493" w:rsidRDefault="0013088C" w:rsidP="00EE01BB">
            <w:pPr>
              <w:rPr>
                <w:rFonts w:cs="Times New Roman"/>
                <w:szCs w:val="24"/>
              </w:rPr>
            </w:pPr>
            <w:r w:rsidRPr="00D34493">
              <w:rPr>
                <w:rFonts w:cs="Times New Roman"/>
                <w:szCs w:val="24"/>
              </w:rPr>
              <w:t>Anaphylactic shock due to adverse effect of correct drug or medicament properly administered</w:t>
            </w:r>
          </w:p>
        </w:tc>
      </w:tr>
      <w:tr w:rsidR="0013088C" w:rsidRPr="00D34493" w14:paraId="047E6102" w14:textId="77777777" w:rsidTr="00EE01BB">
        <w:tc>
          <w:tcPr>
            <w:tcW w:w="1129" w:type="dxa"/>
          </w:tcPr>
          <w:p w14:paraId="6B3C288F" w14:textId="77777777" w:rsidR="0013088C" w:rsidRPr="00D34493" w:rsidRDefault="0013088C" w:rsidP="00EE01BB">
            <w:pPr>
              <w:rPr>
                <w:rFonts w:cs="Times New Roman"/>
                <w:b/>
                <w:szCs w:val="24"/>
              </w:rPr>
            </w:pPr>
            <w:r w:rsidRPr="00D34493">
              <w:rPr>
                <w:rFonts w:cs="Times New Roman"/>
                <w:color w:val="000000"/>
                <w:szCs w:val="24"/>
              </w:rPr>
              <w:t>T88.7</w:t>
            </w:r>
          </w:p>
        </w:tc>
        <w:tc>
          <w:tcPr>
            <w:tcW w:w="7943" w:type="dxa"/>
          </w:tcPr>
          <w:p w14:paraId="7DECE79D" w14:textId="77777777" w:rsidR="0013088C" w:rsidRPr="00D34493" w:rsidRDefault="0013088C" w:rsidP="00EE01BB">
            <w:pPr>
              <w:rPr>
                <w:rFonts w:cs="Times New Roman"/>
                <w:szCs w:val="24"/>
              </w:rPr>
            </w:pPr>
            <w:r w:rsidRPr="00D34493">
              <w:rPr>
                <w:rFonts w:cs="Times New Roman"/>
                <w:szCs w:val="24"/>
              </w:rPr>
              <w:t>Unspecified adverse effect of drug or medicament</w:t>
            </w:r>
          </w:p>
        </w:tc>
      </w:tr>
      <w:tr w:rsidR="0013088C" w:rsidRPr="00D34493" w14:paraId="31E27A0C" w14:textId="77777777" w:rsidTr="00EE01BB">
        <w:tc>
          <w:tcPr>
            <w:tcW w:w="1129" w:type="dxa"/>
          </w:tcPr>
          <w:p w14:paraId="7F5C3DA6" w14:textId="77777777" w:rsidR="0013088C" w:rsidRPr="00D34493" w:rsidRDefault="0013088C" w:rsidP="00EE01BB">
            <w:pPr>
              <w:rPr>
                <w:rFonts w:cs="Times New Roman"/>
                <w:b/>
                <w:szCs w:val="24"/>
              </w:rPr>
            </w:pPr>
            <w:r w:rsidRPr="00D34493">
              <w:rPr>
                <w:rFonts w:cs="Times New Roman"/>
                <w:color w:val="000000"/>
                <w:szCs w:val="24"/>
              </w:rPr>
              <w:t>T88.8</w:t>
            </w:r>
          </w:p>
        </w:tc>
        <w:tc>
          <w:tcPr>
            <w:tcW w:w="7943" w:type="dxa"/>
          </w:tcPr>
          <w:p w14:paraId="10B604CA" w14:textId="77777777" w:rsidR="0013088C" w:rsidRPr="00D34493" w:rsidRDefault="0013088C" w:rsidP="00EE01BB">
            <w:pPr>
              <w:rPr>
                <w:rFonts w:cs="Times New Roman"/>
                <w:szCs w:val="24"/>
              </w:rPr>
            </w:pPr>
            <w:r w:rsidRPr="00D34493">
              <w:rPr>
                <w:rFonts w:cs="Times New Roman"/>
                <w:szCs w:val="24"/>
              </w:rPr>
              <w:t>Other specified complications of surgical and medical care, not elsewhere classified</w:t>
            </w:r>
          </w:p>
        </w:tc>
      </w:tr>
      <w:tr w:rsidR="0013088C" w:rsidRPr="00D34493" w14:paraId="02705F97" w14:textId="77777777" w:rsidTr="00EE01BB">
        <w:tc>
          <w:tcPr>
            <w:tcW w:w="1129" w:type="dxa"/>
            <w:tcBorders>
              <w:bottom w:val="single" w:sz="4" w:space="0" w:color="auto"/>
            </w:tcBorders>
          </w:tcPr>
          <w:p w14:paraId="5870EED5" w14:textId="77777777" w:rsidR="0013088C" w:rsidRPr="00D34493" w:rsidRDefault="0013088C" w:rsidP="00EE01BB">
            <w:pPr>
              <w:rPr>
                <w:rFonts w:cs="Times New Roman"/>
                <w:b/>
                <w:szCs w:val="24"/>
              </w:rPr>
            </w:pPr>
            <w:r w:rsidRPr="00D34493">
              <w:rPr>
                <w:rFonts w:cs="Times New Roman"/>
                <w:color w:val="000000"/>
                <w:szCs w:val="24"/>
              </w:rPr>
              <w:t>T88.9</w:t>
            </w:r>
          </w:p>
        </w:tc>
        <w:tc>
          <w:tcPr>
            <w:tcW w:w="7943" w:type="dxa"/>
            <w:tcBorders>
              <w:bottom w:val="single" w:sz="4" w:space="0" w:color="auto"/>
            </w:tcBorders>
          </w:tcPr>
          <w:p w14:paraId="7F873E5D" w14:textId="77777777" w:rsidR="0013088C" w:rsidRPr="00D34493" w:rsidRDefault="0013088C" w:rsidP="00EE01BB">
            <w:pPr>
              <w:rPr>
                <w:rFonts w:cs="Times New Roman"/>
                <w:szCs w:val="24"/>
              </w:rPr>
            </w:pPr>
            <w:r w:rsidRPr="00D34493">
              <w:rPr>
                <w:rFonts w:cs="Times New Roman"/>
                <w:szCs w:val="24"/>
              </w:rPr>
              <w:t>Complication of surgical and medical care, unspecified</w:t>
            </w:r>
          </w:p>
        </w:tc>
      </w:tr>
    </w:tbl>
    <w:p w14:paraId="2C0FC341" w14:textId="77777777" w:rsidR="0013088C" w:rsidRPr="00D34493" w:rsidRDefault="0013088C" w:rsidP="0013088C">
      <w:pPr>
        <w:pStyle w:val="CommentText"/>
        <w:spacing w:line="480" w:lineRule="auto"/>
        <w:rPr>
          <w:rFonts w:cs="Times New Roman"/>
          <w:sz w:val="24"/>
          <w:szCs w:val="24"/>
          <w:lang w:val="en-US"/>
        </w:rPr>
      </w:pPr>
      <w:r w:rsidRPr="00D34493">
        <w:rPr>
          <w:rFonts w:cs="Times New Roman"/>
          <w:sz w:val="24"/>
          <w:szCs w:val="24"/>
          <w:lang w:val="en-US"/>
        </w:rPr>
        <w:t>† The German version of the ICD-10 codes were applied as follows: 2014, ICD-10 GM Version 2012; 2015-2016, ICD-10 GM Version 2014; 2017-2018, ICD-10 GM Version 2016; 2019, ICD-10 GM Version 2018</w:t>
      </w:r>
    </w:p>
    <w:p w14:paraId="6D776E96" w14:textId="77777777" w:rsidR="0013088C" w:rsidRDefault="0013088C" w:rsidP="00E01D5B">
      <w:pPr>
        <w:rPr>
          <w:rFonts w:cs="Times New Roman"/>
          <w:szCs w:val="24"/>
          <w:lang w:val="en-US"/>
        </w:rPr>
        <w:sectPr w:rsidR="0013088C" w:rsidSect="00963CD7">
          <w:pgSz w:w="12240" w:h="15840"/>
          <w:pgMar w:top="1440" w:right="1440" w:bottom="1440" w:left="1440" w:header="720" w:footer="720" w:gutter="0"/>
          <w:cols w:space="720"/>
          <w:titlePg/>
          <w:docGrid w:linePitch="360"/>
        </w:sectPr>
      </w:pPr>
    </w:p>
    <w:p w14:paraId="313BA145" w14:textId="77777777" w:rsidR="0013088C" w:rsidRPr="00D34493" w:rsidRDefault="0013088C" w:rsidP="0013088C">
      <w:pPr>
        <w:rPr>
          <w:rFonts w:cs="Times New Roman"/>
          <w:b/>
          <w:szCs w:val="24"/>
          <w:lang w:val="en-US"/>
        </w:rPr>
      </w:pPr>
      <w:r w:rsidRPr="00D34493">
        <w:rPr>
          <w:rFonts w:cs="Times New Roman"/>
          <w:b/>
          <w:szCs w:val="24"/>
          <w:lang w:val="en-US"/>
        </w:rPr>
        <w:t>Supplemental Table S2: Summary of study outcomes for total knee and hip arthroplasty cohorts pre- and post-Patient Pathway Optimization implementation – bivariate analyses</w:t>
      </w:r>
    </w:p>
    <w:tbl>
      <w:tblPr>
        <w:tblStyle w:val="TableGrid"/>
        <w:tblpPr w:leftFromText="180" w:rightFromText="180" w:vertAnchor="text" w:horzAnchor="margin" w:tblpY="371"/>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
        <w:gridCol w:w="2535"/>
        <w:gridCol w:w="2346"/>
        <w:gridCol w:w="2340"/>
        <w:gridCol w:w="367"/>
        <w:gridCol w:w="2703"/>
        <w:gridCol w:w="2707"/>
      </w:tblGrid>
      <w:tr w:rsidR="0013088C" w:rsidRPr="00D34493" w14:paraId="143E0B1E" w14:textId="77777777" w:rsidTr="00EE01BB">
        <w:trPr>
          <w:tblHeader/>
        </w:trPr>
        <w:tc>
          <w:tcPr>
            <w:tcW w:w="2862" w:type="dxa"/>
            <w:gridSpan w:val="2"/>
            <w:tcBorders>
              <w:top w:val="single" w:sz="4" w:space="0" w:color="auto"/>
            </w:tcBorders>
          </w:tcPr>
          <w:p w14:paraId="57A6B360" w14:textId="77777777" w:rsidR="0013088C" w:rsidRPr="00D34493" w:rsidRDefault="0013088C" w:rsidP="00EE01BB">
            <w:pPr>
              <w:rPr>
                <w:rFonts w:cs="Times New Roman"/>
                <w:szCs w:val="24"/>
              </w:rPr>
            </w:pPr>
            <w:r w:rsidRPr="00D34493">
              <w:rPr>
                <w:rFonts w:cs="Times New Roman"/>
                <w:b/>
                <w:szCs w:val="24"/>
              </w:rPr>
              <w:lastRenderedPageBreak/>
              <w:t>Outcomes</w:t>
            </w:r>
          </w:p>
        </w:tc>
        <w:tc>
          <w:tcPr>
            <w:tcW w:w="4686" w:type="dxa"/>
            <w:gridSpan w:val="2"/>
            <w:tcBorders>
              <w:top w:val="single" w:sz="4" w:space="0" w:color="auto"/>
              <w:bottom w:val="single" w:sz="4" w:space="0" w:color="auto"/>
            </w:tcBorders>
            <w:vAlign w:val="center"/>
          </w:tcPr>
          <w:p w14:paraId="313C4583" w14:textId="77777777" w:rsidR="0013088C" w:rsidRPr="00D34493" w:rsidRDefault="0013088C" w:rsidP="00EE01BB">
            <w:pPr>
              <w:jc w:val="center"/>
              <w:rPr>
                <w:rFonts w:cs="Times New Roman"/>
                <w:b/>
                <w:szCs w:val="24"/>
              </w:rPr>
            </w:pPr>
            <w:r w:rsidRPr="00D34493">
              <w:rPr>
                <w:rFonts w:cs="Times New Roman"/>
                <w:b/>
                <w:szCs w:val="24"/>
              </w:rPr>
              <w:t>Total knee arthroplasty</w:t>
            </w:r>
          </w:p>
        </w:tc>
        <w:tc>
          <w:tcPr>
            <w:tcW w:w="367" w:type="dxa"/>
            <w:tcBorders>
              <w:top w:val="single" w:sz="4" w:space="0" w:color="auto"/>
            </w:tcBorders>
          </w:tcPr>
          <w:p w14:paraId="7043920C" w14:textId="77777777" w:rsidR="0013088C" w:rsidRPr="00D34493" w:rsidRDefault="0013088C" w:rsidP="00EE01BB">
            <w:pPr>
              <w:jc w:val="center"/>
              <w:rPr>
                <w:rFonts w:cs="Times New Roman"/>
                <w:b/>
                <w:szCs w:val="24"/>
              </w:rPr>
            </w:pPr>
          </w:p>
        </w:tc>
        <w:tc>
          <w:tcPr>
            <w:tcW w:w="5410" w:type="dxa"/>
            <w:gridSpan w:val="2"/>
            <w:tcBorders>
              <w:top w:val="single" w:sz="4" w:space="0" w:color="auto"/>
              <w:bottom w:val="single" w:sz="4" w:space="0" w:color="auto"/>
            </w:tcBorders>
          </w:tcPr>
          <w:p w14:paraId="6B46BFEE" w14:textId="77777777" w:rsidR="0013088C" w:rsidRPr="00D34493" w:rsidRDefault="0013088C" w:rsidP="00EE01BB">
            <w:pPr>
              <w:jc w:val="center"/>
              <w:rPr>
                <w:rFonts w:cs="Times New Roman"/>
                <w:b/>
                <w:szCs w:val="24"/>
              </w:rPr>
            </w:pPr>
            <w:r w:rsidRPr="00D34493">
              <w:rPr>
                <w:rFonts w:cs="Times New Roman"/>
                <w:b/>
                <w:szCs w:val="24"/>
              </w:rPr>
              <w:t>Total hip arthroplasty</w:t>
            </w:r>
          </w:p>
        </w:tc>
      </w:tr>
      <w:tr w:rsidR="0013088C" w:rsidRPr="00D34493" w14:paraId="17CB5EE7" w14:textId="77777777" w:rsidTr="00EE01BB">
        <w:trPr>
          <w:tblHeader/>
        </w:trPr>
        <w:tc>
          <w:tcPr>
            <w:tcW w:w="2862" w:type="dxa"/>
            <w:gridSpan w:val="2"/>
            <w:tcBorders>
              <w:bottom w:val="single" w:sz="4" w:space="0" w:color="auto"/>
            </w:tcBorders>
          </w:tcPr>
          <w:p w14:paraId="2B3D48E7" w14:textId="77777777" w:rsidR="0013088C" w:rsidRPr="00D34493" w:rsidRDefault="0013088C" w:rsidP="00EE01BB">
            <w:pPr>
              <w:rPr>
                <w:rFonts w:cs="Times New Roman"/>
                <w:b/>
                <w:szCs w:val="24"/>
              </w:rPr>
            </w:pPr>
          </w:p>
        </w:tc>
        <w:tc>
          <w:tcPr>
            <w:tcW w:w="2346" w:type="dxa"/>
            <w:tcBorders>
              <w:top w:val="single" w:sz="4" w:space="0" w:color="auto"/>
              <w:bottom w:val="single" w:sz="4" w:space="0" w:color="auto"/>
            </w:tcBorders>
            <w:vAlign w:val="center"/>
          </w:tcPr>
          <w:p w14:paraId="692298F0" w14:textId="77777777" w:rsidR="0013088C" w:rsidRPr="00D34493" w:rsidRDefault="0013088C" w:rsidP="00EE01BB">
            <w:pPr>
              <w:jc w:val="center"/>
              <w:rPr>
                <w:rFonts w:cs="Times New Roman"/>
                <w:b/>
                <w:szCs w:val="24"/>
              </w:rPr>
            </w:pPr>
            <w:r w:rsidRPr="00D34493">
              <w:rPr>
                <w:rFonts w:cs="Times New Roman"/>
                <w:b/>
                <w:szCs w:val="24"/>
              </w:rPr>
              <w:t>Pre-PPO (N=122)</w:t>
            </w:r>
          </w:p>
        </w:tc>
        <w:tc>
          <w:tcPr>
            <w:tcW w:w="2340" w:type="dxa"/>
            <w:tcBorders>
              <w:top w:val="single" w:sz="4" w:space="0" w:color="auto"/>
              <w:bottom w:val="single" w:sz="4" w:space="0" w:color="auto"/>
            </w:tcBorders>
            <w:vAlign w:val="center"/>
          </w:tcPr>
          <w:p w14:paraId="6F5212EA" w14:textId="77777777" w:rsidR="0013088C" w:rsidRPr="00D34493" w:rsidRDefault="0013088C" w:rsidP="00EE01BB">
            <w:pPr>
              <w:jc w:val="center"/>
              <w:rPr>
                <w:rFonts w:cs="Times New Roman"/>
                <w:b/>
                <w:szCs w:val="24"/>
              </w:rPr>
            </w:pPr>
            <w:r w:rsidRPr="00D34493">
              <w:rPr>
                <w:rFonts w:cs="Times New Roman"/>
                <w:b/>
                <w:szCs w:val="24"/>
              </w:rPr>
              <w:t>Post-PPO (N=45)</w:t>
            </w:r>
          </w:p>
        </w:tc>
        <w:tc>
          <w:tcPr>
            <w:tcW w:w="367" w:type="dxa"/>
            <w:tcBorders>
              <w:bottom w:val="single" w:sz="4" w:space="0" w:color="auto"/>
            </w:tcBorders>
          </w:tcPr>
          <w:p w14:paraId="3AAC9225" w14:textId="77777777" w:rsidR="0013088C" w:rsidRPr="00D34493" w:rsidRDefault="0013088C" w:rsidP="00EE01BB">
            <w:pPr>
              <w:jc w:val="center"/>
              <w:rPr>
                <w:rFonts w:cs="Times New Roman"/>
                <w:b/>
                <w:szCs w:val="24"/>
              </w:rPr>
            </w:pPr>
          </w:p>
        </w:tc>
        <w:tc>
          <w:tcPr>
            <w:tcW w:w="2703" w:type="dxa"/>
            <w:tcBorders>
              <w:top w:val="single" w:sz="4" w:space="0" w:color="auto"/>
              <w:bottom w:val="single" w:sz="4" w:space="0" w:color="auto"/>
            </w:tcBorders>
            <w:vAlign w:val="center"/>
          </w:tcPr>
          <w:p w14:paraId="096F6817" w14:textId="77777777" w:rsidR="0013088C" w:rsidRPr="00D34493" w:rsidRDefault="0013088C" w:rsidP="00EE01BB">
            <w:pPr>
              <w:jc w:val="center"/>
              <w:rPr>
                <w:rFonts w:cs="Times New Roman"/>
                <w:b/>
                <w:szCs w:val="24"/>
              </w:rPr>
            </w:pPr>
            <w:r w:rsidRPr="00D34493">
              <w:rPr>
                <w:rFonts w:cs="Times New Roman"/>
                <w:b/>
                <w:szCs w:val="24"/>
              </w:rPr>
              <w:t>Pre-PPO (N=180)</w:t>
            </w:r>
          </w:p>
        </w:tc>
        <w:tc>
          <w:tcPr>
            <w:tcW w:w="2707" w:type="dxa"/>
            <w:tcBorders>
              <w:top w:val="single" w:sz="4" w:space="0" w:color="auto"/>
              <w:bottom w:val="single" w:sz="4" w:space="0" w:color="auto"/>
            </w:tcBorders>
            <w:vAlign w:val="center"/>
          </w:tcPr>
          <w:p w14:paraId="11F8FB3F" w14:textId="77777777" w:rsidR="0013088C" w:rsidRPr="00D34493" w:rsidRDefault="0013088C" w:rsidP="00EE01BB">
            <w:pPr>
              <w:jc w:val="center"/>
              <w:rPr>
                <w:rFonts w:cs="Times New Roman"/>
                <w:b/>
                <w:szCs w:val="24"/>
              </w:rPr>
            </w:pPr>
            <w:r w:rsidRPr="00D34493">
              <w:rPr>
                <w:rFonts w:cs="Times New Roman"/>
                <w:b/>
                <w:szCs w:val="24"/>
              </w:rPr>
              <w:t>Post-PPO (N=93)</w:t>
            </w:r>
          </w:p>
        </w:tc>
      </w:tr>
      <w:tr w:rsidR="0013088C" w:rsidRPr="00D34493" w14:paraId="77D3F774" w14:textId="77777777" w:rsidTr="00EE01BB">
        <w:tc>
          <w:tcPr>
            <w:tcW w:w="7548" w:type="dxa"/>
            <w:gridSpan w:val="4"/>
            <w:tcBorders>
              <w:top w:val="single" w:sz="4" w:space="0" w:color="auto"/>
            </w:tcBorders>
          </w:tcPr>
          <w:p w14:paraId="7004948A" w14:textId="77777777" w:rsidR="0013088C" w:rsidRPr="00D34493" w:rsidRDefault="0013088C" w:rsidP="00EE01BB">
            <w:pPr>
              <w:rPr>
                <w:rFonts w:cs="Times New Roman"/>
                <w:szCs w:val="24"/>
              </w:rPr>
            </w:pPr>
            <w:r w:rsidRPr="00D34493">
              <w:rPr>
                <w:rFonts w:cs="Times New Roman"/>
                <w:b/>
                <w:szCs w:val="24"/>
              </w:rPr>
              <w:t>Length of stay, days</w:t>
            </w:r>
          </w:p>
        </w:tc>
        <w:tc>
          <w:tcPr>
            <w:tcW w:w="367" w:type="dxa"/>
            <w:tcBorders>
              <w:top w:val="single" w:sz="4" w:space="0" w:color="auto"/>
            </w:tcBorders>
          </w:tcPr>
          <w:p w14:paraId="7AC35D0D" w14:textId="77777777" w:rsidR="0013088C" w:rsidRPr="00D34493" w:rsidRDefault="0013088C" w:rsidP="00EE01BB">
            <w:pPr>
              <w:jc w:val="center"/>
              <w:rPr>
                <w:rFonts w:cs="Times New Roman"/>
                <w:szCs w:val="24"/>
              </w:rPr>
            </w:pPr>
          </w:p>
        </w:tc>
        <w:tc>
          <w:tcPr>
            <w:tcW w:w="2703" w:type="dxa"/>
            <w:tcBorders>
              <w:top w:val="single" w:sz="4" w:space="0" w:color="auto"/>
            </w:tcBorders>
          </w:tcPr>
          <w:p w14:paraId="33D5C3B8" w14:textId="77777777" w:rsidR="0013088C" w:rsidRPr="00D34493" w:rsidRDefault="0013088C" w:rsidP="00EE01BB">
            <w:pPr>
              <w:jc w:val="center"/>
              <w:rPr>
                <w:rFonts w:cs="Times New Roman"/>
                <w:szCs w:val="24"/>
              </w:rPr>
            </w:pPr>
          </w:p>
        </w:tc>
        <w:tc>
          <w:tcPr>
            <w:tcW w:w="2707" w:type="dxa"/>
            <w:tcBorders>
              <w:top w:val="single" w:sz="4" w:space="0" w:color="auto"/>
            </w:tcBorders>
          </w:tcPr>
          <w:p w14:paraId="2AC23765" w14:textId="77777777" w:rsidR="0013088C" w:rsidRPr="00D34493" w:rsidRDefault="0013088C" w:rsidP="00EE01BB">
            <w:pPr>
              <w:jc w:val="center"/>
              <w:rPr>
                <w:rFonts w:cs="Times New Roman"/>
                <w:szCs w:val="24"/>
              </w:rPr>
            </w:pPr>
          </w:p>
        </w:tc>
      </w:tr>
      <w:tr w:rsidR="0013088C" w:rsidRPr="00D34493" w14:paraId="0C36EB30" w14:textId="77777777" w:rsidTr="00EE01BB">
        <w:tc>
          <w:tcPr>
            <w:tcW w:w="327" w:type="dxa"/>
          </w:tcPr>
          <w:p w14:paraId="19C90E36" w14:textId="77777777" w:rsidR="0013088C" w:rsidRPr="00D34493" w:rsidRDefault="0013088C" w:rsidP="00EE01BB">
            <w:pPr>
              <w:rPr>
                <w:rFonts w:cs="Times New Roman"/>
                <w:szCs w:val="24"/>
              </w:rPr>
            </w:pPr>
          </w:p>
        </w:tc>
        <w:tc>
          <w:tcPr>
            <w:tcW w:w="2535" w:type="dxa"/>
          </w:tcPr>
          <w:p w14:paraId="5132E4D7" w14:textId="77777777" w:rsidR="0013088C" w:rsidRPr="00D34493" w:rsidRDefault="0013088C" w:rsidP="00EE01BB">
            <w:pPr>
              <w:rPr>
                <w:rFonts w:cs="Times New Roman"/>
                <w:szCs w:val="24"/>
              </w:rPr>
            </w:pPr>
            <w:r w:rsidRPr="00D34493">
              <w:rPr>
                <w:rFonts w:cs="Times New Roman"/>
                <w:szCs w:val="24"/>
              </w:rPr>
              <w:t>Mean (SD)</w:t>
            </w:r>
          </w:p>
        </w:tc>
        <w:tc>
          <w:tcPr>
            <w:tcW w:w="2346" w:type="dxa"/>
          </w:tcPr>
          <w:p w14:paraId="2881E0ED" w14:textId="77777777" w:rsidR="0013088C" w:rsidRPr="00D34493" w:rsidRDefault="0013088C" w:rsidP="00EE01BB">
            <w:pPr>
              <w:jc w:val="center"/>
              <w:rPr>
                <w:rFonts w:cs="Times New Roman"/>
                <w:szCs w:val="24"/>
              </w:rPr>
            </w:pPr>
            <w:r w:rsidRPr="00D34493">
              <w:rPr>
                <w:rFonts w:cs="Times New Roman"/>
                <w:szCs w:val="24"/>
              </w:rPr>
              <w:t>8.41 (2.11)</w:t>
            </w:r>
          </w:p>
        </w:tc>
        <w:tc>
          <w:tcPr>
            <w:tcW w:w="2340" w:type="dxa"/>
          </w:tcPr>
          <w:p w14:paraId="199EAF41" w14:textId="77777777" w:rsidR="0013088C" w:rsidRPr="00D34493" w:rsidRDefault="0013088C" w:rsidP="00EE01BB">
            <w:pPr>
              <w:jc w:val="center"/>
              <w:rPr>
                <w:rFonts w:cs="Times New Roman"/>
                <w:szCs w:val="24"/>
              </w:rPr>
            </w:pPr>
            <w:r w:rsidRPr="00D34493">
              <w:rPr>
                <w:rFonts w:cs="Times New Roman"/>
                <w:szCs w:val="24"/>
              </w:rPr>
              <w:t>6.04 (1.33)</w:t>
            </w:r>
          </w:p>
        </w:tc>
        <w:tc>
          <w:tcPr>
            <w:tcW w:w="367" w:type="dxa"/>
          </w:tcPr>
          <w:p w14:paraId="77B60B34" w14:textId="77777777" w:rsidR="0013088C" w:rsidRPr="00D34493" w:rsidRDefault="0013088C" w:rsidP="00EE01BB">
            <w:pPr>
              <w:jc w:val="center"/>
              <w:rPr>
                <w:rFonts w:cs="Times New Roman"/>
                <w:szCs w:val="24"/>
              </w:rPr>
            </w:pPr>
          </w:p>
        </w:tc>
        <w:tc>
          <w:tcPr>
            <w:tcW w:w="2703" w:type="dxa"/>
          </w:tcPr>
          <w:p w14:paraId="1DD8CBBE" w14:textId="77777777" w:rsidR="0013088C" w:rsidRPr="00D34493" w:rsidRDefault="0013088C" w:rsidP="00EE01BB">
            <w:pPr>
              <w:jc w:val="center"/>
              <w:rPr>
                <w:rFonts w:cs="Times New Roman"/>
                <w:szCs w:val="24"/>
              </w:rPr>
            </w:pPr>
            <w:r w:rsidRPr="00D34493">
              <w:rPr>
                <w:rFonts w:cs="Times New Roman"/>
                <w:szCs w:val="24"/>
              </w:rPr>
              <w:t>7.88 (2.32)</w:t>
            </w:r>
          </w:p>
        </w:tc>
        <w:tc>
          <w:tcPr>
            <w:tcW w:w="2707" w:type="dxa"/>
          </w:tcPr>
          <w:p w14:paraId="210D099F" w14:textId="77777777" w:rsidR="0013088C" w:rsidRPr="00D34493" w:rsidRDefault="0013088C" w:rsidP="00EE01BB">
            <w:pPr>
              <w:jc w:val="center"/>
              <w:rPr>
                <w:rFonts w:cs="Times New Roman"/>
                <w:szCs w:val="24"/>
              </w:rPr>
            </w:pPr>
            <w:r w:rsidRPr="00D34493">
              <w:rPr>
                <w:rFonts w:cs="Times New Roman"/>
                <w:szCs w:val="24"/>
              </w:rPr>
              <w:t>5.16 (1.67)</w:t>
            </w:r>
          </w:p>
        </w:tc>
      </w:tr>
      <w:tr w:rsidR="0013088C" w:rsidRPr="00D34493" w14:paraId="67334488" w14:textId="77777777" w:rsidTr="00EE01BB">
        <w:tc>
          <w:tcPr>
            <w:tcW w:w="7915" w:type="dxa"/>
            <w:gridSpan w:val="5"/>
            <w:vAlign w:val="center"/>
          </w:tcPr>
          <w:p w14:paraId="31E93C6C" w14:textId="77777777" w:rsidR="0013088C" w:rsidRPr="00D34493" w:rsidRDefault="0013088C" w:rsidP="00EE01BB">
            <w:pPr>
              <w:rPr>
                <w:rFonts w:cs="Times New Roman"/>
                <w:szCs w:val="24"/>
              </w:rPr>
            </w:pPr>
            <w:r w:rsidRPr="00D34493">
              <w:rPr>
                <w:rFonts w:cs="Times New Roman"/>
                <w:b/>
                <w:szCs w:val="24"/>
              </w:rPr>
              <w:t>Inpatient costs during the index hospitalization, USD</w:t>
            </w:r>
          </w:p>
        </w:tc>
        <w:tc>
          <w:tcPr>
            <w:tcW w:w="5410" w:type="dxa"/>
            <w:gridSpan w:val="2"/>
            <w:vAlign w:val="center"/>
          </w:tcPr>
          <w:p w14:paraId="5BBFC69C" w14:textId="77777777" w:rsidR="0013088C" w:rsidRPr="00D34493" w:rsidRDefault="0013088C" w:rsidP="00EE01BB">
            <w:pPr>
              <w:rPr>
                <w:rFonts w:cs="Times New Roman"/>
                <w:szCs w:val="24"/>
              </w:rPr>
            </w:pPr>
          </w:p>
        </w:tc>
      </w:tr>
      <w:tr w:rsidR="0013088C" w:rsidRPr="00D34493" w14:paraId="09A87F34" w14:textId="77777777" w:rsidTr="00EE01BB">
        <w:trPr>
          <w:trHeight w:val="80"/>
        </w:trPr>
        <w:tc>
          <w:tcPr>
            <w:tcW w:w="327" w:type="dxa"/>
          </w:tcPr>
          <w:p w14:paraId="34D90AE5" w14:textId="77777777" w:rsidR="0013088C" w:rsidRPr="00D34493" w:rsidRDefault="0013088C" w:rsidP="00EE01BB">
            <w:pPr>
              <w:rPr>
                <w:rFonts w:cs="Times New Roman"/>
                <w:szCs w:val="24"/>
              </w:rPr>
            </w:pPr>
          </w:p>
        </w:tc>
        <w:tc>
          <w:tcPr>
            <w:tcW w:w="2535" w:type="dxa"/>
          </w:tcPr>
          <w:p w14:paraId="0583C5D7" w14:textId="77777777" w:rsidR="0013088C" w:rsidRPr="00D34493" w:rsidRDefault="0013088C" w:rsidP="00EE01BB">
            <w:pPr>
              <w:rPr>
                <w:rFonts w:cs="Times New Roman"/>
                <w:szCs w:val="24"/>
              </w:rPr>
            </w:pPr>
            <w:r w:rsidRPr="00D34493">
              <w:rPr>
                <w:rFonts w:cs="Times New Roman"/>
                <w:szCs w:val="24"/>
              </w:rPr>
              <w:t>Mean (SD)</w:t>
            </w:r>
          </w:p>
        </w:tc>
        <w:tc>
          <w:tcPr>
            <w:tcW w:w="2346" w:type="dxa"/>
          </w:tcPr>
          <w:p w14:paraId="2B4989FF" w14:textId="77777777" w:rsidR="0013088C" w:rsidRPr="00D34493" w:rsidRDefault="0013088C" w:rsidP="00EE01BB">
            <w:pPr>
              <w:jc w:val="center"/>
              <w:rPr>
                <w:rFonts w:cs="Times New Roman"/>
                <w:szCs w:val="24"/>
              </w:rPr>
            </w:pPr>
            <w:r w:rsidRPr="00D34493">
              <w:rPr>
                <w:rFonts w:cs="Times New Roman"/>
                <w:szCs w:val="24"/>
              </w:rPr>
              <w:t>20,304 (4,826)</w:t>
            </w:r>
          </w:p>
        </w:tc>
        <w:tc>
          <w:tcPr>
            <w:tcW w:w="2340" w:type="dxa"/>
          </w:tcPr>
          <w:p w14:paraId="3F3FBAA7" w14:textId="77777777" w:rsidR="0013088C" w:rsidRPr="00D34493" w:rsidRDefault="0013088C" w:rsidP="00EE01BB">
            <w:pPr>
              <w:jc w:val="center"/>
              <w:rPr>
                <w:rFonts w:cs="Times New Roman"/>
                <w:szCs w:val="24"/>
              </w:rPr>
            </w:pPr>
            <w:r w:rsidRPr="00D34493">
              <w:rPr>
                <w:rFonts w:cs="Times New Roman"/>
                <w:szCs w:val="24"/>
              </w:rPr>
              <w:t>18,864 (3,140)</w:t>
            </w:r>
          </w:p>
        </w:tc>
        <w:tc>
          <w:tcPr>
            <w:tcW w:w="367" w:type="dxa"/>
          </w:tcPr>
          <w:p w14:paraId="0AE8694B" w14:textId="77777777" w:rsidR="0013088C" w:rsidRPr="00D34493" w:rsidRDefault="0013088C" w:rsidP="00EE01BB">
            <w:pPr>
              <w:jc w:val="center"/>
              <w:rPr>
                <w:rFonts w:cs="Times New Roman"/>
                <w:szCs w:val="24"/>
              </w:rPr>
            </w:pPr>
          </w:p>
        </w:tc>
        <w:tc>
          <w:tcPr>
            <w:tcW w:w="2703" w:type="dxa"/>
          </w:tcPr>
          <w:p w14:paraId="111C26CF" w14:textId="77777777" w:rsidR="0013088C" w:rsidRPr="00D34493" w:rsidRDefault="0013088C" w:rsidP="00EE01BB">
            <w:pPr>
              <w:jc w:val="center"/>
              <w:rPr>
                <w:rFonts w:cs="Times New Roman"/>
                <w:szCs w:val="24"/>
              </w:rPr>
            </w:pPr>
            <w:r w:rsidRPr="00D34493">
              <w:rPr>
                <w:rFonts w:cs="Times New Roman"/>
                <w:szCs w:val="24"/>
              </w:rPr>
              <w:t>17,822 (4,937)</w:t>
            </w:r>
          </w:p>
        </w:tc>
        <w:tc>
          <w:tcPr>
            <w:tcW w:w="2707" w:type="dxa"/>
          </w:tcPr>
          <w:p w14:paraId="00098E66" w14:textId="77777777" w:rsidR="0013088C" w:rsidRPr="00D34493" w:rsidRDefault="0013088C" w:rsidP="00EE01BB">
            <w:pPr>
              <w:jc w:val="center"/>
              <w:rPr>
                <w:rFonts w:cs="Times New Roman"/>
                <w:szCs w:val="24"/>
              </w:rPr>
            </w:pPr>
            <w:r w:rsidRPr="00D34493">
              <w:rPr>
                <w:rFonts w:cs="Times New Roman"/>
                <w:szCs w:val="24"/>
              </w:rPr>
              <w:t>17,250 (3,222)</w:t>
            </w:r>
          </w:p>
        </w:tc>
      </w:tr>
      <w:tr w:rsidR="0013088C" w:rsidRPr="00D34493" w14:paraId="0E2D645C" w14:textId="77777777" w:rsidTr="00EE01BB">
        <w:tc>
          <w:tcPr>
            <w:tcW w:w="7915" w:type="dxa"/>
            <w:gridSpan w:val="5"/>
            <w:vAlign w:val="center"/>
          </w:tcPr>
          <w:p w14:paraId="20249E73" w14:textId="77777777" w:rsidR="0013088C" w:rsidRPr="00D34493" w:rsidRDefault="0013088C" w:rsidP="00EE01BB">
            <w:pPr>
              <w:rPr>
                <w:rFonts w:cs="Times New Roman"/>
                <w:szCs w:val="24"/>
              </w:rPr>
            </w:pPr>
            <w:r w:rsidRPr="00D34493">
              <w:rPr>
                <w:rFonts w:cs="Times New Roman"/>
                <w:b/>
                <w:szCs w:val="24"/>
              </w:rPr>
              <w:t>Hospital (inpatient) costs up to 90 days post-admission, USD</w:t>
            </w:r>
          </w:p>
        </w:tc>
        <w:tc>
          <w:tcPr>
            <w:tcW w:w="5410" w:type="dxa"/>
            <w:gridSpan w:val="2"/>
            <w:vAlign w:val="center"/>
          </w:tcPr>
          <w:p w14:paraId="37DF5785" w14:textId="77777777" w:rsidR="0013088C" w:rsidRPr="00D34493" w:rsidRDefault="0013088C" w:rsidP="00EE01BB">
            <w:pPr>
              <w:rPr>
                <w:rFonts w:cs="Times New Roman"/>
                <w:szCs w:val="24"/>
              </w:rPr>
            </w:pPr>
          </w:p>
        </w:tc>
      </w:tr>
      <w:tr w:rsidR="0013088C" w:rsidRPr="00D34493" w14:paraId="435C8041" w14:textId="77777777" w:rsidTr="00EE01BB">
        <w:tc>
          <w:tcPr>
            <w:tcW w:w="327" w:type="dxa"/>
          </w:tcPr>
          <w:p w14:paraId="7E6FC521" w14:textId="77777777" w:rsidR="0013088C" w:rsidRPr="00D34493" w:rsidRDefault="0013088C" w:rsidP="00EE01BB">
            <w:pPr>
              <w:rPr>
                <w:rFonts w:cs="Times New Roman"/>
                <w:szCs w:val="24"/>
              </w:rPr>
            </w:pPr>
          </w:p>
        </w:tc>
        <w:tc>
          <w:tcPr>
            <w:tcW w:w="2535" w:type="dxa"/>
          </w:tcPr>
          <w:p w14:paraId="20EA8D88" w14:textId="77777777" w:rsidR="0013088C" w:rsidRPr="00D34493" w:rsidRDefault="0013088C" w:rsidP="00EE01BB">
            <w:pPr>
              <w:rPr>
                <w:rFonts w:cs="Times New Roman"/>
                <w:szCs w:val="24"/>
              </w:rPr>
            </w:pPr>
            <w:r w:rsidRPr="00D34493">
              <w:rPr>
                <w:rFonts w:cs="Times New Roman"/>
                <w:szCs w:val="24"/>
              </w:rPr>
              <w:t>Mean (SD)</w:t>
            </w:r>
          </w:p>
        </w:tc>
        <w:tc>
          <w:tcPr>
            <w:tcW w:w="2346" w:type="dxa"/>
          </w:tcPr>
          <w:p w14:paraId="61446EB3" w14:textId="77777777" w:rsidR="0013088C" w:rsidRPr="00D34493" w:rsidRDefault="0013088C" w:rsidP="00EE01BB">
            <w:pPr>
              <w:jc w:val="center"/>
              <w:rPr>
                <w:rFonts w:cs="Times New Roman"/>
                <w:szCs w:val="24"/>
              </w:rPr>
            </w:pPr>
            <w:r w:rsidRPr="00D34493">
              <w:rPr>
                <w:rFonts w:cs="Times New Roman"/>
                <w:szCs w:val="24"/>
              </w:rPr>
              <w:t>20,655 (5,626)</w:t>
            </w:r>
          </w:p>
        </w:tc>
        <w:tc>
          <w:tcPr>
            <w:tcW w:w="2340" w:type="dxa"/>
          </w:tcPr>
          <w:p w14:paraId="1957B022" w14:textId="77777777" w:rsidR="0013088C" w:rsidRPr="00D34493" w:rsidRDefault="0013088C" w:rsidP="00EE01BB">
            <w:pPr>
              <w:jc w:val="center"/>
              <w:rPr>
                <w:rFonts w:cs="Times New Roman"/>
                <w:szCs w:val="24"/>
              </w:rPr>
            </w:pPr>
            <w:r w:rsidRPr="00D34493">
              <w:rPr>
                <w:rFonts w:cs="Times New Roman"/>
                <w:szCs w:val="24"/>
              </w:rPr>
              <w:t xml:space="preserve">19,222 (3,688) </w:t>
            </w:r>
          </w:p>
        </w:tc>
        <w:tc>
          <w:tcPr>
            <w:tcW w:w="367" w:type="dxa"/>
          </w:tcPr>
          <w:p w14:paraId="540CB96E" w14:textId="77777777" w:rsidR="0013088C" w:rsidRPr="00D34493" w:rsidRDefault="0013088C" w:rsidP="00EE01BB">
            <w:pPr>
              <w:jc w:val="center"/>
              <w:rPr>
                <w:rFonts w:cs="Times New Roman"/>
                <w:szCs w:val="24"/>
              </w:rPr>
            </w:pPr>
          </w:p>
        </w:tc>
        <w:tc>
          <w:tcPr>
            <w:tcW w:w="2703" w:type="dxa"/>
          </w:tcPr>
          <w:p w14:paraId="073289D4" w14:textId="77777777" w:rsidR="0013088C" w:rsidRPr="00D34493" w:rsidRDefault="0013088C" w:rsidP="00EE01BB">
            <w:pPr>
              <w:jc w:val="center"/>
              <w:rPr>
                <w:rFonts w:cs="Times New Roman"/>
                <w:szCs w:val="24"/>
              </w:rPr>
            </w:pPr>
            <w:r w:rsidRPr="00D34493">
              <w:rPr>
                <w:rFonts w:cs="Times New Roman"/>
                <w:szCs w:val="24"/>
              </w:rPr>
              <w:t>17,822 (4,937)</w:t>
            </w:r>
          </w:p>
        </w:tc>
        <w:tc>
          <w:tcPr>
            <w:tcW w:w="2707" w:type="dxa"/>
          </w:tcPr>
          <w:p w14:paraId="38DE4DD4" w14:textId="77777777" w:rsidR="0013088C" w:rsidRPr="00D34493" w:rsidRDefault="0013088C" w:rsidP="00EE01BB">
            <w:pPr>
              <w:jc w:val="center"/>
              <w:rPr>
                <w:rFonts w:cs="Times New Roman"/>
                <w:szCs w:val="24"/>
              </w:rPr>
            </w:pPr>
            <w:r w:rsidRPr="00D34493">
              <w:rPr>
                <w:rFonts w:cs="Times New Roman"/>
                <w:szCs w:val="24"/>
              </w:rPr>
              <w:t>17,250 (3,222)</w:t>
            </w:r>
          </w:p>
        </w:tc>
      </w:tr>
      <w:tr w:rsidR="0013088C" w:rsidRPr="00D34493" w14:paraId="5C399B01" w14:textId="77777777" w:rsidTr="00EE01BB">
        <w:tc>
          <w:tcPr>
            <w:tcW w:w="7915" w:type="dxa"/>
            <w:gridSpan w:val="5"/>
            <w:vAlign w:val="center"/>
          </w:tcPr>
          <w:p w14:paraId="4EB106F8" w14:textId="77777777" w:rsidR="0013088C" w:rsidRPr="00D34493" w:rsidRDefault="0013088C" w:rsidP="00EE01BB">
            <w:pPr>
              <w:rPr>
                <w:rFonts w:cs="Times New Roman"/>
                <w:szCs w:val="24"/>
              </w:rPr>
            </w:pPr>
            <w:r w:rsidRPr="00D34493">
              <w:rPr>
                <w:rFonts w:cs="Times New Roman"/>
                <w:b/>
                <w:szCs w:val="24"/>
              </w:rPr>
              <w:t>Complications during the index hospitalization, n (%)</w:t>
            </w:r>
          </w:p>
        </w:tc>
        <w:tc>
          <w:tcPr>
            <w:tcW w:w="5410" w:type="dxa"/>
            <w:gridSpan w:val="2"/>
            <w:vAlign w:val="center"/>
          </w:tcPr>
          <w:p w14:paraId="78652B43" w14:textId="77777777" w:rsidR="0013088C" w:rsidRPr="00D34493" w:rsidRDefault="0013088C" w:rsidP="00EE01BB">
            <w:pPr>
              <w:rPr>
                <w:rFonts w:cs="Times New Roman"/>
                <w:szCs w:val="24"/>
              </w:rPr>
            </w:pPr>
          </w:p>
        </w:tc>
      </w:tr>
      <w:tr w:rsidR="0013088C" w:rsidRPr="00D34493" w14:paraId="36F90C5B" w14:textId="77777777" w:rsidTr="00EE01BB">
        <w:tc>
          <w:tcPr>
            <w:tcW w:w="327" w:type="dxa"/>
          </w:tcPr>
          <w:p w14:paraId="28FC6455" w14:textId="77777777" w:rsidR="0013088C" w:rsidRPr="00D34493" w:rsidRDefault="0013088C" w:rsidP="00EE01BB">
            <w:pPr>
              <w:rPr>
                <w:rFonts w:cs="Times New Roman"/>
                <w:szCs w:val="24"/>
                <w:highlight w:val="magenta"/>
              </w:rPr>
            </w:pPr>
          </w:p>
        </w:tc>
        <w:tc>
          <w:tcPr>
            <w:tcW w:w="2535" w:type="dxa"/>
          </w:tcPr>
          <w:p w14:paraId="75A1EB17" w14:textId="77777777" w:rsidR="0013088C" w:rsidRPr="00D34493" w:rsidRDefault="0013088C" w:rsidP="00EE01BB">
            <w:pPr>
              <w:rPr>
                <w:rFonts w:cs="Times New Roman"/>
                <w:szCs w:val="24"/>
                <w:highlight w:val="magenta"/>
              </w:rPr>
            </w:pPr>
          </w:p>
        </w:tc>
        <w:tc>
          <w:tcPr>
            <w:tcW w:w="2346" w:type="dxa"/>
          </w:tcPr>
          <w:p w14:paraId="5FC4C5DE" w14:textId="77777777" w:rsidR="0013088C" w:rsidRPr="00D34493" w:rsidRDefault="0013088C" w:rsidP="00EE01BB">
            <w:pPr>
              <w:jc w:val="center"/>
              <w:rPr>
                <w:rFonts w:cs="Times New Roman"/>
                <w:szCs w:val="24"/>
                <w:highlight w:val="magenta"/>
              </w:rPr>
            </w:pPr>
            <w:r w:rsidRPr="00D34493">
              <w:rPr>
                <w:rFonts w:cs="Times New Roman"/>
                <w:szCs w:val="24"/>
              </w:rPr>
              <w:t>2 (1.6%)</w:t>
            </w:r>
          </w:p>
        </w:tc>
        <w:tc>
          <w:tcPr>
            <w:tcW w:w="2340" w:type="dxa"/>
          </w:tcPr>
          <w:p w14:paraId="1AE7C0E0" w14:textId="77777777" w:rsidR="0013088C" w:rsidRPr="00D34493" w:rsidRDefault="0013088C" w:rsidP="00EE01BB">
            <w:pPr>
              <w:jc w:val="center"/>
              <w:rPr>
                <w:rFonts w:cs="Times New Roman"/>
                <w:szCs w:val="24"/>
              </w:rPr>
            </w:pPr>
            <w:r w:rsidRPr="00D34493">
              <w:rPr>
                <w:rFonts w:cs="Times New Roman"/>
                <w:szCs w:val="24"/>
              </w:rPr>
              <w:t>1 (2.2%)</w:t>
            </w:r>
          </w:p>
        </w:tc>
        <w:tc>
          <w:tcPr>
            <w:tcW w:w="367" w:type="dxa"/>
          </w:tcPr>
          <w:p w14:paraId="47DF0214" w14:textId="77777777" w:rsidR="0013088C" w:rsidRPr="00D34493" w:rsidRDefault="0013088C" w:rsidP="00EE01BB">
            <w:pPr>
              <w:jc w:val="center"/>
              <w:rPr>
                <w:rFonts w:cs="Times New Roman"/>
                <w:szCs w:val="24"/>
              </w:rPr>
            </w:pPr>
          </w:p>
        </w:tc>
        <w:tc>
          <w:tcPr>
            <w:tcW w:w="2703" w:type="dxa"/>
          </w:tcPr>
          <w:p w14:paraId="515F95A7" w14:textId="77777777" w:rsidR="0013088C" w:rsidRPr="00D34493" w:rsidRDefault="0013088C" w:rsidP="00EE01BB">
            <w:pPr>
              <w:jc w:val="center"/>
              <w:rPr>
                <w:rFonts w:cs="Times New Roman"/>
                <w:szCs w:val="24"/>
              </w:rPr>
            </w:pPr>
            <w:r w:rsidRPr="00D34493">
              <w:rPr>
                <w:rFonts w:cs="Times New Roman"/>
                <w:szCs w:val="24"/>
              </w:rPr>
              <w:t>2 (1.1%)</w:t>
            </w:r>
          </w:p>
        </w:tc>
        <w:tc>
          <w:tcPr>
            <w:tcW w:w="2707" w:type="dxa"/>
          </w:tcPr>
          <w:p w14:paraId="5AFD0015" w14:textId="77777777" w:rsidR="0013088C" w:rsidRPr="00D34493" w:rsidRDefault="0013088C" w:rsidP="00EE01BB">
            <w:pPr>
              <w:jc w:val="center"/>
              <w:rPr>
                <w:rFonts w:cs="Times New Roman"/>
                <w:szCs w:val="24"/>
              </w:rPr>
            </w:pPr>
            <w:r w:rsidRPr="00D34493">
              <w:rPr>
                <w:rFonts w:cs="Times New Roman"/>
                <w:szCs w:val="24"/>
              </w:rPr>
              <w:t>0 (0%)</w:t>
            </w:r>
          </w:p>
        </w:tc>
      </w:tr>
      <w:tr w:rsidR="0013088C" w:rsidRPr="00D34493" w14:paraId="5DC7DF49" w14:textId="77777777" w:rsidTr="00EE01BB">
        <w:tc>
          <w:tcPr>
            <w:tcW w:w="13325" w:type="dxa"/>
            <w:gridSpan w:val="7"/>
            <w:vAlign w:val="center"/>
          </w:tcPr>
          <w:p w14:paraId="0B5BDA06" w14:textId="77777777" w:rsidR="0013088C" w:rsidRPr="00D34493" w:rsidRDefault="0013088C" w:rsidP="00EE01BB">
            <w:pPr>
              <w:keepNext/>
              <w:rPr>
                <w:rFonts w:cs="Times New Roman"/>
                <w:szCs w:val="24"/>
              </w:rPr>
            </w:pPr>
            <w:r w:rsidRPr="00D34493">
              <w:rPr>
                <w:rFonts w:cs="Times New Roman"/>
                <w:b/>
                <w:szCs w:val="24"/>
              </w:rPr>
              <w:t>Complications leading to readmission, n (%)</w:t>
            </w:r>
          </w:p>
        </w:tc>
      </w:tr>
      <w:tr w:rsidR="0013088C" w:rsidRPr="00D34493" w14:paraId="1102C81D" w14:textId="77777777" w:rsidTr="00EE01BB">
        <w:tc>
          <w:tcPr>
            <w:tcW w:w="327" w:type="dxa"/>
          </w:tcPr>
          <w:p w14:paraId="57CDDBD2" w14:textId="77777777" w:rsidR="0013088C" w:rsidRPr="00D34493" w:rsidRDefault="0013088C" w:rsidP="00EE01BB">
            <w:pPr>
              <w:rPr>
                <w:rFonts w:cs="Times New Roman"/>
                <w:szCs w:val="24"/>
                <w:highlight w:val="magenta"/>
              </w:rPr>
            </w:pPr>
          </w:p>
        </w:tc>
        <w:tc>
          <w:tcPr>
            <w:tcW w:w="2535" w:type="dxa"/>
          </w:tcPr>
          <w:p w14:paraId="0F76DB23" w14:textId="77777777" w:rsidR="0013088C" w:rsidRPr="00D34493" w:rsidRDefault="0013088C" w:rsidP="00EE01BB">
            <w:pPr>
              <w:rPr>
                <w:rFonts w:cs="Times New Roman"/>
                <w:szCs w:val="24"/>
                <w:highlight w:val="magenta"/>
              </w:rPr>
            </w:pPr>
            <w:r w:rsidRPr="00D34493">
              <w:rPr>
                <w:rFonts w:cs="Times New Roman"/>
                <w:szCs w:val="24"/>
              </w:rPr>
              <w:t>≤18 days</w:t>
            </w:r>
          </w:p>
        </w:tc>
        <w:tc>
          <w:tcPr>
            <w:tcW w:w="2346" w:type="dxa"/>
          </w:tcPr>
          <w:p w14:paraId="5DC18B01" w14:textId="77777777" w:rsidR="0013088C" w:rsidRPr="00D34493" w:rsidRDefault="0013088C" w:rsidP="00EE01BB">
            <w:pPr>
              <w:jc w:val="center"/>
              <w:rPr>
                <w:rFonts w:cs="Times New Roman"/>
                <w:szCs w:val="24"/>
                <w:highlight w:val="magenta"/>
              </w:rPr>
            </w:pPr>
            <w:r w:rsidRPr="00D34493">
              <w:rPr>
                <w:rFonts w:cs="Times New Roman"/>
                <w:szCs w:val="24"/>
              </w:rPr>
              <w:t>0</w:t>
            </w:r>
          </w:p>
        </w:tc>
        <w:tc>
          <w:tcPr>
            <w:tcW w:w="2340" w:type="dxa"/>
          </w:tcPr>
          <w:p w14:paraId="64FE9587" w14:textId="77777777" w:rsidR="0013088C" w:rsidRPr="00D34493" w:rsidRDefault="0013088C" w:rsidP="00EE01BB">
            <w:pPr>
              <w:jc w:val="center"/>
              <w:rPr>
                <w:rFonts w:cs="Times New Roman"/>
                <w:szCs w:val="24"/>
              </w:rPr>
            </w:pPr>
            <w:r w:rsidRPr="00D34493">
              <w:rPr>
                <w:rFonts w:cs="Times New Roman"/>
                <w:szCs w:val="24"/>
              </w:rPr>
              <w:t>0</w:t>
            </w:r>
          </w:p>
        </w:tc>
        <w:tc>
          <w:tcPr>
            <w:tcW w:w="367" w:type="dxa"/>
          </w:tcPr>
          <w:p w14:paraId="15BB5907" w14:textId="77777777" w:rsidR="0013088C" w:rsidRPr="00D34493" w:rsidRDefault="0013088C" w:rsidP="00EE01BB">
            <w:pPr>
              <w:jc w:val="center"/>
              <w:rPr>
                <w:rFonts w:cs="Times New Roman"/>
                <w:szCs w:val="24"/>
              </w:rPr>
            </w:pPr>
          </w:p>
        </w:tc>
        <w:tc>
          <w:tcPr>
            <w:tcW w:w="2703" w:type="dxa"/>
          </w:tcPr>
          <w:p w14:paraId="4F53141E" w14:textId="77777777" w:rsidR="0013088C" w:rsidRPr="00D34493" w:rsidRDefault="0013088C" w:rsidP="00EE01BB">
            <w:pPr>
              <w:jc w:val="center"/>
              <w:rPr>
                <w:rFonts w:cs="Times New Roman"/>
                <w:szCs w:val="24"/>
              </w:rPr>
            </w:pPr>
            <w:r w:rsidRPr="00D34493">
              <w:rPr>
                <w:rFonts w:cs="Times New Roman"/>
                <w:szCs w:val="24"/>
              </w:rPr>
              <w:t>1 (0.6%)</w:t>
            </w:r>
          </w:p>
        </w:tc>
        <w:tc>
          <w:tcPr>
            <w:tcW w:w="2707" w:type="dxa"/>
          </w:tcPr>
          <w:p w14:paraId="4137B40A" w14:textId="77777777" w:rsidR="0013088C" w:rsidRPr="00D34493" w:rsidRDefault="0013088C" w:rsidP="00EE01BB">
            <w:pPr>
              <w:jc w:val="center"/>
              <w:rPr>
                <w:rFonts w:cs="Times New Roman"/>
                <w:szCs w:val="24"/>
                <w:highlight w:val="magenta"/>
              </w:rPr>
            </w:pPr>
            <w:r w:rsidRPr="00D34493">
              <w:rPr>
                <w:rFonts w:cs="Times New Roman"/>
                <w:szCs w:val="24"/>
              </w:rPr>
              <w:t>1 (1.1%)</w:t>
            </w:r>
          </w:p>
        </w:tc>
      </w:tr>
      <w:tr w:rsidR="0013088C" w:rsidRPr="00D34493" w14:paraId="7D86CD03" w14:textId="77777777" w:rsidTr="00EE01BB">
        <w:tc>
          <w:tcPr>
            <w:tcW w:w="327" w:type="dxa"/>
          </w:tcPr>
          <w:p w14:paraId="32C3CA44" w14:textId="77777777" w:rsidR="0013088C" w:rsidRPr="00D34493" w:rsidRDefault="0013088C" w:rsidP="00EE01BB">
            <w:pPr>
              <w:rPr>
                <w:rFonts w:cs="Times New Roman"/>
                <w:szCs w:val="24"/>
                <w:highlight w:val="magenta"/>
              </w:rPr>
            </w:pPr>
          </w:p>
        </w:tc>
        <w:tc>
          <w:tcPr>
            <w:tcW w:w="2535" w:type="dxa"/>
          </w:tcPr>
          <w:p w14:paraId="1C33625B" w14:textId="77777777" w:rsidR="0013088C" w:rsidRPr="00D34493" w:rsidRDefault="0013088C" w:rsidP="00EE01BB">
            <w:pPr>
              <w:rPr>
                <w:rFonts w:cs="Times New Roman"/>
                <w:szCs w:val="24"/>
                <w:highlight w:val="magenta"/>
              </w:rPr>
            </w:pPr>
            <w:r w:rsidRPr="00D34493">
              <w:rPr>
                <w:rFonts w:cs="Times New Roman"/>
                <w:szCs w:val="24"/>
              </w:rPr>
              <w:t>19–90 days</w:t>
            </w:r>
          </w:p>
        </w:tc>
        <w:tc>
          <w:tcPr>
            <w:tcW w:w="2346" w:type="dxa"/>
          </w:tcPr>
          <w:p w14:paraId="7A50F3C1" w14:textId="77777777" w:rsidR="0013088C" w:rsidRPr="00D34493" w:rsidRDefault="0013088C" w:rsidP="00EE01BB">
            <w:pPr>
              <w:jc w:val="center"/>
              <w:rPr>
                <w:rFonts w:cs="Times New Roman"/>
                <w:szCs w:val="24"/>
                <w:highlight w:val="magenta"/>
              </w:rPr>
            </w:pPr>
            <w:r w:rsidRPr="00D34493">
              <w:rPr>
                <w:rFonts w:cs="Times New Roman"/>
                <w:szCs w:val="24"/>
              </w:rPr>
              <w:t>2 (1.6%)</w:t>
            </w:r>
          </w:p>
        </w:tc>
        <w:tc>
          <w:tcPr>
            <w:tcW w:w="2340" w:type="dxa"/>
          </w:tcPr>
          <w:p w14:paraId="0EA423E2" w14:textId="77777777" w:rsidR="0013088C" w:rsidRPr="00D34493" w:rsidRDefault="0013088C" w:rsidP="00EE01BB">
            <w:pPr>
              <w:jc w:val="center"/>
              <w:rPr>
                <w:rFonts w:cs="Times New Roman"/>
                <w:szCs w:val="24"/>
                <w:highlight w:val="magenta"/>
              </w:rPr>
            </w:pPr>
            <w:r w:rsidRPr="00D34493">
              <w:rPr>
                <w:rFonts w:cs="Times New Roman"/>
                <w:szCs w:val="24"/>
              </w:rPr>
              <w:t>1 (2.2%)</w:t>
            </w:r>
          </w:p>
        </w:tc>
        <w:tc>
          <w:tcPr>
            <w:tcW w:w="367" w:type="dxa"/>
          </w:tcPr>
          <w:p w14:paraId="4A0156D0" w14:textId="77777777" w:rsidR="0013088C" w:rsidRPr="00D34493" w:rsidRDefault="0013088C" w:rsidP="00EE01BB">
            <w:pPr>
              <w:jc w:val="center"/>
              <w:rPr>
                <w:rFonts w:cs="Times New Roman"/>
                <w:szCs w:val="24"/>
                <w:highlight w:val="magenta"/>
              </w:rPr>
            </w:pPr>
          </w:p>
        </w:tc>
        <w:tc>
          <w:tcPr>
            <w:tcW w:w="2703" w:type="dxa"/>
          </w:tcPr>
          <w:p w14:paraId="306C4EDE" w14:textId="77777777" w:rsidR="0013088C" w:rsidRPr="00D34493" w:rsidRDefault="0013088C" w:rsidP="00EE01BB">
            <w:pPr>
              <w:jc w:val="center"/>
              <w:rPr>
                <w:rFonts w:cs="Times New Roman"/>
                <w:szCs w:val="24"/>
                <w:highlight w:val="magenta"/>
              </w:rPr>
            </w:pPr>
            <w:r w:rsidRPr="00D34493">
              <w:rPr>
                <w:rFonts w:cs="Times New Roman"/>
                <w:szCs w:val="24"/>
              </w:rPr>
              <w:t>0</w:t>
            </w:r>
          </w:p>
        </w:tc>
        <w:tc>
          <w:tcPr>
            <w:tcW w:w="2707" w:type="dxa"/>
          </w:tcPr>
          <w:p w14:paraId="461A644E" w14:textId="77777777" w:rsidR="0013088C" w:rsidRPr="00D34493" w:rsidRDefault="0013088C" w:rsidP="00EE01BB">
            <w:pPr>
              <w:jc w:val="center"/>
              <w:rPr>
                <w:rFonts w:cs="Times New Roman"/>
                <w:szCs w:val="24"/>
                <w:highlight w:val="magenta"/>
              </w:rPr>
            </w:pPr>
            <w:r w:rsidRPr="00D34493">
              <w:rPr>
                <w:rFonts w:cs="Times New Roman"/>
                <w:szCs w:val="24"/>
              </w:rPr>
              <w:t>0</w:t>
            </w:r>
          </w:p>
        </w:tc>
      </w:tr>
      <w:tr w:rsidR="0013088C" w:rsidRPr="00D34493" w14:paraId="6F38DBEA" w14:textId="77777777" w:rsidTr="00EE01BB">
        <w:tc>
          <w:tcPr>
            <w:tcW w:w="7915" w:type="dxa"/>
            <w:gridSpan w:val="5"/>
            <w:vAlign w:val="center"/>
          </w:tcPr>
          <w:p w14:paraId="3773F3A3" w14:textId="77777777" w:rsidR="0013088C" w:rsidRPr="00D34493" w:rsidRDefault="0013088C" w:rsidP="00EE01BB">
            <w:pPr>
              <w:rPr>
                <w:rFonts w:cs="Times New Roman"/>
                <w:szCs w:val="24"/>
              </w:rPr>
            </w:pPr>
            <w:r w:rsidRPr="00D34493">
              <w:rPr>
                <w:rFonts w:cs="Times New Roman"/>
                <w:b/>
                <w:szCs w:val="24"/>
              </w:rPr>
              <w:t xml:space="preserve">Discharge destination, n (%) </w:t>
            </w:r>
          </w:p>
        </w:tc>
        <w:tc>
          <w:tcPr>
            <w:tcW w:w="5410" w:type="dxa"/>
            <w:gridSpan w:val="2"/>
            <w:vAlign w:val="center"/>
          </w:tcPr>
          <w:p w14:paraId="76567E51" w14:textId="77777777" w:rsidR="0013088C" w:rsidRPr="00D34493" w:rsidRDefault="0013088C" w:rsidP="00EE01BB">
            <w:pPr>
              <w:rPr>
                <w:rFonts w:cs="Times New Roman"/>
                <w:szCs w:val="24"/>
              </w:rPr>
            </w:pPr>
          </w:p>
        </w:tc>
      </w:tr>
      <w:tr w:rsidR="0013088C" w:rsidRPr="00D34493" w14:paraId="770148BC" w14:textId="77777777" w:rsidTr="00EE01BB">
        <w:tc>
          <w:tcPr>
            <w:tcW w:w="327" w:type="dxa"/>
          </w:tcPr>
          <w:p w14:paraId="73598ED3" w14:textId="77777777" w:rsidR="0013088C" w:rsidRPr="00D34493" w:rsidRDefault="0013088C" w:rsidP="00EE01BB">
            <w:pPr>
              <w:rPr>
                <w:rFonts w:cs="Times New Roman"/>
                <w:szCs w:val="24"/>
              </w:rPr>
            </w:pPr>
          </w:p>
        </w:tc>
        <w:tc>
          <w:tcPr>
            <w:tcW w:w="2535" w:type="dxa"/>
          </w:tcPr>
          <w:p w14:paraId="4DC9275E" w14:textId="77777777" w:rsidR="0013088C" w:rsidRPr="00D34493" w:rsidRDefault="0013088C" w:rsidP="00EE01BB">
            <w:pPr>
              <w:rPr>
                <w:rFonts w:cs="Times New Roman"/>
                <w:szCs w:val="24"/>
              </w:rPr>
            </w:pPr>
            <w:r w:rsidRPr="00D34493">
              <w:rPr>
                <w:rFonts w:cs="Times New Roman"/>
                <w:szCs w:val="24"/>
              </w:rPr>
              <w:t>Home</w:t>
            </w:r>
          </w:p>
        </w:tc>
        <w:tc>
          <w:tcPr>
            <w:tcW w:w="2346" w:type="dxa"/>
          </w:tcPr>
          <w:p w14:paraId="38F81E96" w14:textId="77777777" w:rsidR="0013088C" w:rsidRPr="00D34493" w:rsidRDefault="0013088C" w:rsidP="00EE01BB">
            <w:pPr>
              <w:jc w:val="center"/>
              <w:rPr>
                <w:rFonts w:cs="Times New Roman"/>
                <w:szCs w:val="24"/>
              </w:rPr>
            </w:pPr>
            <w:r w:rsidRPr="00D34493">
              <w:rPr>
                <w:rFonts w:cs="Times New Roman"/>
                <w:szCs w:val="24"/>
              </w:rPr>
              <w:t>76 (62.2%)</w:t>
            </w:r>
          </w:p>
        </w:tc>
        <w:tc>
          <w:tcPr>
            <w:tcW w:w="2340" w:type="dxa"/>
          </w:tcPr>
          <w:p w14:paraId="21BA2760" w14:textId="77777777" w:rsidR="0013088C" w:rsidRPr="00D34493" w:rsidRDefault="0013088C" w:rsidP="00EE01BB">
            <w:pPr>
              <w:jc w:val="center"/>
              <w:rPr>
                <w:rFonts w:cs="Times New Roman"/>
                <w:szCs w:val="24"/>
              </w:rPr>
            </w:pPr>
            <w:r w:rsidRPr="00D34493">
              <w:rPr>
                <w:rFonts w:cs="Times New Roman"/>
                <w:szCs w:val="24"/>
              </w:rPr>
              <w:t>37 (82.2%)</w:t>
            </w:r>
          </w:p>
        </w:tc>
        <w:tc>
          <w:tcPr>
            <w:tcW w:w="367" w:type="dxa"/>
          </w:tcPr>
          <w:p w14:paraId="7D856144" w14:textId="77777777" w:rsidR="0013088C" w:rsidRPr="00D34493" w:rsidRDefault="0013088C" w:rsidP="00EE01BB">
            <w:pPr>
              <w:jc w:val="center"/>
              <w:rPr>
                <w:rFonts w:cs="Times New Roman"/>
                <w:szCs w:val="24"/>
              </w:rPr>
            </w:pPr>
          </w:p>
        </w:tc>
        <w:tc>
          <w:tcPr>
            <w:tcW w:w="2703" w:type="dxa"/>
          </w:tcPr>
          <w:p w14:paraId="00F17447" w14:textId="77777777" w:rsidR="0013088C" w:rsidRPr="00D34493" w:rsidRDefault="0013088C" w:rsidP="00EE01BB">
            <w:pPr>
              <w:jc w:val="center"/>
              <w:rPr>
                <w:rFonts w:cs="Times New Roman"/>
                <w:szCs w:val="24"/>
              </w:rPr>
            </w:pPr>
            <w:r w:rsidRPr="00D34493">
              <w:rPr>
                <w:rFonts w:cs="Times New Roman"/>
                <w:szCs w:val="24"/>
              </w:rPr>
              <w:t>114 (63.3%)</w:t>
            </w:r>
          </w:p>
        </w:tc>
        <w:tc>
          <w:tcPr>
            <w:tcW w:w="2707" w:type="dxa"/>
          </w:tcPr>
          <w:p w14:paraId="4A0683F6" w14:textId="77777777" w:rsidR="0013088C" w:rsidRPr="00D34493" w:rsidRDefault="0013088C" w:rsidP="00EE01BB">
            <w:pPr>
              <w:jc w:val="center"/>
              <w:rPr>
                <w:rFonts w:cs="Times New Roman"/>
                <w:szCs w:val="24"/>
              </w:rPr>
            </w:pPr>
            <w:r w:rsidRPr="00D34493">
              <w:rPr>
                <w:rFonts w:cs="Times New Roman"/>
                <w:szCs w:val="24"/>
              </w:rPr>
              <w:t>73 (78.5%)</w:t>
            </w:r>
          </w:p>
        </w:tc>
      </w:tr>
      <w:tr w:rsidR="0013088C" w:rsidRPr="00D34493" w14:paraId="5B53DE01" w14:textId="77777777" w:rsidTr="00EE01BB">
        <w:tc>
          <w:tcPr>
            <w:tcW w:w="327" w:type="dxa"/>
          </w:tcPr>
          <w:p w14:paraId="07504DD6" w14:textId="77777777" w:rsidR="0013088C" w:rsidRPr="00D34493" w:rsidRDefault="0013088C" w:rsidP="00EE01BB">
            <w:pPr>
              <w:rPr>
                <w:rFonts w:cs="Times New Roman"/>
                <w:szCs w:val="24"/>
              </w:rPr>
            </w:pPr>
          </w:p>
        </w:tc>
        <w:tc>
          <w:tcPr>
            <w:tcW w:w="2535" w:type="dxa"/>
          </w:tcPr>
          <w:p w14:paraId="2EC6AFD5" w14:textId="77777777" w:rsidR="0013088C" w:rsidRPr="00D34493" w:rsidRDefault="0013088C" w:rsidP="00EE01BB">
            <w:pPr>
              <w:rPr>
                <w:rFonts w:cs="Times New Roman"/>
                <w:szCs w:val="24"/>
              </w:rPr>
            </w:pPr>
            <w:r w:rsidRPr="00D34493">
              <w:rPr>
                <w:rFonts w:cs="Times New Roman"/>
                <w:szCs w:val="24"/>
              </w:rPr>
              <w:t>Not home</w:t>
            </w:r>
          </w:p>
        </w:tc>
        <w:tc>
          <w:tcPr>
            <w:tcW w:w="2346" w:type="dxa"/>
          </w:tcPr>
          <w:p w14:paraId="175454D9" w14:textId="77777777" w:rsidR="0013088C" w:rsidRPr="00D34493" w:rsidRDefault="0013088C" w:rsidP="00EE01BB">
            <w:pPr>
              <w:jc w:val="center"/>
              <w:rPr>
                <w:rFonts w:cs="Times New Roman"/>
                <w:szCs w:val="24"/>
              </w:rPr>
            </w:pPr>
            <w:r w:rsidRPr="00D34493">
              <w:rPr>
                <w:rFonts w:cs="Times New Roman"/>
                <w:szCs w:val="24"/>
              </w:rPr>
              <w:t>46 (37.7%)</w:t>
            </w:r>
          </w:p>
        </w:tc>
        <w:tc>
          <w:tcPr>
            <w:tcW w:w="2340" w:type="dxa"/>
          </w:tcPr>
          <w:p w14:paraId="1947D3D7" w14:textId="77777777" w:rsidR="0013088C" w:rsidRPr="00D34493" w:rsidRDefault="0013088C" w:rsidP="00EE01BB">
            <w:pPr>
              <w:jc w:val="center"/>
              <w:rPr>
                <w:rFonts w:cs="Times New Roman"/>
                <w:szCs w:val="24"/>
              </w:rPr>
            </w:pPr>
            <w:r w:rsidRPr="00D34493">
              <w:rPr>
                <w:rFonts w:cs="Times New Roman"/>
                <w:szCs w:val="24"/>
              </w:rPr>
              <w:t>8 (17.8%)</w:t>
            </w:r>
          </w:p>
        </w:tc>
        <w:tc>
          <w:tcPr>
            <w:tcW w:w="367" w:type="dxa"/>
          </w:tcPr>
          <w:p w14:paraId="73968BC3" w14:textId="77777777" w:rsidR="0013088C" w:rsidRPr="00D34493" w:rsidRDefault="0013088C" w:rsidP="00EE01BB">
            <w:pPr>
              <w:jc w:val="center"/>
              <w:rPr>
                <w:rFonts w:cs="Times New Roman"/>
                <w:szCs w:val="24"/>
              </w:rPr>
            </w:pPr>
          </w:p>
        </w:tc>
        <w:tc>
          <w:tcPr>
            <w:tcW w:w="2703" w:type="dxa"/>
          </w:tcPr>
          <w:p w14:paraId="717C9B91" w14:textId="77777777" w:rsidR="0013088C" w:rsidRPr="00D34493" w:rsidRDefault="0013088C" w:rsidP="00EE01BB">
            <w:pPr>
              <w:jc w:val="center"/>
              <w:rPr>
                <w:rFonts w:cs="Times New Roman"/>
                <w:szCs w:val="24"/>
              </w:rPr>
            </w:pPr>
            <w:r w:rsidRPr="00D34493">
              <w:rPr>
                <w:rFonts w:cs="Times New Roman"/>
                <w:szCs w:val="24"/>
              </w:rPr>
              <w:t>66 (36.7%)</w:t>
            </w:r>
          </w:p>
        </w:tc>
        <w:tc>
          <w:tcPr>
            <w:tcW w:w="2707" w:type="dxa"/>
          </w:tcPr>
          <w:p w14:paraId="546900E3" w14:textId="77777777" w:rsidR="0013088C" w:rsidRPr="00D34493" w:rsidRDefault="0013088C" w:rsidP="00EE01BB">
            <w:pPr>
              <w:jc w:val="center"/>
              <w:rPr>
                <w:rFonts w:cs="Times New Roman"/>
                <w:szCs w:val="24"/>
              </w:rPr>
            </w:pPr>
            <w:r w:rsidRPr="00D34493">
              <w:rPr>
                <w:rFonts w:cs="Times New Roman"/>
                <w:szCs w:val="24"/>
              </w:rPr>
              <w:t>20 (21.5%)</w:t>
            </w:r>
          </w:p>
        </w:tc>
      </w:tr>
      <w:tr w:rsidR="0013088C" w:rsidRPr="00D34493" w14:paraId="7E521C90" w14:textId="77777777" w:rsidTr="00EE01BB">
        <w:tc>
          <w:tcPr>
            <w:tcW w:w="327" w:type="dxa"/>
          </w:tcPr>
          <w:p w14:paraId="3B78A887" w14:textId="77777777" w:rsidR="0013088C" w:rsidRPr="00D34493" w:rsidRDefault="0013088C" w:rsidP="00EE01BB">
            <w:pPr>
              <w:rPr>
                <w:rFonts w:cs="Times New Roman"/>
                <w:szCs w:val="24"/>
              </w:rPr>
            </w:pPr>
          </w:p>
        </w:tc>
        <w:tc>
          <w:tcPr>
            <w:tcW w:w="2535" w:type="dxa"/>
          </w:tcPr>
          <w:p w14:paraId="1EE6068E" w14:textId="77777777" w:rsidR="0013088C" w:rsidRPr="00D34493" w:rsidRDefault="0013088C" w:rsidP="00EE01BB">
            <w:pPr>
              <w:ind w:left="320"/>
              <w:rPr>
                <w:rFonts w:cs="Times New Roman"/>
                <w:szCs w:val="24"/>
              </w:rPr>
            </w:pPr>
            <w:r w:rsidRPr="00D34493">
              <w:rPr>
                <w:rFonts w:cs="Times New Roman"/>
                <w:szCs w:val="24"/>
              </w:rPr>
              <w:t>Rehabilitation</w:t>
            </w:r>
          </w:p>
        </w:tc>
        <w:tc>
          <w:tcPr>
            <w:tcW w:w="2346" w:type="dxa"/>
          </w:tcPr>
          <w:p w14:paraId="7996424F" w14:textId="77777777" w:rsidR="0013088C" w:rsidRPr="00D34493" w:rsidRDefault="0013088C" w:rsidP="00EE01BB">
            <w:pPr>
              <w:jc w:val="center"/>
              <w:rPr>
                <w:rFonts w:cs="Times New Roman"/>
                <w:szCs w:val="24"/>
              </w:rPr>
            </w:pPr>
            <w:r w:rsidRPr="00D34493">
              <w:rPr>
                <w:rFonts w:cs="Times New Roman"/>
                <w:szCs w:val="24"/>
              </w:rPr>
              <w:t>45 (36.9%)</w:t>
            </w:r>
          </w:p>
        </w:tc>
        <w:tc>
          <w:tcPr>
            <w:tcW w:w="2340" w:type="dxa"/>
          </w:tcPr>
          <w:p w14:paraId="147AD0E8" w14:textId="77777777" w:rsidR="0013088C" w:rsidRPr="00D34493" w:rsidRDefault="0013088C" w:rsidP="00EE01BB">
            <w:pPr>
              <w:jc w:val="center"/>
              <w:rPr>
                <w:rFonts w:cs="Times New Roman"/>
                <w:szCs w:val="24"/>
              </w:rPr>
            </w:pPr>
            <w:r w:rsidRPr="00D34493">
              <w:rPr>
                <w:rFonts w:cs="Times New Roman"/>
                <w:szCs w:val="24"/>
              </w:rPr>
              <w:t>8 (17.8%)</w:t>
            </w:r>
          </w:p>
        </w:tc>
        <w:tc>
          <w:tcPr>
            <w:tcW w:w="367" w:type="dxa"/>
          </w:tcPr>
          <w:p w14:paraId="46ACFFAA" w14:textId="77777777" w:rsidR="0013088C" w:rsidRPr="00D34493" w:rsidRDefault="0013088C" w:rsidP="00EE01BB">
            <w:pPr>
              <w:jc w:val="center"/>
              <w:rPr>
                <w:rFonts w:cs="Times New Roman"/>
                <w:szCs w:val="24"/>
              </w:rPr>
            </w:pPr>
          </w:p>
        </w:tc>
        <w:tc>
          <w:tcPr>
            <w:tcW w:w="2703" w:type="dxa"/>
          </w:tcPr>
          <w:p w14:paraId="75D8FD1D" w14:textId="77777777" w:rsidR="0013088C" w:rsidRPr="00D34493" w:rsidRDefault="0013088C" w:rsidP="00EE01BB">
            <w:pPr>
              <w:jc w:val="center"/>
              <w:rPr>
                <w:rFonts w:cs="Times New Roman"/>
                <w:szCs w:val="24"/>
              </w:rPr>
            </w:pPr>
            <w:r w:rsidRPr="00D34493">
              <w:rPr>
                <w:rFonts w:cs="Times New Roman"/>
                <w:szCs w:val="24"/>
              </w:rPr>
              <w:t>63 (35.0%)</w:t>
            </w:r>
          </w:p>
        </w:tc>
        <w:tc>
          <w:tcPr>
            <w:tcW w:w="2707" w:type="dxa"/>
          </w:tcPr>
          <w:p w14:paraId="20733201" w14:textId="77777777" w:rsidR="0013088C" w:rsidRPr="00D34493" w:rsidRDefault="0013088C" w:rsidP="00EE01BB">
            <w:pPr>
              <w:jc w:val="center"/>
              <w:rPr>
                <w:rFonts w:cs="Times New Roman"/>
                <w:szCs w:val="24"/>
              </w:rPr>
            </w:pPr>
            <w:r w:rsidRPr="00D34493">
              <w:rPr>
                <w:rFonts w:cs="Times New Roman"/>
                <w:szCs w:val="24"/>
              </w:rPr>
              <w:t>20 (21.5%)*</w:t>
            </w:r>
          </w:p>
        </w:tc>
      </w:tr>
      <w:tr w:rsidR="0013088C" w:rsidRPr="00D34493" w14:paraId="595BCFEC" w14:textId="77777777" w:rsidTr="00EE01BB">
        <w:tc>
          <w:tcPr>
            <w:tcW w:w="327" w:type="dxa"/>
          </w:tcPr>
          <w:p w14:paraId="2F1EB61A" w14:textId="77777777" w:rsidR="0013088C" w:rsidRPr="00D34493" w:rsidRDefault="0013088C" w:rsidP="00EE01BB">
            <w:pPr>
              <w:rPr>
                <w:rFonts w:cs="Times New Roman"/>
                <w:szCs w:val="24"/>
              </w:rPr>
            </w:pPr>
          </w:p>
        </w:tc>
        <w:tc>
          <w:tcPr>
            <w:tcW w:w="2535" w:type="dxa"/>
          </w:tcPr>
          <w:p w14:paraId="483CCB9A" w14:textId="77777777" w:rsidR="0013088C" w:rsidRPr="00D34493" w:rsidRDefault="0013088C" w:rsidP="00EE01BB">
            <w:pPr>
              <w:ind w:left="320"/>
              <w:rPr>
                <w:rFonts w:cs="Times New Roman"/>
                <w:szCs w:val="24"/>
              </w:rPr>
            </w:pPr>
            <w:r w:rsidRPr="00D34493">
              <w:rPr>
                <w:rFonts w:cs="Times New Roman"/>
                <w:szCs w:val="24"/>
              </w:rPr>
              <w:t>Other hospital</w:t>
            </w:r>
          </w:p>
        </w:tc>
        <w:tc>
          <w:tcPr>
            <w:tcW w:w="2346" w:type="dxa"/>
          </w:tcPr>
          <w:p w14:paraId="5F5BA9B6" w14:textId="77777777" w:rsidR="0013088C" w:rsidRPr="00D34493" w:rsidRDefault="0013088C" w:rsidP="00EE01BB">
            <w:pPr>
              <w:jc w:val="center"/>
              <w:rPr>
                <w:rFonts w:cs="Times New Roman"/>
                <w:szCs w:val="24"/>
              </w:rPr>
            </w:pPr>
            <w:r w:rsidRPr="00D34493">
              <w:rPr>
                <w:rFonts w:cs="Times New Roman"/>
                <w:szCs w:val="24"/>
              </w:rPr>
              <w:t>1 (0.8%)</w:t>
            </w:r>
          </w:p>
        </w:tc>
        <w:tc>
          <w:tcPr>
            <w:tcW w:w="2340" w:type="dxa"/>
          </w:tcPr>
          <w:p w14:paraId="5A8A91FE" w14:textId="77777777" w:rsidR="0013088C" w:rsidRPr="00D34493" w:rsidRDefault="0013088C" w:rsidP="00EE01BB">
            <w:pPr>
              <w:jc w:val="center"/>
              <w:rPr>
                <w:rFonts w:cs="Times New Roman"/>
                <w:szCs w:val="24"/>
              </w:rPr>
            </w:pPr>
            <w:r w:rsidRPr="00D34493">
              <w:rPr>
                <w:rFonts w:cs="Times New Roman"/>
                <w:szCs w:val="24"/>
              </w:rPr>
              <w:t xml:space="preserve">0 </w:t>
            </w:r>
          </w:p>
        </w:tc>
        <w:tc>
          <w:tcPr>
            <w:tcW w:w="367" w:type="dxa"/>
          </w:tcPr>
          <w:p w14:paraId="110FA62D" w14:textId="77777777" w:rsidR="0013088C" w:rsidRPr="00D34493" w:rsidRDefault="0013088C" w:rsidP="00EE01BB">
            <w:pPr>
              <w:jc w:val="center"/>
              <w:rPr>
                <w:rFonts w:cs="Times New Roman"/>
                <w:szCs w:val="24"/>
              </w:rPr>
            </w:pPr>
          </w:p>
        </w:tc>
        <w:tc>
          <w:tcPr>
            <w:tcW w:w="2703" w:type="dxa"/>
          </w:tcPr>
          <w:p w14:paraId="2066CB37" w14:textId="77777777" w:rsidR="0013088C" w:rsidRPr="00D34493" w:rsidRDefault="0013088C" w:rsidP="00EE01BB">
            <w:pPr>
              <w:jc w:val="center"/>
              <w:rPr>
                <w:rFonts w:cs="Times New Roman"/>
                <w:szCs w:val="24"/>
              </w:rPr>
            </w:pPr>
            <w:r w:rsidRPr="00D34493">
              <w:rPr>
                <w:rFonts w:cs="Times New Roman"/>
                <w:szCs w:val="24"/>
              </w:rPr>
              <w:t>0</w:t>
            </w:r>
          </w:p>
        </w:tc>
        <w:tc>
          <w:tcPr>
            <w:tcW w:w="2707" w:type="dxa"/>
          </w:tcPr>
          <w:p w14:paraId="228EBFAB" w14:textId="77777777" w:rsidR="0013088C" w:rsidRPr="00D34493" w:rsidRDefault="0013088C" w:rsidP="00EE01BB">
            <w:pPr>
              <w:jc w:val="center"/>
              <w:rPr>
                <w:rFonts w:cs="Times New Roman"/>
                <w:szCs w:val="24"/>
              </w:rPr>
            </w:pPr>
            <w:r w:rsidRPr="00D34493">
              <w:rPr>
                <w:rFonts w:cs="Times New Roman"/>
                <w:szCs w:val="24"/>
              </w:rPr>
              <w:t>0</w:t>
            </w:r>
          </w:p>
        </w:tc>
      </w:tr>
      <w:tr w:rsidR="0013088C" w:rsidRPr="00D34493" w14:paraId="2FA4FA2F" w14:textId="77777777" w:rsidTr="00EE01BB">
        <w:tc>
          <w:tcPr>
            <w:tcW w:w="327" w:type="dxa"/>
          </w:tcPr>
          <w:p w14:paraId="3244718B" w14:textId="77777777" w:rsidR="0013088C" w:rsidRPr="00D34493" w:rsidRDefault="0013088C" w:rsidP="00EE01BB">
            <w:pPr>
              <w:rPr>
                <w:rFonts w:cs="Times New Roman"/>
                <w:szCs w:val="24"/>
              </w:rPr>
            </w:pPr>
          </w:p>
        </w:tc>
        <w:tc>
          <w:tcPr>
            <w:tcW w:w="2535" w:type="dxa"/>
          </w:tcPr>
          <w:p w14:paraId="06C4AF0D" w14:textId="77777777" w:rsidR="0013088C" w:rsidRPr="00D34493" w:rsidRDefault="0013088C" w:rsidP="00EE01BB">
            <w:pPr>
              <w:ind w:left="320"/>
              <w:rPr>
                <w:rFonts w:cs="Times New Roman"/>
                <w:szCs w:val="24"/>
              </w:rPr>
            </w:pPr>
            <w:r w:rsidRPr="00D34493">
              <w:rPr>
                <w:rFonts w:cs="Times New Roman"/>
                <w:szCs w:val="24"/>
              </w:rPr>
              <w:t>Nursing home</w:t>
            </w:r>
          </w:p>
        </w:tc>
        <w:tc>
          <w:tcPr>
            <w:tcW w:w="2346" w:type="dxa"/>
          </w:tcPr>
          <w:p w14:paraId="427C3920" w14:textId="77777777" w:rsidR="0013088C" w:rsidRPr="00D34493" w:rsidRDefault="0013088C" w:rsidP="00EE01BB">
            <w:pPr>
              <w:jc w:val="center"/>
              <w:rPr>
                <w:rFonts w:cs="Times New Roman"/>
                <w:szCs w:val="24"/>
              </w:rPr>
            </w:pPr>
            <w:r w:rsidRPr="00D34493">
              <w:rPr>
                <w:rFonts w:cs="Times New Roman"/>
                <w:szCs w:val="24"/>
              </w:rPr>
              <w:t>0</w:t>
            </w:r>
          </w:p>
        </w:tc>
        <w:tc>
          <w:tcPr>
            <w:tcW w:w="2340" w:type="dxa"/>
          </w:tcPr>
          <w:p w14:paraId="32A84B54" w14:textId="77777777" w:rsidR="0013088C" w:rsidRPr="00D34493" w:rsidRDefault="0013088C" w:rsidP="00EE01BB">
            <w:pPr>
              <w:jc w:val="center"/>
              <w:rPr>
                <w:rFonts w:cs="Times New Roman"/>
                <w:szCs w:val="24"/>
              </w:rPr>
            </w:pPr>
            <w:r w:rsidRPr="00D34493">
              <w:rPr>
                <w:rFonts w:cs="Times New Roman"/>
                <w:szCs w:val="24"/>
              </w:rPr>
              <w:t>0</w:t>
            </w:r>
          </w:p>
        </w:tc>
        <w:tc>
          <w:tcPr>
            <w:tcW w:w="367" w:type="dxa"/>
          </w:tcPr>
          <w:p w14:paraId="7D5EB306" w14:textId="77777777" w:rsidR="0013088C" w:rsidRPr="00D34493" w:rsidRDefault="0013088C" w:rsidP="00EE01BB">
            <w:pPr>
              <w:jc w:val="center"/>
              <w:rPr>
                <w:rFonts w:cs="Times New Roman"/>
                <w:szCs w:val="24"/>
              </w:rPr>
            </w:pPr>
          </w:p>
        </w:tc>
        <w:tc>
          <w:tcPr>
            <w:tcW w:w="2703" w:type="dxa"/>
          </w:tcPr>
          <w:p w14:paraId="3506E165" w14:textId="77777777" w:rsidR="0013088C" w:rsidRPr="00D34493" w:rsidRDefault="0013088C" w:rsidP="00EE01BB">
            <w:pPr>
              <w:jc w:val="center"/>
              <w:rPr>
                <w:rFonts w:cs="Times New Roman"/>
                <w:szCs w:val="24"/>
              </w:rPr>
            </w:pPr>
            <w:r w:rsidRPr="00D34493">
              <w:rPr>
                <w:rFonts w:cs="Times New Roman"/>
                <w:szCs w:val="24"/>
              </w:rPr>
              <w:t>3 (1.7%)</w:t>
            </w:r>
          </w:p>
        </w:tc>
        <w:tc>
          <w:tcPr>
            <w:tcW w:w="2707" w:type="dxa"/>
          </w:tcPr>
          <w:p w14:paraId="6401AF0A" w14:textId="77777777" w:rsidR="0013088C" w:rsidRPr="00D34493" w:rsidRDefault="0013088C" w:rsidP="00EE01BB">
            <w:pPr>
              <w:jc w:val="center"/>
              <w:rPr>
                <w:rFonts w:cs="Times New Roman"/>
                <w:szCs w:val="24"/>
              </w:rPr>
            </w:pPr>
            <w:r w:rsidRPr="00D34493">
              <w:rPr>
                <w:rFonts w:cs="Times New Roman"/>
                <w:szCs w:val="24"/>
              </w:rPr>
              <w:t>0</w:t>
            </w:r>
          </w:p>
        </w:tc>
      </w:tr>
      <w:tr w:rsidR="0013088C" w:rsidRPr="00D34493" w14:paraId="0C6CB713" w14:textId="77777777" w:rsidTr="00EE01BB">
        <w:tc>
          <w:tcPr>
            <w:tcW w:w="13325" w:type="dxa"/>
            <w:gridSpan w:val="7"/>
            <w:tcBorders>
              <w:top w:val="single" w:sz="4" w:space="0" w:color="auto"/>
            </w:tcBorders>
          </w:tcPr>
          <w:p w14:paraId="671EB7F6" w14:textId="77777777" w:rsidR="0013088C" w:rsidRPr="00D34493" w:rsidRDefault="0013088C" w:rsidP="00EE01BB">
            <w:pPr>
              <w:rPr>
                <w:rFonts w:cs="Times New Roman"/>
                <w:szCs w:val="24"/>
              </w:rPr>
            </w:pPr>
            <w:r w:rsidRPr="00D34493">
              <w:rPr>
                <w:rFonts w:cs="Times New Roman"/>
                <w:szCs w:val="24"/>
              </w:rPr>
              <w:t>Abbreviations: PPO, Patient Pathway Optimization; SD, standard deviation</w:t>
            </w:r>
          </w:p>
          <w:p w14:paraId="20843EDF" w14:textId="77777777" w:rsidR="0013088C" w:rsidRPr="00D34493" w:rsidRDefault="0013088C" w:rsidP="00EE01BB">
            <w:pPr>
              <w:rPr>
                <w:rFonts w:cs="Times New Roman"/>
                <w:szCs w:val="24"/>
              </w:rPr>
            </w:pPr>
            <w:r w:rsidRPr="00D34493">
              <w:rPr>
                <w:rFonts w:cs="Times New Roman"/>
                <w:szCs w:val="24"/>
              </w:rPr>
              <w:t>* One patient from this cohort was discharged to a spa hotel instead of a rehabilitation center</w:t>
            </w:r>
          </w:p>
        </w:tc>
      </w:tr>
    </w:tbl>
    <w:p w14:paraId="3207ECC5" w14:textId="77777777" w:rsidR="0013088C" w:rsidRDefault="0013088C" w:rsidP="0013088C">
      <w:pPr>
        <w:pStyle w:val="MtABodyText"/>
        <w:spacing w:line="480" w:lineRule="auto"/>
        <w:rPr>
          <w:rFonts w:cs="Times New Roman"/>
          <w:szCs w:val="24"/>
          <w:lang w:val="en-US"/>
        </w:rPr>
        <w:sectPr w:rsidR="0013088C" w:rsidSect="0013088C">
          <w:pgSz w:w="15840" w:h="12240" w:orient="landscape"/>
          <w:pgMar w:top="1440" w:right="1440" w:bottom="1440" w:left="1440" w:header="720" w:footer="720" w:gutter="0"/>
          <w:cols w:space="720"/>
          <w:titlePg/>
          <w:docGrid w:linePitch="360"/>
        </w:sectPr>
      </w:pPr>
    </w:p>
    <w:p w14:paraId="6C989E1B" w14:textId="55D65C39" w:rsidR="0013088C" w:rsidRPr="00E01D5B" w:rsidRDefault="0013088C" w:rsidP="0013088C">
      <w:pPr>
        <w:pStyle w:val="Heading1"/>
      </w:pPr>
      <w:bookmarkStart w:id="3" w:name="_Toc95385307"/>
      <w:r w:rsidRPr="00E01D5B">
        <w:t>SUPP</w:t>
      </w:r>
      <w:r>
        <w:t>E</w:t>
      </w:r>
      <w:r w:rsidRPr="00E01D5B">
        <w:t xml:space="preserve">LMENTARY </w:t>
      </w:r>
      <w:r>
        <w:t>FIGURES</w:t>
      </w:r>
      <w:bookmarkEnd w:id="3"/>
    </w:p>
    <w:p w14:paraId="0E6E1C2D" w14:textId="51FDAECD" w:rsidR="0013088C" w:rsidRDefault="0013088C" w:rsidP="00E01D5B">
      <w:pPr>
        <w:rPr>
          <w:rFonts w:cs="Times New Roman"/>
          <w:szCs w:val="24"/>
          <w:lang w:val="en-US"/>
        </w:rPr>
      </w:pPr>
      <w:r>
        <w:rPr>
          <w:rFonts w:cs="Times New Roman"/>
          <w:noProof/>
          <w:szCs w:val="24"/>
          <w:lang w:val="en-US"/>
        </w:rPr>
        <w:drawing>
          <wp:inline distT="0" distB="0" distL="0" distR="0" wp14:anchorId="79354245" wp14:editId="73C9F050">
            <wp:extent cx="5937250" cy="26289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2628900"/>
                    </a:xfrm>
                    <a:prstGeom prst="rect">
                      <a:avLst/>
                    </a:prstGeom>
                    <a:noFill/>
                    <a:ln>
                      <a:noFill/>
                    </a:ln>
                  </pic:spPr>
                </pic:pic>
              </a:graphicData>
            </a:graphic>
          </wp:inline>
        </w:drawing>
      </w:r>
    </w:p>
    <w:p w14:paraId="36747F1E" w14:textId="77777777" w:rsidR="0013088C" w:rsidRPr="003A4B6C" w:rsidRDefault="0013088C" w:rsidP="0013088C">
      <w:pPr>
        <w:rPr>
          <w:b/>
          <w:bCs/>
        </w:rPr>
      </w:pPr>
      <w:r w:rsidRPr="003A4B6C">
        <w:rPr>
          <w:b/>
          <w:bCs/>
        </w:rPr>
        <w:t xml:space="preserve">Supplemental Figure S1: Patient pathway optimization study flow at Cantonal Hospital </w:t>
      </w:r>
      <w:proofErr w:type="spellStart"/>
      <w:r w:rsidRPr="003A4B6C">
        <w:rPr>
          <w:b/>
          <w:bCs/>
        </w:rPr>
        <w:t>Münsterlingen</w:t>
      </w:r>
      <w:proofErr w:type="spellEnd"/>
      <w:r w:rsidRPr="003A4B6C">
        <w:rPr>
          <w:b/>
          <w:bCs/>
        </w:rPr>
        <w:t xml:space="preserve"> (Switzerland)</w:t>
      </w:r>
      <w:r>
        <w:rPr>
          <w:b/>
          <w:bCs/>
        </w:rPr>
        <w:t>.</w:t>
      </w:r>
    </w:p>
    <w:p w14:paraId="2E3D7D03" w14:textId="77777777" w:rsidR="0013088C" w:rsidRPr="00D34493" w:rsidRDefault="0013088C" w:rsidP="0013088C">
      <w:r w:rsidRPr="0018305B">
        <w:rPr>
          <w:b/>
          <w:bCs/>
        </w:rPr>
        <w:t>Abbreviations:</w:t>
      </w:r>
      <w:r w:rsidRPr="00D34493">
        <w:t xml:space="preserve"> KPI, key performance indicator</w:t>
      </w:r>
      <w:r>
        <w:t>.</w:t>
      </w:r>
    </w:p>
    <w:p w14:paraId="07F1B123" w14:textId="4686CE30" w:rsidR="0013088C" w:rsidRDefault="0013088C" w:rsidP="0013088C">
      <w:r>
        <w:rPr>
          <w:rFonts w:cs="Times New Roman"/>
          <w:noProof/>
          <w:szCs w:val="24"/>
          <w:lang w:val="en-US"/>
        </w:rPr>
        <w:lastRenderedPageBreak/>
        <w:drawing>
          <wp:inline distT="0" distB="0" distL="0" distR="0" wp14:anchorId="3CA0D118" wp14:editId="00824E67">
            <wp:extent cx="5937250" cy="4279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0" cy="4279900"/>
                    </a:xfrm>
                    <a:prstGeom prst="rect">
                      <a:avLst/>
                    </a:prstGeom>
                    <a:noFill/>
                    <a:ln>
                      <a:noFill/>
                    </a:ln>
                  </pic:spPr>
                </pic:pic>
              </a:graphicData>
            </a:graphic>
          </wp:inline>
        </w:drawing>
      </w:r>
    </w:p>
    <w:p w14:paraId="5E254568" w14:textId="77777777" w:rsidR="0013088C" w:rsidRPr="003A4B6C" w:rsidRDefault="0013088C" w:rsidP="0013088C">
      <w:pPr>
        <w:rPr>
          <w:b/>
          <w:bCs/>
        </w:rPr>
      </w:pPr>
      <w:r w:rsidRPr="003A4B6C">
        <w:rPr>
          <w:b/>
          <w:bCs/>
        </w:rPr>
        <w:t>Supplemental Figure S2: Implementation of enhanced recovery principles in the patient pathway optimization</w:t>
      </w:r>
      <w:r>
        <w:rPr>
          <w:b/>
          <w:bCs/>
        </w:rPr>
        <w:t>.</w:t>
      </w:r>
    </w:p>
    <w:p w14:paraId="56E4A1BD" w14:textId="5C8E74F8" w:rsidR="0013088C" w:rsidRDefault="0013088C" w:rsidP="0013088C">
      <w:r>
        <w:rPr>
          <w:noProof/>
        </w:rPr>
        <w:lastRenderedPageBreak/>
        <w:drawing>
          <wp:inline distT="0" distB="0" distL="0" distR="0" wp14:anchorId="05995FCE" wp14:editId="779DEDF2">
            <wp:extent cx="4919456" cy="615063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206" cy="6152823"/>
                    </a:xfrm>
                    <a:prstGeom prst="rect">
                      <a:avLst/>
                    </a:prstGeom>
                    <a:noFill/>
                    <a:ln>
                      <a:noFill/>
                    </a:ln>
                  </pic:spPr>
                </pic:pic>
              </a:graphicData>
            </a:graphic>
          </wp:inline>
        </w:drawing>
      </w:r>
    </w:p>
    <w:p w14:paraId="1C1DAC46" w14:textId="77777777" w:rsidR="0013088C" w:rsidRPr="003A4B6C" w:rsidRDefault="0013088C" w:rsidP="0013088C">
      <w:pPr>
        <w:rPr>
          <w:b/>
          <w:bCs/>
        </w:rPr>
      </w:pPr>
      <w:r w:rsidRPr="00D34493">
        <w:rPr>
          <w:b/>
        </w:rPr>
        <w:lastRenderedPageBreak/>
        <w:t xml:space="preserve">Supplemental Figure S3: </w:t>
      </w:r>
      <w:r w:rsidRPr="00D34493">
        <w:rPr>
          <w:b/>
          <w:bCs/>
        </w:rPr>
        <w:t>Plot of median length of study during the index hospitalization for patients who had (A) total knee arthroplasty and (B) total hip arthroplasty by</w:t>
      </w:r>
      <w:r w:rsidRPr="00D34493">
        <w:rPr>
          <w:b/>
        </w:rPr>
        <w:t xml:space="preserve"> Year</w:t>
      </w:r>
      <w:r>
        <w:rPr>
          <w:b/>
        </w:rPr>
        <w:t>.</w:t>
      </w:r>
    </w:p>
    <w:p w14:paraId="3966C063" w14:textId="77777777" w:rsidR="0013088C" w:rsidRPr="00D34493" w:rsidRDefault="0013088C" w:rsidP="0013088C">
      <w:r w:rsidRPr="0018305B">
        <w:rPr>
          <w:b/>
          <w:bCs/>
        </w:rPr>
        <w:t>Abbreviations:</w:t>
      </w:r>
      <w:r w:rsidRPr="00D34493">
        <w:t xml:space="preserve"> PPO, patient pathway optimization.</w:t>
      </w:r>
    </w:p>
    <w:p w14:paraId="48C5424C" w14:textId="1E69834A" w:rsidR="00E01D5B" w:rsidRPr="00D34493" w:rsidRDefault="0013088C" w:rsidP="0013088C">
      <w:pPr>
        <w:rPr>
          <w:rFonts w:eastAsiaTheme="majorEastAsia" w:cs="Times New Roman"/>
          <w:b/>
          <w:szCs w:val="24"/>
          <w:lang w:val="en-US"/>
        </w:rPr>
      </w:pPr>
      <w:r w:rsidRPr="0018305B">
        <w:rPr>
          <w:b/>
          <w:bCs/>
        </w:rPr>
        <w:t>Note:</w:t>
      </w:r>
      <w:r>
        <w:t xml:space="preserve"> Blue</w:t>
      </w:r>
      <w:r w:rsidRPr="00D34493">
        <w:t xml:space="preserve"> lines show linear trendlines </w:t>
      </w:r>
      <w:r>
        <w:t xml:space="preserve">with </w:t>
      </w:r>
      <w:proofErr w:type="spellStart"/>
      <w:r>
        <w:t>gray</w:t>
      </w:r>
      <w:proofErr w:type="spellEnd"/>
      <w:r>
        <w:t xml:space="preserve"> areas showing the standard errors</w:t>
      </w:r>
      <w:r w:rsidRPr="00D34493">
        <w:t xml:space="preserve"> for pre-PPO (2014 to 2016) and PPO (2016 to 2019) data points, respectively</w:t>
      </w:r>
      <w:r>
        <w:t>.</w:t>
      </w:r>
    </w:p>
    <w:sectPr w:rsidR="00E01D5B" w:rsidRPr="00D34493" w:rsidSect="0013088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1EA1" w14:textId="77777777" w:rsidR="00882A42" w:rsidRDefault="00882A42" w:rsidP="00E01D5B">
      <w:pPr>
        <w:spacing w:after="0" w:line="240" w:lineRule="auto"/>
      </w:pPr>
      <w:r>
        <w:separator/>
      </w:r>
    </w:p>
  </w:endnote>
  <w:endnote w:type="continuationSeparator" w:id="0">
    <w:p w14:paraId="2F4F66C4" w14:textId="77777777" w:rsidR="00882A42" w:rsidRDefault="00882A42" w:rsidP="00E0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3EC0" w14:textId="77777777" w:rsidR="00882A42" w:rsidRDefault="00882A42" w:rsidP="00E01D5B">
      <w:pPr>
        <w:spacing w:after="0" w:line="240" w:lineRule="auto"/>
      </w:pPr>
      <w:r>
        <w:separator/>
      </w:r>
    </w:p>
  </w:footnote>
  <w:footnote w:type="continuationSeparator" w:id="0">
    <w:p w14:paraId="79E199F4" w14:textId="77777777" w:rsidR="00882A42" w:rsidRDefault="00882A42" w:rsidP="00E0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509C"/>
    <w:multiLevelType w:val="multilevel"/>
    <w:tmpl w:val="9ED264D4"/>
    <w:lvl w:ilvl="0">
      <w:start w:val="1"/>
      <w:numFmt w:val="decimal"/>
      <w:lvlText w:val="%1)"/>
      <w:lvlJc w:val="left"/>
      <w:pPr>
        <w:ind w:left="567" w:hanging="283"/>
      </w:pPr>
      <w:rPr>
        <w:rFonts w:hint="default"/>
        <w:color w:val="404040" w:themeColor="text1" w:themeTint="BF"/>
      </w:rPr>
    </w:lvl>
    <w:lvl w:ilvl="1">
      <w:start w:val="1"/>
      <w:numFmt w:val="lowerLetter"/>
      <w:lvlText w:val="%2)"/>
      <w:lvlJc w:val="left"/>
      <w:pPr>
        <w:ind w:left="851" w:hanging="283"/>
      </w:pPr>
      <w:rPr>
        <w:rFonts w:hint="default"/>
        <w:color w:val="404040" w:themeColor="text1" w:themeTint="BF"/>
      </w:rPr>
    </w:lvl>
    <w:lvl w:ilvl="2">
      <w:start w:val="1"/>
      <w:numFmt w:val="lowerRoman"/>
      <w:lvlText w:val="%3)"/>
      <w:lvlJc w:val="left"/>
      <w:pPr>
        <w:ind w:left="1135" w:hanging="283"/>
      </w:pPr>
      <w:rPr>
        <w:rFonts w:hint="default"/>
        <w:color w:val="404040" w:themeColor="text1" w:themeTint="BF"/>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 w15:restartNumberingAfterBreak="0">
    <w:nsid w:val="15F63363"/>
    <w:multiLevelType w:val="multilevel"/>
    <w:tmpl w:val="6D283792"/>
    <w:styleLink w:val="MtAHeadings"/>
    <w:lvl w:ilvl="0">
      <w:start w:val="1"/>
      <w:numFmt w:val="decimal"/>
      <w:pStyle w:val="MtAHeading1"/>
      <w:lvlText w:val="%1.0"/>
      <w:lvlJc w:val="left"/>
      <w:pPr>
        <w:ind w:left="851" w:hanging="851"/>
      </w:pPr>
      <w:rPr>
        <w:rFonts w:hint="default"/>
      </w:rPr>
    </w:lvl>
    <w:lvl w:ilvl="1">
      <w:start w:val="1"/>
      <w:numFmt w:val="decimal"/>
      <w:pStyle w:val="MtAHeading2"/>
      <w:lvlText w:val="%1.%2"/>
      <w:lvlJc w:val="left"/>
      <w:pPr>
        <w:ind w:left="851" w:hanging="851"/>
      </w:pPr>
      <w:rPr>
        <w:rFonts w:hint="default"/>
      </w:rPr>
    </w:lvl>
    <w:lvl w:ilvl="2">
      <w:start w:val="1"/>
      <w:numFmt w:val="decimal"/>
      <w:pStyle w:val="MtAHeading3"/>
      <w:lvlText w:val="%1.%2.%3"/>
      <w:lvlJc w:val="left"/>
      <w:pPr>
        <w:ind w:left="851" w:hanging="851"/>
      </w:pPr>
      <w:rPr>
        <w:rFonts w:hint="default"/>
      </w:rPr>
    </w:lvl>
    <w:lvl w:ilvl="3">
      <w:start w:val="1"/>
      <w:numFmt w:val="decimal"/>
      <w:pStyle w:val="MtAHeading4"/>
      <w:lvlText w:val="%1.%2.%3.%4"/>
      <w:lvlJc w:val="left"/>
      <w:pPr>
        <w:ind w:left="851" w:hanging="851"/>
      </w:pPr>
      <w:rPr>
        <w:rFonts w:hint="default"/>
      </w:rPr>
    </w:lvl>
    <w:lvl w:ilvl="4">
      <w:start w:val="1"/>
      <w:numFmt w:val="decimal"/>
      <w:pStyle w:val="MtAHeading5"/>
      <w:lvlText w:val="%1.%2.%3.%4.%5"/>
      <w:lvlJc w:val="left"/>
      <w:pPr>
        <w:ind w:left="1134" w:hanging="1134"/>
      </w:pPr>
      <w:rPr>
        <w:rFonts w:hint="default"/>
      </w:rPr>
    </w:lvl>
    <w:lvl w:ilvl="5">
      <w:numFmt w:val="none"/>
      <w:pStyle w:val="MtAHeading6"/>
      <w:lvlText w:val="%6"/>
      <w:lvlJc w:val="left"/>
      <w:pPr>
        <w:ind w:left="0" w:firstLine="0"/>
      </w:pPr>
      <w:rPr>
        <w:rFonts w:hint="default"/>
      </w:rPr>
    </w:lvl>
    <w:lvl w:ilvl="6">
      <w:numFmt w:val="decimal"/>
      <w:lvlText w:val=""/>
      <w:lvlJc w:val="left"/>
      <w:pPr>
        <w:ind w:left="567" w:hanging="567"/>
      </w:pPr>
      <w:rPr>
        <w:rFonts w:hint="default"/>
      </w:rPr>
    </w:lvl>
    <w:lvl w:ilvl="7">
      <w:numFmt w:val="decimal"/>
      <w:lvlText w:val=""/>
      <w:lvlJc w:val="left"/>
      <w:pPr>
        <w:ind w:left="567" w:hanging="567"/>
      </w:pPr>
      <w:rPr>
        <w:rFonts w:hint="default"/>
      </w:rPr>
    </w:lvl>
    <w:lvl w:ilvl="8">
      <w:numFmt w:val="decimal"/>
      <w:lvlText w:val=""/>
      <w:lvlJc w:val="left"/>
      <w:pPr>
        <w:ind w:left="567" w:hanging="567"/>
      </w:pPr>
      <w:rPr>
        <w:rFonts w:hint="default"/>
      </w:rPr>
    </w:lvl>
  </w:abstractNum>
  <w:abstractNum w:abstractNumId="2" w15:restartNumberingAfterBreak="0">
    <w:nsid w:val="172B052E"/>
    <w:multiLevelType w:val="multilevel"/>
    <w:tmpl w:val="1376D854"/>
    <w:lvl w:ilvl="0">
      <w:start w:val="1"/>
      <w:numFmt w:val="bullet"/>
      <w:lvlText w:val=""/>
      <w:lvlJc w:val="left"/>
      <w:pPr>
        <w:ind w:left="567" w:hanging="283"/>
      </w:pPr>
      <w:rPr>
        <w:rFonts w:ascii="Symbol" w:hAnsi="Symbol" w:hint="default"/>
        <w:color w:val="404040" w:themeColor="text1" w:themeTint="BF"/>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none"/>
      <w:lvlText w:val=""/>
      <w:lvlJc w:val="left"/>
      <w:pPr>
        <w:ind w:left="1987" w:hanging="283"/>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3" w15:restartNumberingAfterBreak="0">
    <w:nsid w:val="25A91103"/>
    <w:multiLevelType w:val="hybridMultilevel"/>
    <w:tmpl w:val="C8309512"/>
    <w:lvl w:ilvl="0" w:tplc="0809001B">
      <w:start w:val="1"/>
      <w:numFmt w:val="low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4" w15:restartNumberingAfterBreak="0">
    <w:nsid w:val="29060044"/>
    <w:multiLevelType w:val="multilevel"/>
    <w:tmpl w:val="0D6C23EA"/>
    <w:lvl w:ilvl="0">
      <w:start w:val="1"/>
      <w:numFmt w:val="decimal"/>
      <w:lvlText w:val="%1.0"/>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numFmt w:val="none"/>
      <w:lvlText w:val="%6"/>
      <w:lvlJc w:val="left"/>
      <w:pPr>
        <w:ind w:left="0" w:firstLine="0"/>
      </w:pPr>
      <w:rPr>
        <w:rFonts w:hint="default"/>
      </w:rPr>
    </w:lvl>
    <w:lvl w:ilvl="6">
      <w:numFmt w:val="decimal"/>
      <w:lvlText w:val=""/>
      <w:lvlJc w:val="left"/>
      <w:pPr>
        <w:ind w:left="567" w:hanging="567"/>
      </w:pPr>
      <w:rPr>
        <w:rFonts w:hint="default"/>
      </w:rPr>
    </w:lvl>
    <w:lvl w:ilvl="7">
      <w:numFmt w:val="decimal"/>
      <w:lvlText w:val=""/>
      <w:lvlJc w:val="left"/>
      <w:pPr>
        <w:ind w:left="567" w:hanging="567"/>
      </w:pPr>
      <w:rPr>
        <w:rFonts w:hint="default"/>
      </w:rPr>
    </w:lvl>
    <w:lvl w:ilvl="8">
      <w:numFmt w:val="decimal"/>
      <w:lvlText w:val=""/>
      <w:lvlJc w:val="left"/>
      <w:pPr>
        <w:ind w:left="567" w:hanging="567"/>
      </w:pPr>
      <w:rPr>
        <w:rFonts w:hint="default"/>
      </w:rPr>
    </w:lvl>
  </w:abstractNum>
  <w:abstractNum w:abstractNumId="5" w15:restartNumberingAfterBreak="0">
    <w:nsid w:val="2AFA63ED"/>
    <w:multiLevelType w:val="hybridMultilevel"/>
    <w:tmpl w:val="9BC6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07195"/>
    <w:multiLevelType w:val="multilevel"/>
    <w:tmpl w:val="F2F65DEC"/>
    <w:styleLink w:val="MtAListNumbers"/>
    <w:lvl w:ilvl="0">
      <w:start w:val="1"/>
      <w:numFmt w:val="decimal"/>
      <w:pStyle w:val="MtAListNumber1"/>
      <w:lvlText w:val="%1)"/>
      <w:lvlJc w:val="left"/>
      <w:pPr>
        <w:ind w:left="567" w:hanging="283"/>
      </w:pPr>
      <w:rPr>
        <w:rFonts w:hint="default"/>
        <w:color w:val="404040" w:themeColor="text1" w:themeTint="BF"/>
      </w:rPr>
    </w:lvl>
    <w:lvl w:ilvl="1">
      <w:start w:val="1"/>
      <w:numFmt w:val="lowerLetter"/>
      <w:pStyle w:val="MtAListNumber2"/>
      <w:lvlText w:val="%2)"/>
      <w:lvlJc w:val="left"/>
      <w:pPr>
        <w:ind w:left="851" w:hanging="283"/>
      </w:pPr>
      <w:rPr>
        <w:rFonts w:hint="default"/>
        <w:color w:val="404040" w:themeColor="text1" w:themeTint="BF"/>
      </w:rPr>
    </w:lvl>
    <w:lvl w:ilvl="2">
      <w:start w:val="1"/>
      <w:numFmt w:val="lowerRoman"/>
      <w:pStyle w:val="MtAListNumber3"/>
      <w:lvlText w:val="%3)"/>
      <w:lvlJc w:val="left"/>
      <w:pPr>
        <w:ind w:left="1135" w:hanging="283"/>
      </w:pPr>
      <w:rPr>
        <w:rFonts w:hint="default"/>
        <w:color w:val="404040" w:themeColor="text1" w:themeTint="BF"/>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7" w15:restartNumberingAfterBreak="0">
    <w:nsid w:val="551F6073"/>
    <w:multiLevelType w:val="multilevel"/>
    <w:tmpl w:val="94400310"/>
    <w:styleLink w:val="MtAListBullets"/>
    <w:lvl w:ilvl="0">
      <w:start w:val="1"/>
      <w:numFmt w:val="bullet"/>
      <w:pStyle w:val="MtAListBullet1"/>
      <w:lvlText w:val=""/>
      <w:lvlJc w:val="left"/>
      <w:pPr>
        <w:ind w:left="567" w:hanging="283"/>
      </w:pPr>
      <w:rPr>
        <w:rFonts w:ascii="Symbol" w:hAnsi="Symbol" w:hint="default"/>
        <w:color w:val="404040" w:themeColor="text1" w:themeTint="BF"/>
      </w:rPr>
    </w:lvl>
    <w:lvl w:ilvl="1">
      <w:start w:val="1"/>
      <w:numFmt w:val="bullet"/>
      <w:pStyle w:val="MtAListBullet2"/>
      <w:lvlText w:val="o"/>
      <w:lvlJc w:val="left"/>
      <w:pPr>
        <w:ind w:left="851" w:hanging="283"/>
      </w:pPr>
      <w:rPr>
        <w:rFonts w:ascii="Courier New" w:hAnsi="Courier New" w:hint="default"/>
      </w:rPr>
    </w:lvl>
    <w:lvl w:ilvl="2">
      <w:start w:val="1"/>
      <w:numFmt w:val="bullet"/>
      <w:pStyle w:val="MtAListBullet3"/>
      <w:lvlText w:val=""/>
      <w:lvlJc w:val="left"/>
      <w:pPr>
        <w:ind w:left="1135" w:hanging="283"/>
      </w:pPr>
      <w:rPr>
        <w:rFonts w:ascii="Wingdings" w:hAnsi="Wingdings" w:hint="default"/>
      </w:rPr>
    </w:lvl>
    <w:lvl w:ilvl="3">
      <w:start w:val="1"/>
      <w:numFmt w:val="bullet"/>
      <w:pStyle w:val="MtAListBullet4"/>
      <w:lvlText w:val=""/>
      <w:lvlJc w:val="left"/>
      <w:pPr>
        <w:ind w:left="1419" w:hanging="283"/>
      </w:pPr>
      <w:rPr>
        <w:rFonts w:ascii="Symbol" w:hAnsi="Symbol" w:hint="default"/>
      </w:rPr>
    </w:lvl>
    <w:lvl w:ilvl="4">
      <w:start w:val="1"/>
      <w:numFmt w:val="bullet"/>
      <w:pStyle w:val="MtAListBullet5"/>
      <w:lvlText w:val="o"/>
      <w:lvlJc w:val="left"/>
      <w:pPr>
        <w:ind w:left="1703" w:hanging="283"/>
      </w:pPr>
      <w:rPr>
        <w:rFonts w:ascii="Courier New" w:hAnsi="Courier New" w:hint="default"/>
      </w:rPr>
    </w:lvl>
    <w:lvl w:ilvl="5">
      <w:start w:val="1"/>
      <w:numFmt w:val="none"/>
      <w:lvlText w:val=""/>
      <w:lvlJc w:val="left"/>
      <w:pPr>
        <w:ind w:left="1987" w:hanging="283"/>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1"/>
  </w:num>
  <w:num w:numId="8">
    <w:abstractNumId w:val="2"/>
  </w:num>
  <w:num w:numId="9">
    <w:abstractNumId w:val="2"/>
  </w:num>
  <w:num w:numId="10">
    <w:abstractNumId w:val="2"/>
  </w:num>
  <w:num w:numId="11">
    <w:abstractNumId w:val="2"/>
  </w:num>
  <w:num w:numId="12">
    <w:abstractNumId w:val="2"/>
  </w:num>
  <w:num w:numId="13">
    <w:abstractNumId w:val="7"/>
  </w:num>
  <w:num w:numId="14">
    <w:abstractNumId w:val="0"/>
  </w:num>
  <w:num w:numId="15">
    <w:abstractNumId w:val="0"/>
  </w:num>
  <w:num w:numId="16">
    <w:abstractNumId w:val="0"/>
  </w:num>
  <w:num w:numId="17">
    <w:abstractNumId w:val="6"/>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AF"/>
    <w:rsid w:val="0013088C"/>
    <w:rsid w:val="0024497C"/>
    <w:rsid w:val="002D19F1"/>
    <w:rsid w:val="0032336A"/>
    <w:rsid w:val="006C1487"/>
    <w:rsid w:val="00851232"/>
    <w:rsid w:val="0087242D"/>
    <w:rsid w:val="00882A42"/>
    <w:rsid w:val="00903515"/>
    <w:rsid w:val="00B642DA"/>
    <w:rsid w:val="00BD393B"/>
    <w:rsid w:val="00BF7AAF"/>
    <w:rsid w:val="00D03968"/>
    <w:rsid w:val="00DC1E6F"/>
    <w:rsid w:val="00E01D5B"/>
    <w:rsid w:val="00E81B6B"/>
    <w:rsid w:val="00F95F10"/>
    <w:rsid w:val="00FC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CBB4"/>
  <w15:chartTrackingRefBased/>
  <w15:docId w15:val="{B3F43DD1-0377-4361-B0FC-DF49A03F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AF"/>
    <w:pPr>
      <w:spacing w:line="480" w:lineRule="auto"/>
    </w:pPr>
    <w:rPr>
      <w:rFonts w:ascii="Times New Roman" w:hAnsi="Times New Roman"/>
      <w:sz w:val="24"/>
    </w:rPr>
  </w:style>
  <w:style w:type="paragraph" w:styleId="Heading1">
    <w:name w:val="heading 1"/>
    <w:basedOn w:val="MtABodyText"/>
    <w:next w:val="Normal"/>
    <w:link w:val="Heading1Char"/>
    <w:uiPriority w:val="9"/>
    <w:qFormat/>
    <w:rsid w:val="0013088C"/>
    <w:pPr>
      <w:spacing w:line="480" w:lineRule="auto"/>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BD39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39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D39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393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D393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ABodyText">
    <w:name w:val="MtA Body Text"/>
    <w:link w:val="MtABodyTextChar"/>
    <w:qFormat/>
    <w:rsid w:val="00BD393B"/>
    <w:pPr>
      <w:spacing w:before="180" w:after="0" w:line="276" w:lineRule="auto"/>
    </w:pPr>
    <w:rPr>
      <w:rFonts w:cs="Calibri"/>
      <w:color w:val="404040" w:themeColor="text1" w:themeTint="BF"/>
    </w:rPr>
  </w:style>
  <w:style w:type="character" w:customStyle="1" w:styleId="MtABodyTextChar">
    <w:name w:val="MtA Body Text Char"/>
    <w:basedOn w:val="DefaultParagraphFont"/>
    <w:link w:val="MtABodyText"/>
    <w:rsid w:val="00BD393B"/>
    <w:rPr>
      <w:rFonts w:cs="Calibri"/>
      <w:color w:val="404040" w:themeColor="text1" w:themeTint="BF"/>
    </w:rPr>
  </w:style>
  <w:style w:type="paragraph" w:customStyle="1" w:styleId="MtACoverMainHeading">
    <w:name w:val="MtA Cover Main Heading"/>
    <w:basedOn w:val="Normal"/>
    <w:next w:val="Normal"/>
    <w:link w:val="MtACoverMainHeadingChar"/>
    <w:uiPriority w:val="2"/>
    <w:qFormat/>
    <w:rsid w:val="00BD393B"/>
    <w:pPr>
      <w:spacing w:after="240" w:line="276" w:lineRule="auto"/>
      <w:ind w:firstLine="720"/>
      <w:jc w:val="right"/>
    </w:pPr>
    <w:rPr>
      <w:rFonts w:asciiTheme="majorHAnsi" w:hAnsiTheme="majorHAnsi"/>
      <w:b/>
      <w:caps/>
      <w:color w:val="FFFFFF" w:themeColor="background1"/>
      <w:sz w:val="48"/>
    </w:rPr>
  </w:style>
  <w:style w:type="character" w:customStyle="1" w:styleId="MtACoverMainHeadingChar">
    <w:name w:val="MtA Cover Main Heading Char"/>
    <w:basedOn w:val="DefaultParagraphFont"/>
    <w:link w:val="MtACoverMainHeading"/>
    <w:uiPriority w:val="2"/>
    <w:rsid w:val="00BD393B"/>
    <w:rPr>
      <w:rFonts w:asciiTheme="majorHAnsi" w:hAnsiTheme="majorHAnsi"/>
      <w:b/>
      <w:caps/>
      <w:color w:val="FFFFFF" w:themeColor="background1"/>
      <w:sz w:val="48"/>
    </w:rPr>
  </w:style>
  <w:style w:type="paragraph" w:customStyle="1" w:styleId="MtACoverSubHeading">
    <w:name w:val="MtA Cover Sub Heading"/>
    <w:basedOn w:val="Normal"/>
    <w:link w:val="MtACoverSubHeadingChar"/>
    <w:uiPriority w:val="2"/>
    <w:qFormat/>
    <w:rsid w:val="00BD393B"/>
    <w:pPr>
      <w:spacing w:after="180" w:line="276" w:lineRule="auto"/>
      <w:jc w:val="right"/>
    </w:pPr>
    <w:rPr>
      <w:rFonts w:asciiTheme="majorHAnsi" w:hAnsiTheme="majorHAnsi"/>
      <w:b/>
      <w:color w:val="FFFFFF" w:themeColor="background1"/>
      <w:sz w:val="40"/>
    </w:rPr>
  </w:style>
  <w:style w:type="character" w:customStyle="1" w:styleId="MtACoverSubHeadingChar">
    <w:name w:val="MtA Cover Sub Heading Char"/>
    <w:basedOn w:val="DefaultParagraphFont"/>
    <w:link w:val="MtACoverSubHeading"/>
    <w:uiPriority w:val="2"/>
    <w:rsid w:val="00BD393B"/>
    <w:rPr>
      <w:rFonts w:asciiTheme="majorHAnsi" w:hAnsiTheme="majorHAnsi"/>
      <w:b/>
      <w:color w:val="FFFFFF" w:themeColor="background1"/>
      <w:sz w:val="40"/>
    </w:rPr>
  </w:style>
  <w:style w:type="paragraph" w:customStyle="1" w:styleId="MtAHeading1">
    <w:name w:val="MtA Heading 1"/>
    <w:basedOn w:val="Heading1"/>
    <w:next w:val="MtABodyText"/>
    <w:link w:val="MtAHeading1Char"/>
    <w:qFormat/>
    <w:rsid w:val="00BD393B"/>
    <w:pPr>
      <w:numPr>
        <w:numId w:val="7"/>
      </w:numPr>
      <w:spacing w:after="120" w:line="276" w:lineRule="auto"/>
    </w:pPr>
    <w:rPr>
      <w:b w:val="0"/>
      <w:bCs w:val="0"/>
      <w:caps/>
      <w:color w:val="44546A" w:themeColor="text2"/>
      <w:szCs w:val="28"/>
    </w:rPr>
  </w:style>
  <w:style w:type="character" w:customStyle="1" w:styleId="MtAHeading1Char">
    <w:name w:val="MtA Heading 1 Char"/>
    <w:basedOn w:val="Heading1Char"/>
    <w:link w:val="MtAHeading1"/>
    <w:rsid w:val="00BD393B"/>
    <w:rPr>
      <w:rFonts w:asciiTheme="majorHAnsi" w:eastAsiaTheme="majorEastAsia" w:hAnsiTheme="majorHAnsi" w:cstheme="majorBidi"/>
      <w:b w:val="0"/>
      <w:bCs w:val="0"/>
      <w:caps/>
      <w:color w:val="44546A" w:themeColor="text2"/>
      <w:sz w:val="32"/>
      <w:szCs w:val="28"/>
    </w:rPr>
  </w:style>
  <w:style w:type="character" w:customStyle="1" w:styleId="Heading1Char">
    <w:name w:val="Heading 1 Char"/>
    <w:basedOn w:val="DefaultParagraphFont"/>
    <w:link w:val="Heading1"/>
    <w:uiPriority w:val="9"/>
    <w:rsid w:val="0013088C"/>
    <w:rPr>
      <w:rFonts w:ascii="Times New Roman" w:hAnsi="Times New Roman" w:cs="Times New Roman"/>
      <w:b/>
      <w:bCs/>
      <w:color w:val="404040" w:themeColor="text1" w:themeTint="BF"/>
      <w:sz w:val="24"/>
      <w:szCs w:val="24"/>
    </w:rPr>
  </w:style>
  <w:style w:type="paragraph" w:customStyle="1" w:styleId="MtAHeading2">
    <w:name w:val="MtA Heading 2"/>
    <w:basedOn w:val="Heading2"/>
    <w:next w:val="MtABodyText"/>
    <w:link w:val="MtAHeading2Char"/>
    <w:qFormat/>
    <w:rsid w:val="00BD393B"/>
    <w:pPr>
      <w:numPr>
        <w:ilvl w:val="1"/>
        <w:numId w:val="7"/>
      </w:numPr>
      <w:spacing w:before="240" w:after="120" w:line="276" w:lineRule="auto"/>
    </w:pPr>
    <w:rPr>
      <w:b/>
      <w:bCs/>
      <w:color w:val="404040" w:themeColor="text1" w:themeTint="BF"/>
      <w:sz w:val="28"/>
      <w:lang w:val="en-US"/>
    </w:rPr>
  </w:style>
  <w:style w:type="character" w:customStyle="1" w:styleId="MtAHeading2Char">
    <w:name w:val="MtA Heading 2 Char"/>
    <w:basedOn w:val="Heading2Char"/>
    <w:link w:val="MtAHeading2"/>
    <w:rsid w:val="00BD393B"/>
    <w:rPr>
      <w:rFonts w:asciiTheme="majorHAnsi" w:eastAsiaTheme="majorEastAsia" w:hAnsiTheme="majorHAnsi" w:cstheme="majorBidi"/>
      <w:b/>
      <w:bCs/>
      <w:color w:val="404040" w:themeColor="text1" w:themeTint="BF"/>
      <w:sz w:val="28"/>
      <w:szCs w:val="26"/>
      <w:lang w:val="en-US"/>
    </w:rPr>
  </w:style>
  <w:style w:type="character" w:customStyle="1" w:styleId="Heading2Char">
    <w:name w:val="Heading 2 Char"/>
    <w:basedOn w:val="DefaultParagraphFont"/>
    <w:link w:val="Heading2"/>
    <w:uiPriority w:val="9"/>
    <w:rsid w:val="00BD393B"/>
    <w:rPr>
      <w:rFonts w:asciiTheme="majorHAnsi" w:eastAsiaTheme="majorEastAsia" w:hAnsiTheme="majorHAnsi" w:cstheme="majorBidi"/>
      <w:color w:val="2F5496" w:themeColor="accent1" w:themeShade="BF"/>
      <w:sz w:val="26"/>
      <w:szCs w:val="26"/>
    </w:rPr>
  </w:style>
  <w:style w:type="paragraph" w:customStyle="1" w:styleId="MtAHeading3">
    <w:name w:val="MtA Heading 3"/>
    <w:basedOn w:val="Heading3"/>
    <w:next w:val="MtABodyText"/>
    <w:link w:val="MtAHeading3Char"/>
    <w:qFormat/>
    <w:rsid w:val="00BD393B"/>
    <w:pPr>
      <w:numPr>
        <w:ilvl w:val="2"/>
        <w:numId w:val="7"/>
      </w:numPr>
      <w:spacing w:before="240" w:after="120" w:line="276" w:lineRule="auto"/>
    </w:pPr>
    <w:rPr>
      <w:b/>
      <w:bCs/>
      <w:color w:val="404040" w:themeColor="text1" w:themeTint="BF"/>
    </w:rPr>
  </w:style>
  <w:style w:type="character" w:customStyle="1" w:styleId="MtAHeading3Char">
    <w:name w:val="MtA Heading 3 Char"/>
    <w:basedOn w:val="Heading3Char"/>
    <w:link w:val="MtAHeading3"/>
    <w:rsid w:val="00BD393B"/>
    <w:rPr>
      <w:rFonts w:asciiTheme="majorHAnsi" w:eastAsiaTheme="majorEastAsia" w:hAnsiTheme="majorHAnsi" w:cstheme="majorBidi"/>
      <w:b/>
      <w:bCs/>
      <w:color w:val="404040" w:themeColor="text1" w:themeTint="BF"/>
      <w:sz w:val="24"/>
      <w:szCs w:val="24"/>
    </w:rPr>
  </w:style>
  <w:style w:type="character" w:customStyle="1" w:styleId="Heading3Char">
    <w:name w:val="Heading 3 Char"/>
    <w:basedOn w:val="DefaultParagraphFont"/>
    <w:link w:val="Heading3"/>
    <w:uiPriority w:val="9"/>
    <w:semiHidden/>
    <w:rsid w:val="00BD393B"/>
    <w:rPr>
      <w:rFonts w:asciiTheme="majorHAnsi" w:eastAsiaTheme="majorEastAsia" w:hAnsiTheme="majorHAnsi" w:cstheme="majorBidi"/>
      <w:color w:val="1F3763" w:themeColor="accent1" w:themeShade="7F"/>
      <w:sz w:val="24"/>
      <w:szCs w:val="24"/>
    </w:rPr>
  </w:style>
  <w:style w:type="paragraph" w:customStyle="1" w:styleId="MtAHeading4">
    <w:name w:val="MtA Heading 4"/>
    <w:basedOn w:val="Heading4"/>
    <w:next w:val="MtABodyText"/>
    <w:link w:val="MtAHeading4Char"/>
    <w:qFormat/>
    <w:rsid w:val="00BD393B"/>
    <w:pPr>
      <w:numPr>
        <w:ilvl w:val="3"/>
        <w:numId w:val="7"/>
      </w:numPr>
      <w:spacing w:before="240" w:after="120" w:line="276" w:lineRule="auto"/>
    </w:pPr>
    <w:rPr>
      <w:b/>
      <w:bCs/>
      <w:i w:val="0"/>
      <w:color w:val="404040" w:themeColor="text1" w:themeTint="BF"/>
    </w:rPr>
  </w:style>
  <w:style w:type="character" w:customStyle="1" w:styleId="MtAHeading4Char">
    <w:name w:val="MtA Heading 4 Char"/>
    <w:basedOn w:val="Heading4Char"/>
    <w:link w:val="MtAHeading4"/>
    <w:rsid w:val="00BD393B"/>
    <w:rPr>
      <w:rFonts w:asciiTheme="majorHAnsi" w:eastAsiaTheme="majorEastAsia" w:hAnsiTheme="majorHAnsi" w:cstheme="majorBidi"/>
      <w:b/>
      <w:bCs/>
      <w:i w:val="0"/>
      <w:iCs/>
      <w:color w:val="404040" w:themeColor="text1" w:themeTint="BF"/>
    </w:rPr>
  </w:style>
  <w:style w:type="character" w:customStyle="1" w:styleId="Heading4Char">
    <w:name w:val="Heading 4 Char"/>
    <w:basedOn w:val="DefaultParagraphFont"/>
    <w:link w:val="Heading4"/>
    <w:uiPriority w:val="9"/>
    <w:semiHidden/>
    <w:rsid w:val="00BD393B"/>
    <w:rPr>
      <w:rFonts w:asciiTheme="majorHAnsi" w:eastAsiaTheme="majorEastAsia" w:hAnsiTheme="majorHAnsi" w:cstheme="majorBidi"/>
      <w:i/>
      <w:iCs/>
      <w:color w:val="2F5496" w:themeColor="accent1" w:themeShade="BF"/>
    </w:rPr>
  </w:style>
  <w:style w:type="paragraph" w:customStyle="1" w:styleId="MtAHeading5">
    <w:name w:val="MtA Heading 5"/>
    <w:basedOn w:val="Heading5"/>
    <w:next w:val="MtABodyText"/>
    <w:link w:val="MtAHeading5Char"/>
    <w:qFormat/>
    <w:rsid w:val="00BD393B"/>
    <w:pPr>
      <w:numPr>
        <w:ilvl w:val="4"/>
        <w:numId w:val="7"/>
      </w:numPr>
      <w:spacing w:before="240" w:after="120" w:line="276" w:lineRule="auto"/>
    </w:pPr>
    <w:rPr>
      <w:b/>
      <w:color w:val="404040" w:themeColor="text1" w:themeTint="BF"/>
    </w:rPr>
  </w:style>
  <w:style w:type="character" w:customStyle="1" w:styleId="MtAHeading5Char">
    <w:name w:val="MtA Heading 5 Char"/>
    <w:basedOn w:val="Heading5Char"/>
    <w:link w:val="MtAHeading5"/>
    <w:rsid w:val="00BD393B"/>
    <w:rPr>
      <w:rFonts w:asciiTheme="majorHAnsi" w:eastAsiaTheme="majorEastAsia" w:hAnsiTheme="majorHAnsi" w:cstheme="majorBidi"/>
      <w:b/>
      <w:color w:val="404040" w:themeColor="text1" w:themeTint="BF"/>
    </w:rPr>
  </w:style>
  <w:style w:type="character" w:customStyle="1" w:styleId="Heading5Char">
    <w:name w:val="Heading 5 Char"/>
    <w:basedOn w:val="DefaultParagraphFont"/>
    <w:link w:val="Heading5"/>
    <w:uiPriority w:val="9"/>
    <w:semiHidden/>
    <w:rsid w:val="00BD393B"/>
    <w:rPr>
      <w:rFonts w:asciiTheme="majorHAnsi" w:eastAsiaTheme="majorEastAsia" w:hAnsiTheme="majorHAnsi" w:cstheme="majorBidi"/>
      <w:color w:val="2F5496" w:themeColor="accent1" w:themeShade="BF"/>
    </w:rPr>
  </w:style>
  <w:style w:type="paragraph" w:customStyle="1" w:styleId="MtAHeading6">
    <w:name w:val="MtA Heading 6"/>
    <w:basedOn w:val="Heading6"/>
    <w:next w:val="MtABodyText"/>
    <w:link w:val="MtAHeading6Char"/>
    <w:qFormat/>
    <w:rsid w:val="00BD393B"/>
    <w:pPr>
      <w:numPr>
        <w:ilvl w:val="5"/>
        <w:numId w:val="7"/>
      </w:numPr>
      <w:spacing w:before="240" w:after="120" w:line="276" w:lineRule="auto"/>
    </w:pPr>
    <w:rPr>
      <w:b/>
      <w:i/>
      <w:color w:val="404040" w:themeColor="text1" w:themeTint="BF"/>
    </w:rPr>
  </w:style>
  <w:style w:type="character" w:customStyle="1" w:styleId="MtAHeading6Char">
    <w:name w:val="MtA Heading 6 Char"/>
    <w:basedOn w:val="Heading6Char"/>
    <w:link w:val="MtAHeading6"/>
    <w:rsid w:val="00BD393B"/>
    <w:rPr>
      <w:rFonts w:asciiTheme="majorHAnsi" w:eastAsiaTheme="majorEastAsia" w:hAnsiTheme="majorHAnsi" w:cstheme="majorBidi"/>
      <w:b/>
      <w:i/>
      <w:color w:val="404040" w:themeColor="text1" w:themeTint="BF"/>
    </w:rPr>
  </w:style>
  <w:style w:type="character" w:customStyle="1" w:styleId="Heading6Char">
    <w:name w:val="Heading 6 Char"/>
    <w:basedOn w:val="DefaultParagraphFont"/>
    <w:link w:val="Heading6"/>
    <w:uiPriority w:val="9"/>
    <w:semiHidden/>
    <w:rsid w:val="00BD393B"/>
    <w:rPr>
      <w:rFonts w:asciiTheme="majorHAnsi" w:eastAsiaTheme="majorEastAsia" w:hAnsiTheme="majorHAnsi" w:cstheme="majorBidi"/>
      <w:color w:val="1F3763" w:themeColor="accent1" w:themeShade="7F"/>
    </w:rPr>
  </w:style>
  <w:style w:type="numbering" w:customStyle="1" w:styleId="MtAHeadings">
    <w:name w:val="MtA Headings"/>
    <w:next w:val="NoList"/>
    <w:uiPriority w:val="99"/>
    <w:rsid w:val="00BD393B"/>
    <w:pPr>
      <w:numPr>
        <w:numId w:val="7"/>
      </w:numPr>
    </w:pPr>
  </w:style>
  <w:style w:type="paragraph" w:customStyle="1" w:styleId="MtAInsideCoverHeader">
    <w:name w:val="MtA Inside Cover Header"/>
    <w:basedOn w:val="Normal"/>
    <w:link w:val="MtAInsideCoverHeaderChar"/>
    <w:uiPriority w:val="2"/>
    <w:qFormat/>
    <w:rsid w:val="00BD393B"/>
    <w:pPr>
      <w:spacing w:after="240" w:line="276" w:lineRule="auto"/>
    </w:pPr>
    <w:rPr>
      <w:rFonts w:asciiTheme="majorHAnsi" w:hAnsiTheme="majorHAnsi"/>
      <w:b/>
      <w:caps/>
      <w:noProof/>
      <w:color w:val="FFFFFF" w:themeColor="background1"/>
      <w:sz w:val="32"/>
    </w:rPr>
  </w:style>
  <w:style w:type="character" w:customStyle="1" w:styleId="MtAInsideCoverHeaderChar">
    <w:name w:val="MtA Inside Cover Header Char"/>
    <w:basedOn w:val="DefaultParagraphFont"/>
    <w:link w:val="MtAInsideCoverHeader"/>
    <w:uiPriority w:val="2"/>
    <w:rsid w:val="00BD393B"/>
    <w:rPr>
      <w:rFonts w:asciiTheme="majorHAnsi" w:hAnsiTheme="majorHAnsi"/>
      <w:b/>
      <w:caps/>
      <w:noProof/>
      <w:color w:val="FFFFFF" w:themeColor="background1"/>
      <w:sz w:val="32"/>
    </w:rPr>
  </w:style>
  <w:style w:type="paragraph" w:customStyle="1" w:styleId="MtAInsideCoverInfo">
    <w:name w:val="MtA Inside Cover Info"/>
    <w:basedOn w:val="Normal"/>
    <w:link w:val="MtAInsideCoverInfoChar"/>
    <w:uiPriority w:val="2"/>
    <w:qFormat/>
    <w:rsid w:val="00BD393B"/>
    <w:pPr>
      <w:spacing w:before="60" w:after="60" w:line="276" w:lineRule="auto"/>
    </w:pPr>
    <w:rPr>
      <w:color w:val="FFFFFF" w:themeColor="background1"/>
    </w:rPr>
  </w:style>
  <w:style w:type="character" w:customStyle="1" w:styleId="MtAInsideCoverInfoChar">
    <w:name w:val="MtA Inside Cover Info Char"/>
    <w:basedOn w:val="DefaultParagraphFont"/>
    <w:link w:val="MtAInsideCoverInfo"/>
    <w:uiPriority w:val="2"/>
    <w:rsid w:val="00BD393B"/>
    <w:rPr>
      <w:color w:val="FFFFFF" w:themeColor="background1"/>
      <w:sz w:val="24"/>
    </w:rPr>
  </w:style>
  <w:style w:type="paragraph" w:customStyle="1" w:styleId="MtAInsideCoverLabel">
    <w:name w:val="MtA Inside Cover Label"/>
    <w:basedOn w:val="Normal"/>
    <w:link w:val="MtAInsideCoverLabelChar"/>
    <w:uiPriority w:val="2"/>
    <w:qFormat/>
    <w:rsid w:val="00BD393B"/>
    <w:pPr>
      <w:spacing w:before="60" w:after="60" w:line="276" w:lineRule="auto"/>
    </w:pPr>
    <w:rPr>
      <w:b/>
      <w:color w:val="FFFFFF" w:themeColor="background1"/>
    </w:rPr>
  </w:style>
  <w:style w:type="character" w:customStyle="1" w:styleId="MtAInsideCoverLabelChar">
    <w:name w:val="MtA Inside Cover Label Char"/>
    <w:basedOn w:val="DefaultParagraphFont"/>
    <w:link w:val="MtAInsideCoverLabel"/>
    <w:uiPriority w:val="2"/>
    <w:rsid w:val="00BD393B"/>
    <w:rPr>
      <w:b/>
      <w:color w:val="FFFFFF" w:themeColor="background1"/>
      <w:sz w:val="24"/>
    </w:rPr>
  </w:style>
  <w:style w:type="paragraph" w:customStyle="1" w:styleId="MtAListBullet1">
    <w:name w:val="MtA List Bullet 1"/>
    <w:basedOn w:val="MtABodyText"/>
    <w:uiPriority w:val="1"/>
    <w:qFormat/>
    <w:rsid w:val="00BD393B"/>
    <w:pPr>
      <w:numPr>
        <w:numId w:val="13"/>
      </w:numPr>
      <w:spacing w:before="0"/>
      <w:contextualSpacing/>
    </w:pPr>
  </w:style>
  <w:style w:type="paragraph" w:customStyle="1" w:styleId="MtAListBullet2">
    <w:name w:val="MtA List Bullet 2"/>
    <w:basedOn w:val="MtAListBullet1"/>
    <w:uiPriority w:val="1"/>
    <w:qFormat/>
    <w:rsid w:val="00BD393B"/>
    <w:pPr>
      <w:numPr>
        <w:ilvl w:val="1"/>
      </w:numPr>
    </w:pPr>
  </w:style>
  <w:style w:type="paragraph" w:customStyle="1" w:styleId="MtAListBullet3">
    <w:name w:val="MtA List Bullet 3"/>
    <w:basedOn w:val="MtAListBullet1"/>
    <w:uiPriority w:val="1"/>
    <w:qFormat/>
    <w:rsid w:val="00BD393B"/>
    <w:pPr>
      <w:numPr>
        <w:ilvl w:val="2"/>
      </w:numPr>
    </w:pPr>
  </w:style>
  <w:style w:type="paragraph" w:customStyle="1" w:styleId="MtAListBullet4">
    <w:name w:val="MtA List Bullet 4"/>
    <w:basedOn w:val="MtAListBullet1"/>
    <w:uiPriority w:val="1"/>
    <w:qFormat/>
    <w:rsid w:val="00BD393B"/>
    <w:pPr>
      <w:numPr>
        <w:ilvl w:val="3"/>
      </w:numPr>
    </w:pPr>
  </w:style>
  <w:style w:type="paragraph" w:customStyle="1" w:styleId="MtAListBullet5">
    <w:name w:val="MtA List Bullet 5"/>
    <w:basedOn w:val="MtAListBullet1"/>
    <w:uiPriority w:val="1"/>
    <w:qFormat/>
    <w:rsid w:val="00BD393B"/>
    <w:pPr>
      <w:numPr>
        <w:ilvl w:val="4"/>
      </w:numPr>
    </w:pPr>
  </w:style>
  <w:style w:type="numbering" w:customStyle="1" w:styleId="MtAListBullets">
    <w:name w:val="MtA List Bullets"/>
    <w:uiPriority w:val="99"/>
    <w:rsid w:val="00BD393B"/>
    <w:pPr>
      <w:numPr>
        <w:numId w:val="13"/>
      </w:numPr>
    </w:pPr>
  </w:style>
  <w:style w:type="paragraph" w:customStyle="1" w:styleId="MtAListNumber1">
    <w:name w:val="MtA List Number 1"/>
    <w:basedOn w:val="MtABodyText"/>
    <w:uiPriority w:val="1"/>
    <w:qFormat/>
    <w:rsid w:val="00BD393B"/>
    <w:pPr>
      <w:numPr>
        <w:numId w:val="17"/>
      </w:numPr>
      <w:spacing w:before="0"/>
      <w:contextualSpacing/>
    </w:pPr>
  </w:style>
  <w:style w:type="paragraph" w:customStyle="1" w:styleId="MtAListNumber2">
    <w:name w:val="MtA List Number 2"/>
    <w:basedOn w:val="MtAListNumber1"/>
    <w:uiPriority w:val="1"/>
    <w:qFormat/>
    <w:rsid w:val="00BD393B"/>
    <w:pPr>
      <w:numPr>
        <w:ilvl w:val="1"/>
      </w:numPr>
    </w:pPr>
    <w:rPr>
      <w:rFonts w:cstheme="minorBidi"/>
    </w:rPr>
  </w:style>
  <w:style w:type="paragraph" w:customStyle="1" w:styleId="MtAListNumber3">
    <w:name w:val="MtA List Number 3"/>
    <w:basedOn w:val="MtAListNumber1"/>
    <w:uiPriority w:val="1"/>
    <w:qFormat/>
    <w:rsid w:val="00BD393B"/>
    <w:pPr>
      <w:numPr>
        <w:ilvl w:val="2"/>
      </w:numPr>
    </w:pPr>
    <w:rPr>
      <w:rFonts w:cstheme="minorBidi"/>
    </w:rPr>
  </w:style>
  <w:style w:type="numbering" w:customStyle="1" w:styleId="MtAListNumbers">
    <w:name w:val="MtA List Numbers"/>
    <w:uiPriority w:val="99"/>
    <w:rsid w:val="00BD393B"/>
    <w:pPr>
      <w:numPr>
        <w:numId w:val="17"/>
      </w:numPr>
    </w:pPr>
  </w:style>
  <w:style w:type="paragraph" w:customStyle="1" w:styleId="MtANonTOCHeading">
    <w:name w:val="MtA NonTOC Heading"/>
    <w:basedOn w:val="MtABodyText"/>
    <w:next w:val="Normal"/>
    <w:link w:val="MtANonTOCHeadingChar"/>
    <w:qFormat/>
    <w:rsid w:val="00BD393B"/>
    <w:pPr>
      <w:keepNext/>
      <w:keepLines/>
    </w:pPr>
    <w:rPr>
      <w:rFonts w:asciiTheme="majorHAnsi" w:hAnsiTheme="majorHAnsi"/>
      <w:b/>
      <w:caps/>
      <w:color w:val="44546A" w:themeColor="text2"/>
      <w:sz w:val="32"/>
    </w:rPr>
  </w:style>
  <w:style w:type="character" w:customStyle="1" w:styleId="MtANonTOCHeadingChar">
    <w:name w:val="MtA NonTOC Heading Char"/>
    <w:basedOn w:val="MtABodyTextChar"/>
    <w:link w:val="MtANonTOCHeading"/>
    <w:rsid w:val="00BD393B"/>
    <w:rPr>
      <w:rFonts w:asciiTheme="majorHAnsi" w:hAnsiTheme="majorHAnsi" w:cs="Calibri"/>
      <w:b/>
      <w:caps/>
      <w:color w:val="44546A" w:themeColor="text2"/>
      <w:sz w:val="32"/>
    </w:rPr>
  </w:style>
  <w:style w:type="paragraph" w:customStyle="1" w:styleId="MtATableFootnote">
    <w:name w:val="MtA Table Footnote"/>
    <w:basedOn w:val="MtABodyText"/>
    <w:next w:val="MtABodyText"/>
    <w:link w:val="MtATableFootnoteChar"/>
    <w:uiPriority w:val="1"/>
    <w:qFormat/>
    <w:rsid w:val="00BD393B"/>
    <w:pPr>
      <w:spacing w:before="0" w:after="480" w:line="240" w:lineRule="auto"/>
    </w:pPr>
    <w:rPr>
      <w:sz w:val="18"/>
    </w:rPr>
  </w:style>
  <w:style w:type="character" w:customStyle="1" w:styleId="MtATableFootnoteChar">
    <w:name w:val="MtA Table Footnote Char"/>
    <w:basedOn w:val="MtABodyTextChar"/>
    <w:link w:val="MtATableFootnote"/>
    <w:uiPriority w:val="1"/>
    <w:rsid w:val="00BD393B"/>
    <w:rPr>
      <w:rFonts w:cs="Calibri"/>
      <w:color w:val="404040" w:themeColor="text1" w:themeTint="BF"/>
      <w:sz w:val="18"/>
    </w:rPr>
  </w:style>
  <w:style w:type="paragraph" w:customStyle="1" w:styleId="MtATableText">
    <w:name w:val="MtA Table Text"/>
    <w:basedOn w:val="MtABodyText"/>
    <w:next w:val="MtABodyText"/>
    <w:link w:val="MtATableTextChar"/>
    <w:uiPriority w:val="1"/>
    <w:qFormat/>
    <w:rsid w:val="00BD393B"/>
    <w:pPr>
      <w:spacing w:before="60" w:after="60" w:line="240" w:lineRule="auto"/>
    </w:pPr>
    <w:rPr>
      <w:sz w:val="20"/>
    </w:rPr>
  </w:style>
  <w:style w:type="character" w:customStyle="1" w:styleId="MtATableTextChar">
    <w:name w:val="MtA Table Text Char"/>
    <w:basedOn w:val="MtABodyTextChar"/>
    <w:link w:val="MtATableText"/>
    <w:uiPriority w:val="1"/>
    <w:rsid w:val="00BD393B"/>
    <w:rPr>
      <w:rFonts w:cs="Calibri"/>
      <w:color w:val="404040" w:themeColor="text1" w:themeTint="BF"/>
      <w:sz w:val="20"/>
    </w:rPr>
  </w:style>
  <w:style w:type="table" w:customStyle="1" w:styleId="MtATable">
    <w:name w:val="MtA_Table"/>
    <w:basedOn w:val="TableNormal"/>
    <w:uiPriority w:val="99"/>
    <w:rsid w:val="00BD393B"/>
    <w:pPr>
      <w:spacing w:before="60" w:after="60" w:line="240" w:lineRule="auto"/>
      <w:jc w:val="center"/>
    </w:pPr>
    <w:rPr>
      <w:color w:val="404040" w:themeColor="text1" w:themeTint="BF"/>
      <w:sz w:val="20"/>
    </w:rPr>
    <w:tblPr>
      <w:tbl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blBorders>
    </w:tblPr>
    <w:tblStylePr w:type="firstRow">
      <w:rPr>
        <w:b/>
      </w:rPr>
      <w:tblPr/>
      <w:tcPr>
        <w:tcBorders>
          <w:top w:val="single" w:sz="4" w:space="0" w:color="F0EFEF" w:themeColor="background2" w:themeTint="99"/>
          <w:left w:val="single" w:sz="4" w:space="0" w:color="F0EFEF" w:themeColor="background2" w:themeTint="99"/>
          <w:bottom w:val="single" w:sz="4" w:space="0" w:color="F0EFEF" w:themeColor="background2" w:themeTint="99"/>
          <w:right w:val="single" w:sz="4" w:space="0" w:color="F0EFEF" w:themeColor="background2" w:themeTint="99"/>
          <w:insideH w:val="single" w:sz="4" w:space="0" w:color="F0EFEF" w:themeColor="background2" w:themeTint="99"/>
          <w:insideV w:val="single" w:sz="4" w:space="0" w:color="F0EFEF" w:themeColor="background2" w:themeTint="99"/>
          <w:tl2br w:val="nil"/>
          <w:tr2bl w:val="nil"/>
        </w:tcBorders>
        <w:shd w:val="clear" w:color="auto" w:fill="F5F4F4" w:themeFill="background2" w:themeFillTint="66"/>
      </w:tcPr>
    </w:tblStylePr>
    <w:tblStylePr w:type="firstCol">
      <w:pPr>
        <w:jc w:val="left"/>
      </w:pPr>
    </w:tblStylePr>
  </w:style>
  <w:style w:type="paragraph" w:styleId="TOC1">
    <w:name w:val="toc 1"/>
    <w:basedOn w:val="MtABodyText"/>
    <w:next w:val="MtABodyText"/>
    <w:autoRedefine/>
    <w:uiPriority w:val="39"/>
    <w:rsid w:val="00BD393B"/>
    <w:pPr>
      <w:spacing w:before="60" w:after="60" w:line="240" w:lineRule="auto"/>
    </w:pPr>
    <w:rPr>
      <w:b/>
      <w:caps/>
    </w:rPr>
  </w:style>
  <w:style w:type="paragraph" w:styleId="TOC2">
    <w:name w:val="toc 2"/>
    <w:basedOn w:val="MtABodyText"/>
    <w:next w:val="MtABodyText"/>
    <w:autoRedefine/>
    <w:uiPriority w:val="39"/>
    <w:rsid w:val="00BD393B"/>
    <w:pPr>
      <w:spacing w:before="60" w:after="60" w:line="240" w:lineRule="auto"/>
      <w:ind w:left="221"/>
    </w:pPr>
  </w:style>
  <w:style w:type="paragraph" w:styleId="TOC3">
    <w:name w:val="toc 3"/>
    <w:basedOn w:val="Normal"/>
    <w:next w:val="Normal"/>
    <w:autoRedefine/>
    <w:uiPriority w:val="39"/>
    <w:unhideWhenUsed/>
    <w:rsid w:val="00BD393B"/>
    <w:pPr>
      <w:spacing w:before="60" w:after="60" w:line="240" w:lineRule="auto"/>
      <w:ind w:left="442"/>
    </w:pPr>
    <w:rPr>
      <w:color w:val="404040" w:themeColor="text1" w:themeTint="BF"/>
    </w:rPr>
  </w:style>
  <w:style w:type="paragraph" w:styleId="Caption">
    <w:name w:val="caption"/>
    <w:aliases w:val="MtA Caption"/>
    <w:basedOn w:val="MtABodyText"/>
    <w:next w:val="MtABodyText"/>
    <w:uiPriority w:val="1"/>
    <w:unhideWhenUsed/>
    <w:qFormat/>
    <w:rsid w:val="00BD393B"/>
    <w:pPr>
      <w:keepNext/>
      <w:spacing w:before="240" w:line="240" w:lineRule="auto"/>
    </w:pPr>
    <w:rPr>
      <w:b/>
      <w:iCs/>
      <w:sz w:val="20"/>
      <w:szCs w:val="18"/>
    </w:rPr>
  </w:style>
  <w:style w:type="paragraph" w:styleId="BalloonText">
    <w:name w:val="Balloon Text"/>
    <w:basedOn w:val="Normal"/>
    <w:link w:val="BalloonTextChar"/>
    <w:uiPriority w:val="99"/>
    <w:semiHidden/>
    <w:unhideWhenUsed/>
    <w:rsid w:val="00BF7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AAF"/>
    <w:rPr>
      <w:rFonts w:ascii="Segoe UI" w:hAnsi="Segoe UI" w:cs="Segoe UI"/>
      <w:sz w:val="18"/>
      <w:szCs w:val="18"/>
    </w:rPr>
  </w:style>
  <w:style w:type="paragraph" w:styleId="ListParagraph">
    <w:name w:val="List Paragraph"/>
    <w:basedOn w:val="Normal"/>
    <w:link w:val="ListParagraphChar"/>
    <w:uiPriority w:val="34"/>
    <w:qFormat/>
    <w:rsid w:val="00E01D5B"/>
    <w:pPr>
      <w:ind w:left="720"/>
      <w:contextualSpacing/>
    </w:pPr>
  </w:style>
  <w:style w:type="character" w:styleId="CommentReference">
    <w:name w:val="annotation reference"/>
    <w:basedOn w:val="DefaultParagraphFont"/>
    <w:uiPriority w:val="99"/>
    <w:semiHidden/>
    <w:unhideWhenUsed/>
    <w:rsid w:val="00E01D5B"/>
    <w:rPr>
      <w:sz w:val="16"/>
      <w:szCs w:val="16"/>
    </w:rPr>
  </w:style>
  <w:style w:type="paragraph" w:styleId="CommentText">
    <w:name w:val="annotation text"/>
    <w:basedOn w:val="Normal"/>
    <w:link w:val="CommentTextChar"/>
    <w:uiPriority w:val="99"/>
    <w:unhideWhenUsed/>
    <w:rsid w:val="00E01D5B"/>
    <w:pPr>
      <w:spacing w:line="240" w:lineRule="auto"/>
    </w:pPr>
    <w:rPr>
      <w:sz w:val="20"/>
      <w:szCs w:val="20"/>
    </w:rPr>
  </w:style>
  <w:style w:type="character" w:customStyle="1" w:styleId="CommentTextChar">
    <w:name w:val="Comment Text Char"/>
    <w:basedOn w:val="DefaultParagraphFont"/>
    <w:link w:val="CommentText"/>
    <w:uiPriority w:val="99"/>
    <w:rsid w:val="00E01D5B"/>
    <w:rPr>
      <w:rFonts w:ascii="Times New Roman" w:hAnsi="Times New Roman"/>
      <w:sz w:val="20"/>
      <w:szCs w:val="20"/>
    </w:rPr>
  </w:style>
  <w:style w:type="table" w:styleId="TableGrid">
    <w:name w:val="Table Grid"/>
    <w:basedOn w:val="TableNormal"/>
    <w:uiPriority w:val="39"/>
    <w:rsid w:val="00E0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01D5B"/>
    <w:rPr>
      <w:rFonts w:ascii="Times New Roman" w:hAnsi="Times New Roman"/>
      <w:sz w:val="24"/>
    </w:rPr>
  </w:style>
  <w:style w:type="paragraph" w:styleId="Header">
    <w:name w:val="header"/>
    <w:basedOn w:val="Normal"/>
    <w:link w:val="HeaderChar"/>
    <w:uiPriority w:val="99"/>
    <w:unhideWhenUsed/>
    <w:rsid w:val="00E01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D5B"/>
    <w:rPr>
      <w:rFonts w:ascii="Times New Roman" w:hAnsi="Times New Roman"/>
      <w:sz w:val="24"/>
    </w:rPr>
  </w:style>
  <w:style w:type="paragraph" w:styleId="Footer">
    <w:name w:val="footer"/>
    <w:basedOn w:val="Normal"/>
    <w:link w:val="FooterChar"/>
    <w:uiPriority w:val="99"/>
    <w:unhideWhenUsed/>
    <w:rsid w:val="00E01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D5B"/>
    <w:rPr>
      <w:rFonts w:ascii="Times New Roman" w:hAnsi="Times New Roman"/>
      <w:sz w:val="24"/>
    </w:rPr>
  </w:style>
  <w:style w:type="paragraph" w:styleId="TOCHeading">
    <w:name w:val="TOC Heading"/>
    <w:basedOn w:val="Heading1"/>
    <w:next w:val="Normal"/>
    <w:uiPriority w:val="39"/>
    <w:unhideWhenUsed/>
    <w:qFormat/>
    <w:rsid w:val="0013088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character" w:styleId="Hyperlink">
    <w:name w:val="Hyperlink"/>
    <w:basedOn w:val="DefaultParagraphFont"/>
    <w:uiPriority w:val="99"/>
    <w:unhideWhenUsed/>
    <w:rsid w:val="001308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69510897A188409DB3D814561ED896" ma:contentTypeVersion="13" ma:contentTypeDescription="Ein neues Dokument erstellen." ma:contentTypeScope="" ma:versionID="cf7a30179661e0032d9fd03b54bfdbd0">
  <xsd:schema xmlns:xsd="http://www.w3.org/2001/XMLSchema" xmlns:xs="http://www.w3.org/2001/XMLSchema" xmlns:p="http://schemas.microsoft.com/office/2006/metadata/properties" xmlns:ns2="3cfd5f85-40c2-4670-a4ee-365ecc19b86f" xmlns:ns3="bdfcef7a-34ad-4d56-b665-2a2a560a2f3f" targetNamespace="http://schemas.microsoft.com/office/2006/metadata/properties" ma:root="true" ma:fieldsID="bb21e627f157bf0fb7ca9994980d0b1b" ns2:_="" ns3:_="">
    <xsd:import namespace="3cfd5f85-40c2-4670-a4ee-365ecc19b86f"/>
    <xsd:import namespace="bdfcef7a-34ad-4d56-b665-2a2a560a2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5f85-40c2-4670-a4ee-365ecc19b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cef7a-34ad-4d56-b665-2a2a560a2f3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F658-CC31-4B15-A65E-07E478F19962}">
  <ds:schemaRefs>
    <ds:schemaRef ds:uri="http://schemas.microsoft.com/office/2006/metadata/properties"/>
    <ds:schemaRef ds:uri="http://schemas.microsoft.com/office/infopath/2007/PartnerControls"/>
    <ds:schemaRef ds:uri="52d171dd-a887-4456-9cf1-e4486e7b5325"/>
  </ds:schemaRefs>
</ds:datastoreItem>
</file>

<file path=customXml/itemProps2.xml><?xml version="1.0" encoding="utf-8"?>
<ds:datastoreItem xmlns:ds="http://schemas.openxmlformats.org/officeDocument/2006/customXml" ds:itemID="{2659EF20-42EC-4CA6-9498-C2F984993193}">
  <ds:schemaRefs>
    <ds:schemaRef ds:uri="http://schemas.microsoft.com/sharepoint/v3/contenttype/forms"/>
  </ds:schemaRefs>
</ds:datastoreItem>
</file>

<file path=customXml/itemProps3.xml><?xml version="1.0" encoding="utf-8"?>
<ds:datastoreItem xmlns:ds="http://schemas.openxmlformats.org/officeDocument/2006/customXml" ds:itemID="{4829EADB-B9B3-4111-A99C-52B2EA15A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d5f85-40c2-4670-a4ee-365ecc19b86f"/>
    <ds:schemaRef ds:uri="bdfcef7a-34ad-4d56-b665-2a2a560a2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2102C-3C76-4B0D-8C9B-05F080BE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Maiping Tan</dc:creator>
  <cp:keywords/>
  <dc:description/>
  <cp:lastModifiedBy>Thibaut</cp:lastModifiedBy>
  <cp:revision>2</cp:revision>
  <dcterms:created xsi:type="dcterms:W3CDTF">2022-02-10T10:39:00Z</dcterms:created>
  <dcterms:modified xsi:type="dcterms:W3CDTF">2022-02-10T10:39:00Z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0x010100B569510897A188409DB3D814561ED896</vt:lpwstr>
  </property>
</Properties>
</file>