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741AD" w14:textId="77777777" w:rsidR="00143DB6" w:rsidRPr="000B7B97" w:rsidRDefault="00143DB6" w:rsidP="00143D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30"/>
      <w:bookmarkStart w:id="1" w:name="OLE_LINK31"/>
      <w:r w:rsidRPr="000B7B97">
        <w:rPr>
          <w:rFonts w:ascii="Times New Roman" w:hAnsi="Times New Roman" w:cs="Times New Roman"/>
          <w:b/>
          <w:sz w:val="24"/>
          <w:szCs w:val="24"/>
        </w:rPr>
        <w:t>Folate Decorated Multifunctional Biodegradable Nanoparticles for Gastric Carcinoma Active Targeting Theranostics</w:t>
      </w:r>
    </w:p>
    <w:p w14:paraId="1DFF50CF" w14:textId="77777777" w:rsidR="00143DB6" w:rsidRPr="000B7B97" w:rsidRDefault="00143DB6" w:rsidP="00143DB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CBC933" w14:textId="77777777" w:rsidR="00143DB6" w:rsidRPr="000B7B97" w:rsidRDefault="00143DB6" w:rsidP="00143DB6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0B7B97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0B7B97">
        <w:rPr>
          <w:rFonts w:ascii="Times New Roman" w:hAnsi="Times New Roman" w:cs="Times New Roman"/>
          <w:sz w:val="24"/>
          <w:szCs w:val="24"/>
        </w:rPr>
        <w:t xml:space="preserve"> Zhang, *</w:t>
      </w:r>
      <w:r w:rsidRPr="000B7B97">
        <w:rPr>
          <w:rFonts w:ascii="Times New Roman" w:hAnsi="Times New Roman" w:cs="Times New Roman"/>
          <w:sz w:val="24"/>
          <w:szCs w:val="24"/>
          <w:vertAlign w:val="superscript"/>
        </w:rPr>
        <w:t>, 1</w:t>
      </w:r>
      <w:r w:rsidRPr="000B7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B97">
        <w:rPr>
          <w:rFonts w:ascii="Times New Roman" w:hAnsi="Times New Roman" w:cs="Times New Roman"/>
          <w:sz w:val="24"/>
          <w:szCs w:val="24"/>
        </w:rPr>
        <w:t>Ronglin</w:t>
      </w:r>
      <w:proofErr w:type="spellEnd"/>
      <w:r w:rsidRPr="000B7B97">
        <w:rPr>
          <w:rFonts w:ascii="Times New Roman" w:hAnsi="Times New Roman" w:cs="Times New Roman"/>
          <w:sz w:val="24"/>
          <w:szCs w:val="24"/>
        </w:rPr>
        <w:t xml:space="preserve"> Yan, *</w:t>
      </w:r>
      <w:r w:rsidRPr="000B7B97">
        <w:rPr>
          <w:rFonts w:ascii="Times New Roman" w:hAnsi="Times New Roman" w:cs="Times New Roman"/>
          <w:sz w:val="24"/>
          <w:szCs w:val="24"/>
          <w:vertAlign w:val="superscript"/>
        </w:rPr>
        <w:t>, 1</w:t>
      </w:r>
      <w:r w:rsidRPr="000B7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B97">
        <w:rPr>
          <w:rFonts w:ascii="Times New Roman" w:hAnsi="Times New Roman" w:cs="Times New Roman"/>
          <w:sz w:val="24"/>
          <w:szCs w:val="24"/>
        </w:rPr>
        <w:t>Ziran</w:t>
      </w:r>
      <w:proofErr w:type="spellEnd"/>
      <w:r w:rsidRPr="000B7B97">
        <w:rPr>
          <w:rFonts w:ascii="Times New Roman" w:hAnsi="Times New Roman" w:cs="Times New Roman"/>
          <w:sz w:val="24"/>
          <w:szCs w:val="24"/>
        </w:rPr>
        <w:t xml:space="preserve"> Wei, *</w:t>
      </w:r>
      <w:r w:rsidRPr="000B7B97">
        <w:rPr>
          <w:rFonts w:ascii="Times New Roman" w:hAnsi="Times New Roman" w:cs="Times New Roman"/>
          <w:sz w:val="24"/>
          <w:szCs w:val="24"/>
          <w:vertAlign w:val="superscript"/>
        </w:rPr>
        <w:t>, 1</w:t>
      </w:r>
      <w:r w:rsidRPr="000B7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B97">
        <w:rPr>
          <w:rFonts w:ascii="Times New Roman" w:hAnsi="Times New Roman" w:cs="Times New Roman"/>
          <w:sz w:val="24"/>
          <w:szCs w:val="24"/>
        </w:rPr>
        <w:t>Dejun</w:t>
      </w:r>
      <w:proofErr w:type="spellEnd"/>
      <w:r w:rsidRPr="000B7B97">
        <w:rPr>
          <w:rFonts w:ascii="Times New Roman" w:hAnsi="Times New Roman" w:cs="Times New Roman"/>
          <w:sz w:val="24"/>
          <w:szCs w:val="24"/>
        </w:rPr>
        <w:t xml:space="preserve"> Yang, </w:t>
      </w:r>
      <w:r w:rsidRPr="000B7B9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B7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B97">
        <w:rPr>
          <w:rFonts w:ascii="Times New Roman" w:hAnsi="Times New Roman" w:cs="Times New Roman"/>
          <w:sz w:val="24"/>
          <w:szCs w:val="24"/>
        </w:rPr>
        <w:t>Zunqi</w:t>
      </w:r>
      <w:proofErr w:type="spellEnd"/>
      <w:r w:rsidRPr="000B7B97">
        <w:rPr>
          <w:rFonts w:ascii="Times New Roman" w:hAnsi="Times New Roman" w:cs="Times New Roman"/>
          <w:sz w:val="24"/>
          <w:szCs w:val="24"/>
        </w:rPr>
        <w:t xml:space="preserve"> Hu, </w:t>
      </w:r>
      <w:r w:rsidRPr="000B7B9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B7B97">
        <w:rPr>
          <w:rFonts w:ascii="Times New Roman" w:hAnsi="Times New Roman" w:cs="Times New Roman"/>
          <w:sz w:val="24"/>
          <w:szCs w:val="24"/>
        </w:rPr>
        <w:t xml:space="preserve"> Yu Zhang, </w:t>
      </w:r>
      <w:r w:rsidRPr="000B7B9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B7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B97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0B7B97">
        <w:rPr>
          <w:rFonts w:ascii="Times New Roman" w:hAnsi="Times New Roman" w:cs="Times New Roman"/>
          <w:sz w:val="24"/>
          <w:szCs w:val="24"/>
        </w:rPr>
        <w:t xml:space="preserve"> Huang,</w:t>
      </w:r>
      <w:r w:rsidRPr="000B7B97">
        <w:rPr>
          <w:rFonts w:ascii="Times New Roman" w:hAnsi="Times New Roman" w:cs="Times New Roman"/>
          <w:sz w:val="24"/>
          <w:szCs w:val="24"/>
          <w:vertAlign w:val="superscript"/>
        </w:rPr>
        <w:t xml:space="preserve"> 1</w:t>
      </w:r>
      <w:r w:rsidRPr="000B7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B97">
        <w:rPr>
          <w:rFonts w:ascii="Times New Roman" w:hAnsi="Times New Roman" w:cs="Times New Roman"/>
          <w:sz w:val="24"/>
          <w:szCs w:val="24"/>
        </w:rPr>
        <w:t>Hejing</w:t>
      </w:r>
      <w:proofErr w:type="spellEnd"/>
      <w:r w:rsidRPr="000B7B97">
        <w:rPr>
          <w:rFonts w:ascii="Times New Roman" w:hAnsi="Times New Roman" w:cs="Times New Roman"/>
          <w:sz w:val="24"/>
          <w:szCs w:val="24"/>
        </w:rPr>
        <w:t xml:space="preserve"> Huang,</w:t>
      </w:r>
      <w:r w:rsidRPr="000B7B97">
        <w:rPr>
          <w:rFonts w:ascii="Times New Roman" w:hAnsi="Times New Roman" w:cs="Times New Roman"/>
        </w:rPr>
        <w:t xml:space="preserve"> </w:t>
      </w:r>
      <w:r w:rsidRPr="000B7B97">
        <w:rPr>
          <w:rFonts w:ascii="Times New Roman" w:hAnsi="Times New Roman" w:cs="Times New Roman"/>
          <w:sz w:val="24"/>
          <w:szCs w:val="24"/>
        </w:rPr>
        <w:t>†</w:t>
      </w:r>
      <w:r w:rsidRPr="000B7B97">
        <w:rPr>
          <w:rFonts w:ascii="Times New Roman" w:hAnsi="Times New Roman" w:cs="Times New Roman"/>
          <w:sz w:val="24"/>
          <w:szCs w:val="24"/>
          <w:vertAlign w:val="superscript"/>
        </w:rPr>
        <w:t>, 2</w:t>
      </w:r>
      <w:r w:rsidRPr="000B7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B97">
        <w:rPr>
          <w:rFonts w:ascii="Times New Roman" w:hAnsi="Times New Roman" w:cs="Times New Roman"/>
          <w:sz w:val="24"/>
          <w:szCs w:val="24"/>
        </w:rPr>
        <w:t>Weijun</w:t>
      </w:r>
      <w:proofErr w:type="spellEnd"/>
      <w:r w:rsidRPr="000B7B97">
        <w:rPr>
          <w:rFonts w:ascii="Times New Roman" w:hAnsi="Times New Roman" w:cs="Times New Roman"/>
          <w:sz w:val="24"/>
          <w:szCs w:val="24"/>
        </w:rPr>
        <w:t xml:space="preserve"> Wang †</w:t>
      </w:r>
      <w:r w:rsidRPr="000B7B97">
        <w:rPr>
          <w:rFonts w:ascii="Times New Roman" w:hAnsi="Times New Roman" w:cs="Times New Roman"/>
          <w:sz w:val="24"/>
          <w:szCs w:val="24"/>
          <w:vertAlign w:val="superscript"/>
        </w:rPr>
        <w:t>, 1</w:t>
      </w:r>
    </w:p>
    <w:p w14:paraId="32F2859E" w14:textId="77777777" w:rsidR="00143DB6" w:rsidRPr="000B7B97" w:rsidRDefault="00143DB6" w:rsidP="00143D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FCBAF1" w14:textId="77777777" w:rsidR="00143DB6" w:rsidRPr="000B7B97" w:rsidRDefault="00143DB6" w:rsidP="00143D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7B9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B7B97">
        <w:rPr>
          <w:rFonts w:ascii="Times New Roman" w:hAnsi="Times New Roman" w:cs="Times New Roman"/>
          <w:sz w:val="24"/>
          <w:szCs w:val="24"/>
        </w:rPr>
        <w:t>Department of Gastrointestinal Surgery, Second Affiliated Hospital of Naval Medical University, Shanghai, 200003, China</w:t>
      </w:r>
    </w:p>
    <w:p w14:paraId="269C8066" w14:textId="77777777" w:rsidR="00143DB6" w:rsidRPr="000B7B97" w:rsidRDefault="00143DB6" w:rsidP="00143D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7B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B7B97">
        <w:rPr>
          <w:rFonts w:ascii="Times New Roman" w:hAnsi="Times New Roman" w:cs="Times New Roman"/>
          <w:sz w:val="24"/>
          <w:szCs w:val="24"/>
        </w:rPr>
        <w:t>Department of ultrasound, Second Affiliated Hospital of Naval Medical University, Shanghai, 200003, China</w:t>
      </w:r>
    </w:p>
    <w:p w14:paraId="5CF6A285" w14:textId="77777777" w:rsidR="00143DB6" w:rsidRPr="000B7B97" w:rsidRDefault="00143DB6" w:rsidP="00143D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C59D82" w14:textId="77777777" w:rsidR="00143DB6" w:rsidRPr="000B7B97" w:rsidRDefault="00143DB6" w:rsidP="00143D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7B97">
        <w:rPr>
          <w:rFonts w:ascii="Times New Roman" w:hAnsi="Times New Roman" w:cs="Times New Roman"/>
          <w:sz w:val="24"/>
          <w:szCs w:val="24"/>
        </w:rPr>
        <w:t>†Corresponding author</w:t>
      </w:r>
      <w:r w:rsidRPr="000B7B97">
        <w:rPr>
          <w:rFonts w:ascii="Times New Roman" w:hAnsi="Times New Roman" w:cs="Times New Roman"/>
          <w:sz w:val="24"/>
          <w:szCs w:val="24"/>
        </w:rPr>
        <w:t>：</w:t>
      </w:r>
    </w:p>
    <w:p w14:paraId="44387239" w14:textId="77777777" w:rsidR="00143DB6" w:rsidRPr="000B7B97" w:rsidRDefault="00143DB6" w:rsidP="00143D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7B97">
        <w:rPr>
          <w:rFonts w:ascii="Times New Roman" w:hAnsi="Times New Roman" w:cs="Times New Roman"/>
          <w:sz w:val="24"/>
          <w:szCs w:val="24"/>
        </w:rPr>
        <w:t>E-mail: wangweijun@smmu.edu.cn, Tel: +86-021-81885601</w:t>
      </w:r>
    </w:p>
    <w:p w14:paraId="4482C10F" w14:textId="77777777" w:rsidR="00143DB6" w:rsidRPr="000B7B97" w:rsidRDefault="00143DB6" w:rsidP="00143D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7B97">
        <w:rPr>
          <w:rFonts w:ascii="Times New Roman" w:hAnsi="Times New Roman" w:cs="Times New Roman"/>
          <w:sz w:val="24"/>
          <w:szCs w:val="24"/>
        </w:rPr>
        <w:t>E-mail: huanghejinga@163.com, Tel: +86-</w:t>
      </w:r>
      <w:r w:rsidRPr="000B7B97">
        <w:rPr>
          <w:rFonts w:ascii="Times New Roman" w:hAnsi="Times New Roman" w:cs="Times New Roman"/>
        </w:rPr>
        <w:t xml:space="preserve"> </w:t>
      </w:r>
      <w:r w:rsidRPr="000B7B97">
        <w:rPr>
          <w:rFonts w:ascii="Times New Roman" w:hAnsi="Times New Roman" w:cs="Times New Roman"/>
          <w:sz w:val="24"/>
          <w:szCs w:val="24"/>
        </w:rPr>
        <w:t>021-81886051</w:t>
      </w:r>
    </w:p>
    <w:p w14:paraId="673539CF" w14:textId="77777777" w:rsidR="00143DB6" w:rsidRPr="000B7B97" w:rsidRDefault="00143DB6" w:rsidP="00143DB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FF7A079" w14:textId="77777777" w:rsidR="00414918" w:rsidRPr="000B7B97" w:rsidRDefault="00414918" w:rsidP="00143DB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7B97">
        <w:rPr>
          <w:rFonts w:ascii="Times New Roman" w:hAnsi="Times New Roman" w:cs="Times New Roman" w:hint="eastAsia"/>
          <w:b/>
          <w:sz w:val="24"/>
          <w:szCs w:val="24"/>
        </w:rPr>
        <w:t>Experiment</w:t>
      </w:r>
    </w:p>
    <w:p w14:paraId="59D43FD6" w14:textId="77777777" w:rsidR="0087665F" w:rsidRPr="000B7B97" w:rsidRDefault="0087665F" w:rsidP="0087665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7B97">
        <w:rPr>
          <w:rFonts w:ascii="Times New Roman" w:hAnsi="Times New Roman" w:cs="Times New Roman"/>
          <w:b/>
          <w:sz w:val="24"/>
          <w:szCs w:val="24"/>
        </w:rPr>
        <w:t>Statistical analysis</w:t>
      </w:r>
    </w:p>
    <w:bookmarkEnd w:id="0"/>
    <w:bookmarkEnd w:id="1"/>
    <w:p w14:paraId="3EA1D493" w14:textId="77777777" w:rsidR="00331A29" w:rsidRDefault="00331A29" w:rsidP="00331A29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 w:rsidRPr="000B7B97">
        <w:rPr>
          <w:rFonts w:ascii="Times New Roman" w:hAnsi="Times New Roman" w:cs="Times New Roman"/>
          <w:sz w:val="24"/>
          <w:szCs w:val="24"/>
        </w:rPr>
        <w:t xml:space="preserve">All data were presented as the mean ± standard deviation (SD). One-way analysis of variance (ANOVA) was used to assess significance between groups, after which post-hoc tests with the </w:t>
      </w:r>
      <w:proofErr w:type="spellStart"/>
      <w:r w:rsidRPr="000B7B97">
        <w:rPr>
          <w:rFonts w:ascii="Times New Roman" w:hAnsi="Times New Roman" w:cs="Times New Roman"/>
          <w:sz w:val="24"/>
          <w:szCs w:val="24"/>
        </w:rPr>
        <w:t>Bonferroni</w:t>
      </w:r>
      <w:proofErr w:type="spellEnd"/>
      <w:r w:rsidRPr="000B7B97">
        <w:rPr>
          <w:rFonts w:ascii="Times New Roman" w:hAnsi="Times New Roman" w:cs="Times New Roman"/>
          <w:sz w:val="24"/>
          <w:szCs w:val="24"/>
        </w:rPr>
        <w:t xml:space="preserve"> correction were used for comparison among individual groups. *p &lt; 0.05 was considered significant, and **p &lt; 0.01</w:t>
      </w:r>
      <w:r w:rsidRPr="000B7B97">
        <w:rPr>
          <w:rFonts w:ascii="Times New Roman" w:eastAsia="宋体" w:hAnsi="Times New Roman" w:cs="Times New Roman"/>
          <w:sz w:val="24"/>
          <w:szCs w:val="24"/>
        </w:rPr>
        <w:t xml:space="preserve"> and</w:t>
      </w:r>
      <w:r w:rsidRPr="000B7B97">
        <w:rPr>
          <w:rFonts w:ascii="Times New Roman" w:hAnsi="Times New Roman" w:cs="Times New Roman"/>
          <w:sz w:val="24"/>
          <w:szCs w:val="24"/>
        </w:rPr>
        <w:t xml:space="preserve"> ***p &lt; 0.001 </w:t>
      </w:r>
      <w:r w:rsidRPr="000B7B97">
        <w:rPr>
          <w:rFonts w:ascii="Times New Roman" w:eastAsia="宋体" w:hAnsi="Times New Roman" w:cs="Times New Roman"/>
          <w:sz w:val="24"/>
          <w:szCs w:val="24"/>
        </w:rPr>
        <w:t xml:space="preserve">were </w:t>
      </w:r>
      <w:r w:rsidRPr="000B7B97">
        <w:rPr>
          <w:rFonts w:ascii="Times New Roman" w:hAnsi="Times New Roman" w:cs="Times New Roman"/>
          <w:sz w:val="24"/>
          <w:szCs w:val="24"/>
        </w:rPr>
        <w:t>considered highly significant.</w:t>
      </w:r>
    </w:p>
    <w:p w14:paraId="32AA4400" w14:textId="77777777" w:rsidR="006E7497" w:rsidRPr="000B7B97" w:rsidRDefault="006E7497" w:rsidP="00331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6164F174" w14:textId="77777777" w:rsidR="00522FB7" w:rsidRDefault="00522FB7">
      <w:pPr>
        <w:rPr>
          <w:rFonts w:ascii="Times New Roman" w:hAnsi="Times New Roman" w:cs="Times New Roman"/>
          <w:sz w:val="24"/>
        </w:rPr>
      </w:pPr>
    </w:p>
    <w:p w14:paraId="2346EE70" w14:textId="21B92940" w:rsidR="00AE4160" w:rsidRPr="00AE4160" w:rsidRDefault="00AE4160" w:rsidP="00AE416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noProof/>
          <w:sz w:val="24"/>
        </w:rPr>
        <w:lastRenderedPageBreak/>
        <w:drawing>
          <wp:inline distT="0" distB="0" distL="0" distR="0" wp14:anchorId="17E7DB08" wp14:editId="797211FD">
            <wp:extent cx="2880000" cy="2061223"/>
            <wp:effectExtent l="0" t="0" r="0" b="0"/>
            <wp:docPr id="1" name="图片 1" descr="C:\Users\ADMINI~1\AppData\Local\Temp\Rar$DRa25196.21773\artwork\T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Rar$DRa25196.21773\artwork\TL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06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FD81D" w14:textId="77777777" w:rsidR="00143DB6" w:rsidRPr="000B7B97" w:rsidRDefault="00143DB6" w:rsidP="004E5161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0B7B97">
        <w:rPr>
          <w:rFonts w:ascii="Times New Roman" w:hAnsi="Times New Roman" w:cs="Times New Roman"/>
          <w:sz w:val="24"/>
        </w:rPr>
        <w:t>Figure S1.</w:t>
      </w:r>
      <w:r w:rsidR="00414918" w:rsidRPr="000B7B97">
        <w:rPr>
          <w:rFonts w:ascii="Times New Roman" w:hAnsi="Times New Roman" w:cs="Times New Roman" w:hint="eastAsia"/>
          <w:sz w:val="24"/>
        </w:rPr>
        <w:t xml:space="preserve"> </w:t>
      </w:r>
      <w:r w:rsidR="004E5161" w:rsidRPr="000B7B97">
        <w:rPr>
          <w:rFonts w:ascii="Times New Roman" w:hAnsi="Times New Roman" w:cs="Times New Roman" w:hint="eastAsia"/>
          <w:sz w:val="24"/>
        </w:rPr>
        <w:t xml:space="preserve">Thin layer chromatography analysis of </w:t>
      </w:r>
      <w:r w:rsidR="004E5161" w:rsidRPr="000B7B97">
        <w:rPr>
          <w:rFonts w:ascii="Times New Roman" w:hAnsi="Times New Roman" w:cs="Times New Roman" w:hint="eastAsia"/>
          <w:sz w:val="24"/>
          <w:vertAlign w:val="superscript"/>
        </w:rPr>
        <w:t>125</w:t>
      </w:r>
      <w:r w:rsidR="004E5161" w:rsidRPr="000B7B97">
        <w:rPr>
          <w:rFonts w:ascii="Times New Roman" w:hAnsi="Times New Roman" w:cs="Times New Roman" w:hint="eastAsia"/>
          <w:sz w:val="24"/>
        </w:rPr>
        <w:t>I-SN-38.</w:t>
      </w:r>
      <w:r w:rsidR="004E5161" w:rsidRPr="000B7B97">
        <w:rPr>
          <w:rFonts w:ascii="Times New Roman" w:hAnsi="Times New Roman" w:hint="eastAsia"/>
          <w:sz w:val="24"/>
          <w:szCs w:val="24"/>
        </w:rPr>
        <w:t xml:space="preserve"> </w:t>
      </w:r>
      <w:r w:rsidR="00F42B1F" w:rsidRPr="000B7B97">
        <w:rPr>
          <w:rFonts w:ascii="Times New Roman" w:hAnsi="Times New Roman" w:hint="eastAsia"/>
          <w:sz w:val="24"/>
          <w:szCs w:val="24"/>
        </w:rPr>
        <w:t>T</w:t>
      </w:r>
      <w:r w:rsidR="004E5161" w:rsidRPr="000B7B97">
        <w:rPr>
          <w:rFonts w:ascii="Times New Roman" w:hAnsi="Times New Roman" w:hint="eastAsia"/>
          <w:sz w:val="24"/>
          <w:szCs w:val="24"/>
        </w:rPr>
        <w:t xml:space="preserve">he </w:t>
      </w:r>
      <w:proofErr w:type="gramStart"/>
      <w:r w:rsidR="004E5161" w:rsidRPr="000B7B97">
        <w:rPr>
          <w:rFonts w:ascii="Times New Roman" w:hAnsi="Times New Roman" w:hint="eastAsia"/>
          <w:sz w:val="24"/>
          <w:szCs w:val="24"/>
        </w:rPr>
        <w:t>R</w:t>
      </w:r>
      <w:r w:rsidR="004E5161" w:rsidRPr="000B7B97">
        <w:rPr>
          <w:rFonts w:ascii="Times New Roman" w:hAnsi="Times New Roman" w:hint="eastAsia"/>
          <w:sz w:val="24"/>
          <w:szCs w:val="24"/>
          <w:vertAlign w:val="subscript"/>
        </w:rPr>
        <w:t>f</w:t>
      </w:r>
      <w:proofErr w:type="gramEnd"/>
      <w:r w:rsidR="004E5161" w:rsidRPr="000B7B97">
        <w:rPr>
          <w:rFonts w:ascii="Times New Roman" w:hAnsi="Times New Roman" w:hint="eastAsia"/>
          <w:sz w:val="24"/>
          <w:szCs w:val="24"/>
        </w:rPr>
        <w:t xml:space="preserve"> of </w:t>
      </w:r>
      <w:r w:rsidR="004E5161" w:rsidRPr="000B7B97">
        <w:rPr>
          <w:rFonts w:ascii="Times New Roman" w:hAnsi="Times New Roman" w:cs="Times New Roman" w:hint="eastAsia"/>
          <w:sz w:val="24"/>
          <w:vertAlign w:val="superscript"/>
        </w:rPr>
        <w:t>125</w:t>
      </w:r>
      <w:r w:rsidR="004E5161" w:rsidRPr="000B7B97">
        <w:rPr>
          <w:rFonts w:ascii="Times New Roman" w:hAnsi="Times New Roman" w:cs="Times New Roman" w:hint="eastAsia"/>
          <w:sz w:val="24"/>
        </w:rPr>
        <w:t>I-SN-38</w:t>
      </w:r>
      <w:r w:rsidR="004E5161" w:rsidRPr="000B7B97">
        <w:rPr>
          <w:rFonts w:ascii="Times New Roman" w:hAnsi="Times New Roman" w:hint="eastAsia"/>
          <w:sz w:val="24"/>
          <w:szCs w:val="24"/>
        </w:rPr>
        <w:t xml:space="preserve"> was ~0.</w:t>
      </w:r>
      <w:r w:rsidR="00330C46" w:rsidRPr="000B7B97">
        <w:rPr>
          <w:rFonts w:ascii="Times New Roman" w:hAnsi="Times New Roman" w:hint="eastAsia"/>
          <w:sz w:val="24"/>
          <w:szCs w:val="24"/>
        </w:rPr>
        <w:t>1</w:t>
      </w:r>
      <w:r w:rsidR="004E5161" w:rsidRPr="000B7B97">
        <w:rPr>
          <w:rFonts w:ascii="Times New Roman" w:hAnsi="Times New Roman" w:hint="eastAsia"/>
          <w:sz w:val="24"/>
          <w:szCs w:val="24"/>
        </w:rPr>
        <w:t xml:space="preserve">, and free </w:t>
      </w:r>
      <w:r w:rsidR="004E5161" w:rsidRPr="000B7B97">
        <w:rPr>
          <w:rFonts w:ascii="Times New Roman" w:hAnsi="Times New Roman" w:hint="eastAsia"/>
          <w:sz w:val="24"/>
          <w:szCs w:val="24"/>
          <w:vertAlign w:val="superscript"/>
        </w:rPr>
        <w:t>125</w:t>
      </w:r>
      <w:r w:rsidR="00011D5A" w:rsidRPr="000B7B97">
        <w:rPr>
          <w:rFonts w:ascii="Times New Roman" w:hAnsi="Times New Roman" w:hint="eastAsia"/>
          <w:sz w:val="24"/>
          <w:szCs w:val="24"/>
        </w:rPr>
        <w:t>I was ~0.</w:t>
      </w:r>
      <w:r w:rsidR="00011D5A" w:rsidRPr="000B7B97">
        <w:rPr>
          <w:rFonts w:ascii="Times New Roman" w:hAnsi="Times New Roman"/>
          <w:sz w:val="24"/>
          <w:szCs w:val="24"/>
        </w:rPr>
        <w:t>9.</w:t>
      </w:r>
    </w:p>
    <w:p w14:paraId="4162BCBB" w14:textId="77777777" w:rsidR="0033054E" w:rsidRDefault="0033054E">
      <w:pPr>
        <w:rPr>
          <w:rFonts w:ascii="Times New Roman" w:hAnsi="Times New Roman" w:cs="Times New Roman"/>
          <w:sz w:val="24"/>
        </w:rPr>
      </w:pPr>
    </w:p>
    <w:p w14:paraId="4A407287" w14:textId="365CFEDA" w:rsidR="00AE4160" w:rsidRPr="00AE4160" w:rsidRDefault="00AE4160" w:rsidP="00AE416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noProof/>
          <w:sz w:val="24"/>
        </w:rPr>
        <w:drawing>
          <wp:inline distT="0" distB="0" distL="0" distR="0" wp14:anchorId="29F0BB7E" wp14:editId="38D5CDF6">
            <wp:extent cx="4320000" cy="2383807"/>
            <wp:effectExtent l="0" t="0" r="4445" b="0"/>
            <wp:docPr id="2" name="图片 2" descr="C:\Users\ADMINI~1\AppData\Local\Temp\Rar$DRa25196.24185\artwork\SPECT OR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Rar$DRa25196.24185\artwork\SPECT ORG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38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F36DE" w14:textId="77777777" w:rsidR="0033054E" w:rsidRPr="000B7B97" w:rsidRDefault="0033054E" w:rsidP="0033054E">
      <w:pPr>
        <w:rPr>
          <w:rFonts w:ascii="Times New Roman" w:hAnsi="Times New Roman" w:cs="Times New Roman"/>
          <w:sz w:val="24"/>
        </w:rPr>
      </w:pPr>
      <w:r w:rsidRPr="000B7B97">
        <w:rPr>
          <w:rFonts w:ascii="Times New Roman" w:hAnsi="Times New Roman" w:cs="Times New Roman"/>
          <w:sz w:val="24"/>
        </w:rPr>
        <w:t>Figure S2.</w:t>
      </w:r>
      <w:r w:rsidR="00B7244D" w:rsidRPr="000B7B97">
        <w:rPr>
          <w:rFonts w:ascii="Times New Roman" w:hAnsi="Times New Roman" w:cs="Times New Roman" w:hint="eastAsia"/>
          <w:sz w:val="24"/>
        </w:rPr>
        <w:t xml:space="preserve"> Quantification of distribution of major organs </w:t>
      </w:r>
      <w:r w:rsidR="00040A6C" w:rsidRPr="000B7B97">
        <w:rPr>
          <w:rFonts w:ascii="Times New Roman" w:hAnsi="Times New Roman" w:cs="Times New Roman" w:hint="eastAsia"/>
          <w:sz w:val="24"/>
        </w:rPr>
        <w:t xml:space="preserve">was obtained </w:t>
      </w:r>
      <w:r w:rsidR="00B7244D" w:rsidRPr="000B7B97">
        <w:rPr>
          <w:rFonts w:ascii="Times New Roman" w:hAnsi="Times New Roman" w:cs="Times New Roman" w:hint="eastAsia"/>
          <w:sz w:val="24"/>
        </w:rPr>
        <w:t>from SPECT images varied with postinjection time.</w:t>
      </w:r>
    </w:p>
    <w:p w14:paraId="0B188977" w14:textId="77777777" w:rsidR="0033054E" w:rsidRDefault="0033054E">
      <w:pPr>
        <w:rPr>
          <w:rFonts w:ascii="Times New Roman" w:hAnsi="Times New Roman" w:cs="Times New Roman"/>
          <w:sz w:val="24"/>
        </w:rPr>
      </w:pPr>
    </w:p>
    <w:p w14:paraId="7D4B1993" w14:textId="3A301EFB" w:rsidR="00AE4160" w:rsidRPr="000B7B97" w:rsidRDefault="00AE4160" w:rsidP="00AE416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noProof/>
          <w:sz w:val="24"/>
        </w:rPr>
        <w:drawing>
          <wp:inline distT="0" distB="0" distL="0" distR="0" wp14:anchorId="727DEB87" wp14:editId="5414E8A6">
            <wp:extent cx="3600000" cy="1885935"/>
            <wp:effectExtent l="0" t="0" r="635" b="635"/>
            <wp:docPr id="3" name="图片 3" descr="C:\Users\ADMINI~1\AppData\Local\Temp\Rar$DRa25196.25692\artwork\T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Rar$DRa25196.25692\artwork\TG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88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E5127" w14:textId="412E0404" w:rsidR="0033054E" w:rsidRPr="000B7B97" w:rsidRDefault="0033054E">
      <w:pPr>
        <w:rPr>
          <w:rFonts w:ascii="Times New Roman" w:hAnsi="Times New Roman" w:cs="Times New Roman"/>
        </w:rPr>
      </w:pPr>
      <w:r w:rsidRPr="000B7B97">
        <w:rPr>
          <w:rFonts w:ascii="Times New Roman" w:hAnsi="Times New Roman" w:cs="Times New Roman"/>
          <w:sz w:val="24"/>
        </w:rPr>
        <w:t>Figure S3.</w:t>
      </w:r>
      <w:r w:rsidR="00D55718" w:rsidRPr="000B7B97">
        <w:rPr>
          <w:rFonts w:ascii="Times New Roman" w:hAnsi="Times New Roman" w:cs="Times New Roman" w:hint="eastAsia"/>
          <w:sz w:val="24"/>
        </w:rPr>
        <w:t xml:space="preserve"> The tumor growth inhibition</w:t>
      </w:r>
      <w:r w:rsidR="003E43FA" w:rsidRPr="000B7B97">
        <w:rPr>
          <w:rFonts w:ascii="Times New Roman" w:hAnsi="Times New Roman" w:cs="Times New Roman" w:hint="eastAsia"/>
          <w:sz w:val="24"/>
        </w:rPr>
        <w:t xml:space="preserve"> </w:t>
      </w:r>
      <w:r w:rsidR="00D55718" w:rsidRPr="000B7B97">
        <w:rPr>
          <w:rFonts w:ascii="Times New Roman" w:hAnsi="Times New Roman" w:cs="Times New Roman" w:hint="eastAsia"/>
          <w:sz w:val="24"/>
        </w:rPr>
        <w:t>of NP</w:t>
      </w:r>
      <w:r w:rsidR="003E43FA" w:rsidRPr="000B7B97">
        <w:rPr>
          <w:rFonts w:ascii="Times New Roman" w:hAnsi="Times New Roman" w:cs="Times New Roman" w:hint="eastAsia"/>
          <w:sz w:val="24"/>
        </w:rPr>
        <w:t>s</w:t>
      </w:r>
      <w:r w:rsidR="00D55718" w:rsidRPr="000B7B97">
        <w:rPr>
          <w:rFonts w:ascii="Times New Roman" w:hAnsi="Times New Roman" w:cs="Times New Roman" w:hint="eastAsia"/>
          <w:sz w:val="24"/>
        </w:rPr>
        <w:t>, FA-NP</w:t>
      </w:r>
      <w:r w:rsidR="003E43FA" w:rsidRPr="000B7B97">
        <w:rPr>
          <w:rFonts w:ascii="Times New Roman" w:hAnsi="Times New Roman" w:cs="Times New Roman" w:hint="eastAsia"/>
          <w:sz w:val="24"/>
        </w:rPr>
        <w:t>s</w:t>
      </w:r>
      <w:r w:rsidR="00D55718" w:rsidRPr="000B7B97">
        <w:rPr>
          <w:rFonts w:ascii="Times New Roman" w:hAnsi="Times New Roman" w:cs="Times New Roman" w:hint="eastAsia"/>
          <w:sz w:val="24"/>
        </w:rPr>
        <w:t>, SN-38-NP</w:t>
      </w:r>
      <w:r w:rsidR="003E43FA" w:rsidRPr="000B7B97">
        <w:rPr>
          <w:rFonts w:ascii="Times New Roman" w:hAnsi="Times New Roman" w:cs="Times New Roman" w:hint="eastAsia"/>
          <w:sz w:val="24"/>
        </w:rPr>
        <w:t>s</w:t>
      </w:r>
      <w:r w:rsidR="00D55718" w:rsidRPr="000B7B97">
        <w:rPr>
          <w:rFonts w:ascii="Times New Roman" w:hAnsi="Times New Roman" w:cs="Times New Roman" w:hint="eastAsia"/>
          <w:sz w:val="24"/>
        </w:rPr>
        <w:t>, and SN-38-FA-NP</w:t>
      </w:r>
      <w:r w:rsidR="003E43FA" w:rsidRPr="000B7B97">
        <w:rPr>
          <w:rFonts w:ascii="Times New Roman" w:hAnsi="Times New Roman" w:cs="Times New Roman" w:hint="eastAsia"/>
          <w:sz w:val="24"/>
        </w:rPr>
        <w:t>s</w:t>
      </w:r>
      <w:r w:rsidR="00D55718" w:rsidRPr="000B7B97">
        <w:rPr>
          <w:rFonts w:ascii="Times New Roman" w:hAnsi="Times New Roman" w:cs="Times New Roman" w:hint="eastAsia"/>
          <w:sz w:val="24"/>
        </w:rPr>
        <w:t xml:space="preserve"> </w:t>
      </w:r>
      <w:r w:rsidR="00845012" w:rsidRPr="000B7B97">
        <w:rPr>
          <w:rFonts w:ascii="Times New Roman" w:hAnsi="Times New Roman" w:cs="Times New Roman" w:hint="eastAsia"/>
          <w:sz w:val="24"/>
        </w:rPr>
        <w:t xml:space="preserve">was calculated </w:t>
      </w:r>
      <w:r w:rsidR="00D55718" w:rsidRPr="000B7B97">
        <w:rPr>
          <w:rFonts w:ascii="Times New Roman" w:hAnsi="Times New Roman" w:cs="Times New Roman" w:hint="eastAsia"/>
          <w:sz w:val="24"/>
        </w:rPr>
        <w:t xml:space="preserve">over time. </w:t>
      </w:r>
      <w:r w:rsidR="00A86309" w:rsidRPr="000B7B97">
        <w:rPr>
          <w:rFonts w:ascii="Times New Roman" w:hAnsi="Times New Roman" w:cs="Times New Roman"/>
          <w:sz w:val="24"/>
        </w:rPr>
        <w:t>**p &lt; 0.01</w:t>
      </w:r>
      <w:r w:rsidR="00F42B1F" w:rsidRPr="000B7B97">
        <w:rPr>
          <w:rFonts w:ascii="Times New Roman" w:hAnsi="Times New Roman" w:cs="Times New Roman" w:hint="eastAsia"/>
          <w:sz w:val="24"/>
        </w:rPr>
        <w:t xml:space="preserve"> and </w:t>
      </w:r>
      <w:r w:rsidR="00A86309" w:rsidRPr="000B7B97">
        <w:rPr>
          <w:rFonts w:ascii="Times New Roman" w:hAnsi="Times New Roman" w:cs="Times New Roman"/>
          <w:sz w:val="24"/>
        </w:rPr>
        <w:t>***p &lt; 0.001 considered highly significant.</w:t>
      </w:r>
    </w:p>
    <w:sectPr w:rsidR="0033054E" w:rsidRPr="000B7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932B1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6D658" w16cex:dateUtc="2022-04-05T0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932B15" w16cid:durableId="25F6D65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9F391" w14:textId="77777777" w:rsidR="000C0ED1" w:rsidRDefault="000C0ED1" w:rsidP="0033054E">
      <w:r>
        <w:separator/>
      </w:r>
    </w:p>
  </w:endnote>
  <w:endnote w:type="continuationSeparator" w:id="0">
    <w:p w14:paraId="4306531A" w14:textId="77777777" w:rsidR="000C0ED1" w:rsidRDefault="000C0ED1" w:rsidP="0033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D78FC" w14:textId="77777777" w:rsidR="000C0ED1" w:rsidRDefault="000C0ED1" w:rsidP="0033054E">
      <w:r>
        <w:separator/>
      </w:r>
    </w:p>
  </w:footnote>
  <w:footnote w:type="continuationSeparator" w:id="0">
    <w:p w14:paraId="70B999D6" w14:textId="77777777" w:rsidR="000C0ED1" w:rsidRDefault="000C0ED1" w:rsidP="0033054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audia Bartle">
    <w15:presenceInfo w15:providerId="AD" w15:userId="S::claudiabartle@dovemedicalpressltd.onmicrosoft.com::24c78352-d604-4d81-af20-1de51f22c7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B6"/>
    <w:rsid w:val="00011D5A"/>
    <w:rsid w:val="00040A6C"/>
    <w:rsid w:val="00094951"/>
    <w:rsid w:val="000B7B97"/>
    <w:rsid w:val="000C0ED1"/>
    <w:rsid w:val="00143DB6"/>
    <w:rsid w:val="00164CAB"/>
    <w:rsid w:val="00201C68"/>
    <w:rsid w:val="00264523"/>
    <w:rsid w:val="0033054E"/>
    <w:rsid w:val="00330C46"/>
    <w:rsid w:val="00331A29"/>
    <w:rsid w:val="003E43FA"/>
    <w:rsid w:val="00414918"/>
    <w:rsid w:val="004E5161"/>
    <w:rsid w:val="00522FB7"/>
    <w:rsid w:val="00524F89"/>
    <w:rsid w:val="00647AE2"/>
    <w:rsid w:val="006E7497"/>
    <w:rsid w:val="00776A2F"/>
    <w:rsid w:val="00845012"/>
    <w:rsid w:val="0087665F"/>
    <w:rsid w:val="008F176B"/>
    <w:rsid w:val="00A85186"/>
    <w:rsid w:val="00A86309"/>
    <w:rsid w:val="00AE4160"/>
    <w:rsid w:val="00B04725"/>
    <w:rsid w:val="00B24E95"/>
    <w:rsid w:val="00B7244D"/>
    <w:rsid w:val="00BE5750"/>
    <w:rsid w:val="00CC12EE"/>
    <w:rsid w:val="00D55718"/>
    <w:rsid w:val="00DB044D"/>
    <w:rsid w:val="00E87893"/>
    <w:rsid w:val="00F42B1F"/>
    <w:rsid w:val="00F4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C7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0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05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0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054E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CC12EE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CC12EE"/>
    <w:rPr>
      <w:sz w:val="20"/>
      <w:szCs w:val="20"/>
    </w:rPr>
  </w:style>
  <w:style w:type="character" w:customStyle="1" w:styleId="Char1">
    <w:name w:val="批注文字 Char"/>
    <w:basedOn w:val="a0"/>
    <w:link w:val="a6"/>
    <w:uiPriority w:val="99"/>
    <w:semiHidden/>
    <w:rsid w:val="00CC12EE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CC12EE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CC12EE"/>
    <w:rPr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AE416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AE41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0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05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0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054E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CC12EE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CC12EE"/>
    <w:rPr>
      <w:sz w:val="20"/>
      <w:szCs w:val="20"/>
    </w:rPr>
  </w:style>
  <w:style w:type="character" w:customStyle="1" w:styleId="Char1">
    <w:name w:val="批注文字 Char"/>
    <w:basedOn w:val="a0"/>
    <w:link w:val="a6"/>
    <w:uiPriority w:val="99"/>
    <w:semiHidden/>
    <w:rsid w:val="00CC12EE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CC12EE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CC12EE"/>
    <w:rPr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AE416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AE41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2022-04-07T08:12:00Z</dcterms:created>
  <dcterms:modified xsi:type="dcterms:W3CDTF">2022-04-07T08:28:00Z</dcterms:modified>
</cp:coreProperties>
</file>