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CDBAF" w14:textId="77777777" w:rsidR="00D87AF7" w:rsidRPr="00BF0ED2" w:rsidRDefault="00052537" w:rsidP="005B567D">
      <w:pPr>
        <w:pStyle w:val="TableTitle"/>
        <w:rPr>
          <w:sz w:val="22"/>
          <w:szCs w:val="22"/>
        </w:rPr>
      </w:pPr>
      <w:r w:rsidRPr="00BF0ED2">
        <w:rPr>
          <w:rFonts w:hint="eastAsia"/>
          <w:b/>
          <w:sz w:val="22"/>
          <w:szCs w:val="22"/>
          <w:lang w:eastAsia="zh-CN"/>
        </w:rPr>
        <w:t xml:space="preserve">S1 Table. </w:t>
      </w:r>
      <w:r w:rsidR="00D87AF7" w:rsidRPr="00BF0ED2">
        <w:rPr>
          <w:b/>
          <w:sz w:val="22"/>
          <w:szCs w:val="22"/>
        </w:rPr>
        <w:t xml:space="preserve">STROBE </w:t>
      </w:r>
      <w:r w:rsidR="00F0752A" w:rsidRPr="00BF0ED2">
        <w:rPr>
          <w:b/>
          <w:sz w:val="22"/>
          <w:szCs w:val="22"/>
        </w:rPr>
        <w:t>S</w:t>
      </w:r>
      <w:r w:rsidR="00D87AF7" w:rsidRPr="00BF0ED2">
        <w:rPr>
          <w:b/>
          <w:sz w:val="22"/>
          <w:szCs w:val="22"/>
        </w:rPr>
        <w:t>tatement</w:t>
      </w:r>
      <w:r w:rsidRPr="00BF0ED2">
        <w:rPr>
          <w:rFonts w:hint="eastAsia"/>
          <w:b/>
          <w:sz w:val="22"/>
          <w:szCs w:val="22"/>
          <w:lang w:eastAsia="zh-CN"/>
        </w:rPr>
        <w:t>.</w:t>
      </w:r>
      <w:bookmarkStart w:id="0" w:name="_GoBack"/>
      <w:r w:rsidRPr="00BF0ED2">
        <w:rPr>
          <w:rFonts w:hint="eastAsia"/>
          <w:b/>
          <w:sz w:val="22"/>
          <w:szCs w:val="22"/>
          <w:lang w:eastAsia="zh-CN"/>
        </w:rPr>
        <w:t xml:space="preserve"> </w:t>
      </w:r>
      <w:r w:rsidRPr="00BF0ED2">
        <w:rPr>
          <w:rFonts w:hint="eastAsia"/>
          <w:sz w:val="22"/>
          <w:szCs w:val="22"/>
          <w:lang w:eastAsia="zh-CN"/>
        </w:rPr>
        <w:t>C</w:t>
      </w:r>
      <w:r w:rsidR="00D87AF7" w:rsidRPr="00BF0ED2">
        <w:rPr>
          <w:sz w:val="22"/>
          <w:szCs w:val="22"/>
        </w:rPr>
        <w:t xml:space="preserve">hecklist of items that should be </w:t>
      </w:r>
      <w:r w:rsidR="00B60EFB" w:rsidRPr="00BF0ED2">
        <w:rPr>
          <w:sz w:val="22"/>
          <w:szCs w:val="22"/>
        </w:rPr>
        <w:t xml:space="preserve">included </w:t>
      </w:r>
      <w:r w:rsidR="00D87AF7" w:rsidRPr="00BF0ED2">
        <w:rPr>
          <w:sz w:val="22"/>
          <w:szCs w:val="22"/>
        </w:rPr>
        <w:t>in r</w:t>
      </w:r>
      <w:r w:rsidR="004A32C8" w:rsidRPr="00BF0ED2">
        <w:rPr>
          <w:sz w:val="22"/>
          <w:szCs w:val="22"/>
        </w:rPr>
        <w:t xml:space="preserve">eports of </w:t>
      </w:r>
      <w:r w:rsidR="001615EC" w:rsidRPr="00BF0ED2">
        <w:rPr>
          <w:sz w:val="22"/>
          <w:szCs w:val="22"/>
        </w:rPr>
        <w:t>cross-sectional studies</w:t>
      </w:r>
      <w:bookmarkEnd w:id="0"/>
    </w:p>
    <w:p w14:paraId="52347DB3" w14:textId="77777777" w:rsidR="004A32C8" w:rsidRPr="003F652A" w:rsidRDefault="004A32C8" w:rsidP="005B567D">
      <w:pPr>
        <w:pStyle w:val="TableTitle"/>
      </w:pPr>
    </w:p>
    <w:tbl>
      <w:tblPr>
        <w:tblW w:w="14992" w:type="dxa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711"/>
        <w:gridCol w:w="7407"/>
        <w:gridCol w:w="1141"/>
        <w:gridCol w:w="3561"/>
      </w:tblGrid>
      <w:tr w:rsidR="0018617D" w:rsidRPr="00BF0ED2" w14:paraId="3A4738EA" w14:textId="77777777" w:rsidTr="0018617D">
        <w:tc>
          <w:tcPr>
            <w:tcW w:w="2161" w:type="dxa"/>
          </w:tcPr>
          <w:p w14:paraId="42C70D8D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bookmarkStart w:id="1" w:name="bold1" w:colFirst="1" w:colLast="1"/>
            <w:bookmarkStart w:id="2" w:name="italic1" w:colFirst="0" w:colLast="0"/>
            <w:bookmarkStart w:id="3" w:name="bold2" w:colFirst="2" w:colLast="2"/>
            <w:bookmarkStart w:id="4" w:name="italic2" w:colFirst="1" w:colLast="1"/>
            <w:bookmarkStart w:id="5" w:name="bold3" w:colFirst="3" w:colLast="3"/>
            <w:bookmarkStart w:id="6" w:name="italic3" w:colFirst="2" w:colLast="2"/>
            <w:bookmarkStart w:id="7" w:name="bold4" w:colFirst="4" w:colLast="4"/>
            <w:bookmarkStart w:id="8" w:name="italic4" w:colFirst="3" w:colLast="3"/>
            <w:bookmarkStart w:id="9" w:name="italic5" w:colFirst="4" w:colLast="4"/>
          </w:p>
        </w:tc>
        <w:tc>
          <w:tcPr>
            <w:tcW w:w="708" w:type="dxa"/>
          </w:tcPr>
          <w:p w14:paraId="695FA5AC" w14:textId="77777777" w:rsidR="00191A23" w:rsidRPr="00BF0ED2" w:rsidRDefault="00191A23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Item No.</w:t>
            </w:r>
          </w:p>
        </w:tc>
        <w:tc>
          <w:tcPr>
            <w:tcW w:w="7371" w:type="dxa"/>
            <w:vAlign w:val="bottom"/>
          </w:tcPr>
          <w:p w14:paraId="1563B451" w14:textId="77777777" w:rsidR="00191A23" w:rsidRPr="00BF0ED2" w:rsidRDefault="00191A23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Recommendation</w:t>
            </w:r>
          </w:p>
        </w:tc>
        <w:tc>
          <w:tcPr>
            <w:tcW w:w="1136" w:type="dxa"/>
          </w:tcPr>
          <w:p w14:paraId="2D09526E" w14:textId="77777777" w:rsidR="00191A23" w:rsidRPr="00BF0ED2" w:rsidRDefault="00191A23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 xml:space="preserve">Page </w:t>
            </w:r>
            <w:r w:rsidRPr="00BF0ED2">
              <w:rPr>
                <w:bCs/>
                <w:sz w:val="22"/>
                <w:szCs w:val="22"/>
              </w:rPr>
              <w:br/>
              <w:t>No.</w:t>
            </w:r>
          </w:p>
        </w:tc>
        <w:tc>
          <w:tcPr>
            <w:tcW w:w="3544" w:type="dxa"/>
          </w:tcPr>
          <w:p w14:paraId="59AC18FB" w14:textId="77777777" w:rsidR="00191A23" w:rsidRPr="00BF0ED2" w:rsidRDefault="00517788" w:rsidP="00517788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Relevant t</w:t>
            </w:r>
            <w:r w:rsidR="00191A23" w:rsidRPr="00BF0ED2">
              <w:rPr>
                <w:bCs/>
                <w:sz w:val="22"/>
                <w:szCs w:val="22"/>
              </w:rPr>
              <w:t>ext from manuscript</w:t>
            </w:r>
          </w:p>
        </w:tc>
      </w:tr>
      <w:tr w:rsidR="0018617D" w:rsidRPr="00BF0ED2" w14:paraId="5FCC9438" w14:textId="77777777" w:rsidTr="0018617D">
        <w:tc>
          <w:tcPr>
            <w:tcW w:w="2161" w:type="dxa"/>
            <w:vMerge w:val="restart"/>
          </w:tcPr>
          <w:p w14:paraId="595F39C7" w14:textId="2A18971C" w:rsidR="00191A23" w:rsidRPr="00BF0ED2" w:rsidRDefault="00191A23" w:rsidP="0022554A">
            <w:pPr>
              <w:tabs>
                <w:tab w:val="left" w:pos="5400"/>
              </w:tabs>
              <w:rPr>
                <w:b/>
                <w:bCs/>
                <w:sz w:val="22"/>
                <w:szCs w:val="22"/>
              </w:rPr>
            </w:pPr>
            <w:bookmarkStart w:id="10" w:name="bold5"/>
            <w:bookmarkStart w:id="11" w:name="italic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BF0ED2">
              <w:rPr>
                <w:b/>
                <w:sz w:val="22"/>
                <w:szCs w:val="22"/>
              </w:rPr>
              <w:t>Title and abstract</w:t>
            </w:r>
            <w:bookmarkEnd w:id="10"/>
            <w:bookmarkEnd w:id="11"/>
          </w:p>
        </w:tc>
        <w:tc>
          <w:tcPr>
            <w:tcW w:w="708" w:type="dxa"/>
            <w:vMerge w:val="restart"/>
          </w:tcPr>
          <w:p w14:paraId="35388027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14:paraId="5399317B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proofErr w:type="spellStart"/>
            <w:r w:rsidRPr="00BF0ED2">
              <w:rPr>
                <w:i/>
                <w:sz w:val="22"/>
                <w:szCs w:val="22"/>
              </w:rPr>
              <w:t>a</w:t>
            </w:r>
            <w:proofErr w:type="spellEnd"/>
            <w:r w:rsidRPr="00BF0ED2">
              <w:rPr>
                <w:sz w:val="22"/>
                <w:szCs w:val="22"/>
              </w:rPr>
              <w:t>) Indicate the study’s design with a commonly used term in the title or the abstract</w:t>
            </w:r>
          </w:p>
        </w:tc>
        <w:tc>
          <w:tcPr>
            <w:tcW w:w="1136" w:type="dxa"/>
          </w:tcPr>
          <w:p w14:paraId="370C294E" w14:textId="77777777" w:rsidR="00191A23" w:rsidRPr="00BF0ED2" w:rsidRDefault="0096753B" w:rsidP="0096753B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44" w:type="dxa"/>
          </w:tcPr>
          <w:p w14:paraId="68996535" w14:textId="3F4721E1" w:rsidR="00191A23" w:rsidRPr="00BF0ED2" w:rsidRDefault="00BD4D88" w:rsidP="0096753B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a </w:t>
            </w:r>
            <w:r w:rsidR="00C404FC" w:rsidRPr="00EC79BE">
              <w:rPr>
                <w:rFonts w:eastAsia="Times New Roman Uni"/>
                <w:sz w:val="22"/>
                <w:szCs w:val="22"/>
              </w:rPr>
              <w:t>cross-sectional</w:t>
            </w:r>
            <w:r w:rsidR="00C404FC" w:rsidRPr="00EB7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74F2">
              <w:rPr>
                <w:color w:val="000000" w:themeColor="text1"/>
                <w:sz w:val="22"/>
                <w:szCs w:val="22"/>
              </w:rPr>
              <w:t>analysis</w:t>
            </w:r>
          </w:p>
        </w:tc>
      </w:tr>
      <w:tr w:rsidR="0018617D" w:rsidRPr="00BF0ED2" w14:paraId="14305854" w14:textId="77777777" w:rsidTr="0018617D">
        <w:tc>
          <w:tcPr>
            <w:tcW w:w="2161" w:type="dxa"/>
            <w:vMerge/>
          </w:tcPr>
          <w:p w14:paraId="465F0CBF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12" w:name="bold6" w:colFirst="0" w:colLast="0"/>
            <w:bookmarkStart w:id="13" w:name="italic7" w:colFirst="0" w:colLast="0"/>
          </w:p>
        </w:tc>
        <w:tc>
          <w:tcPr>
            <w:tcW w:w="708" w:type="dxa"/>
            <w:vMerge/>
          </w:tcPr>
          <w:p w14:paraId="4778E483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03E3495D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b</w:t>
            </w:r>
            <w:r w:rsidRPr="00BF0ED2">
              <w:rPr>
                <w:sz w:val="22"/>
                <w:szCs w:val="22"/>
              </w:rPr>
              <w:t>) Provide in the abstract an informative and balanced summary of what was done and what was found</w:t>
            </w:r>
          </w:p>
        </w:tc>
        <w:tc>
          <w:tcPr>
            <w:tcW w:w="1136" w:type="dxa"/>
          </w:tcPr>
          <w:p w14:paraId="41822B1C" w14:textId="77777777" w:rsidR="00191A23" w:rsidRPr="00BF0ED2" w:rsidRDefault="0096753B" w:rsidP="0096753B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2 and 3</w:t>
            </w:r>
          </w:p>
        </w:tc>
        <w:tc>
          <w:tcPr>
            <w:tcW w:w="3544" w:type="dxa"/>
          </w:tcPr>
          <w:p w14:paraId="4B61133D" w14:textId="133E8A09" w:rsidR="00D70A2B" w:rsidRDefault="00A37B32" w:rsidP="0096753B">
            <w:pPr>
              <w:tabs>
                <w:tab w:val="left" w:pos="5400"/>
              </w:tabs>
              <w:rPr>
                <w:rFonts w:eastAsia="Times New Roman Uni"/>
                <w:kern w:val="2"/>
                <w:sz w:val="22"/>
                <w:szCs w:val="22"/>
              </w:rPr>
            </w:pPr>
            <w:r w:rsidRPr="0093314D">
              <w:rPr>
                <w:rFonts w:eastAsia="Times New Roman Uni"/>
                <w:kern w:val="2"/>
                <w:sz w:val="22"/>
                <w:szCs w:val="22"/>
              </w:rPr>
              <w:t xml:space="preserve">A </w:t>
            </w:r>
            <w:r>
              <w:rPr>
                <w:rFonts w:eastAsia="Times New Roman Uni"/>
                <w:kern w:val="2"/>
                <w:sz w:val="22"/>
                <w:szCs w:val="22"/>
              </w:rPr>
              <w:t>total of 452 patients with type 2 diabetes were included,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4D88">
              <w:rPr>
                <w:rFonts w:hint="eastAsia"/>
                <w:color w:val="000000" w:themeColor="text1"/>
                <w:sz w:val="22"/>
                <w:szCs w:val="22"/>
              </w:rPr>
              <w:t xml:space="preserve">and a </w:t>
            </w:r>
            <w:r w:rsidR="00C404FC" w:rsidRPr="00EC79BE">
              <w:rPr>
                <w:rFonts w:eastAsia="Times New Roman Uni"/>
                <w:sz w:val="22"/>
                <w:szCs w:val="22"/>
              </w:rPr>
              <w:t>cross-sectional</w:t>
            </w:r>
            <w:r w:rsidR="00C404FC" w:rsidRPr="00EB74F2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4D88" w:rsidRPr="00EB74F2">
              <w:rPr>
                <w:color w:val="000000" w:themeColor="text1"/>
                <w:sz w:val="22"/>
                <w:szCs w:val="22"/>
              </w:rPr>
              <w:t>analysis</w:t>
            </w:r>
            <w:r w:rsidR="00BD4D88" w:rsidRPr="00FA7A47">
              <w:rPr>
                <w:rFonts w:eastAsia="宋体"/>
                <w:color w:val="000000" w:themeColor="text1"/>
                <w:sz w:val="22"/>
                <w:szCs w:val="22"/>
              </w:rPr>
              <w:t xml:space="preserve"> </w:t>
            </w:r>
            <w:r w:rsidR="00BD4D88">
              <w:rPr>
                <w:rFonts w:hint="eastAsia"/>
                <w:color w:val="000000" w:themeColor="text1"/>
                <w:sz w:val="22"/>
                <w:szCs w:val="22"/>
              </w:rPr>
              <w:t xml:space="preserve">was </w:t>
            </w:r>
            <w:r w:rsidR="00BD4D88" w:rsidRPr="00E0371F">
              <w:rPr>
                <w:color w:val="000000" w:themeColor="text1"/>
                <w:sz w:val="22"/>
                <w:szCs w:val="22"/>
              </w:rPr>
              <w:t>performed</w:t>
            </w:r>
            <w:r w:rsidR="00BD4D88">
              <w:rPr>
                <w:rFonts w:eastAsia="Times New Roman Uni"/>
                <w:kern w:val="2"/>
                <w:sz w:val="22"/>
                <w:szCs w:val="22"/>
              </w:rPr>
              <w:t>.</w:t>
            </w:r>
            <w:r w:rsidR="00BD4D88" w:rsidRPr="0093314D">
              <w:rPr>
                <w:rFonts w:eastAsia="Times New Roman Uni"/>
                <w:kern w:val="2"/>
                <w:sz w:val="22"/>
                <w:szCs w:val="22"/>
              </w:rPr>
              <w:t xml:space="preserve"> </w:t>
            </w:r>
          </w:p>
          <w:p w14:paraId="39BC9F19" w14:textId="7C44B417" w:rsidR="00191A23" w:rsidRPr="00BF0ED2" w:rsidRDefault="00BD4D88" w:rsidP="0096753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93314D">
              <w:rPr>
                <w:rFonts w:eastAsia="Times New Roman Uni"/>
                <w:kern w:val="2"/>
                <w:sz w:val="22"/>
                <w:szCs w:val="22"/>
              </w:rPr>
              <w:t>Lo</w:t>
            </w:r>
            <w:r>
              <w:rPr>
                <w:rFonts w:eastAsia="Times New Roman Uni"/>
                <w:kern w:val="2"/>
                <w:sz w:val="22"/>
                <w:szCs w:val="22"/>
              </w:rPr>
              <w:t>w FT</w:t>
            </w:r>
            <w:r>
              <w:rPr>
                <w:rFonts w:eastAsia="Times New Roman Uni"/>
                <w:kern w:val="2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kern w:val="2"/>
                <w:sz w:val="22"/>
                <w:szCs w:val="22"/>
              </w:rPr>
              <w:t xml:space="preserve"> level is an independent risk factor for DKD and DKD progression.</w:t>
            </w:r>
            <w:r w:rsidRPr="008E7E09">
              <w:rPr>
                <w:rFonts w:eastAsia="Times New Roman Uni"/>
                <w:color w:val="FF0000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color w:val="FF0000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>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Pr="00141268">
              <w:rPr>
                <w:rFonts w:eastAsia="Times New Roman Uni"/>
                <w:sz w:val="22"/>
                <w:szCs w:val="22"/>
              </w:rPr>
              <w:t xml:space="preserve"> </w:t>
            </w:r>
            <w:r w:rsidRPr="005236FC">
              <w:rPr>
                <w:sz w:val="22"/>
                <w:szCs w:val="22"/>
              </w:rPr>
              <w:t>≤</w:t>
            </w:r>
            <w:r w:rsidRPr="00141268">
              <w:rPr>
                <w:rFonts w:eastAsia="Times New Roman Uni"/>
                <w:sz w:val="22"/>
                <w:szCs w:val="22"/>
              </w:rPr>
              <w:t xml:space="preserve">4.30 </w:t>
            </w:r>
            <w:proofErr w:type="spellStart"/>
            <w:r w:rsidRPr="00141268">
              <w:rPr>
                <w:rFonts w:eastAsia="Times New Roman Uni"/>
                <w:sz w:val="22"/>
                <w:szCs w:val="22"/>
              </w:rPr>
              <w:t>pmol</w:t>
            </w:r>
            <w:proofErr w:type="spellEnd"/>
            <w:r w:rsidRPr="00141268">
              <w:rPr>
                <w:rFonts w:eastAsia="Times New Roman Uni"/>
                <w:sz w:val="22"/>
                <w:szCs w:val="22"/>
              </w:rPr>
              <w:t xml:space="preserve">/L in men and </w:t>
            </w:r>
            <w:r w:rsidRPr="005236FC">
              <w:rPr>
                <w:sz w:val="22"/>
                <w:szCs w:val="22"/>
              </w:rPr>
              <w:t>≤</w:t>
            </w:r>
            <w:r w:rsidRPr="00141268">
              <w:rPr>
                <w:rFonts w:eastAsia="Times New Roman Uni"/>
                <w:sz w:val="22"/>
                <w:szCs w:val="22"/>
              </w:rPr>
              <w:t xml:space="preserve">3.99 </w:t>
            </w:r>
            <w:proofErr w:type="spellStart"/>
            <w:r w:rsidRPr="00141268">
              <w:rPr>
                <w:rFonts w:eastAsia="Times New Roman Uni"/>
                <w:sz w:val="22"/>
                <w:szCs w:val="22"/>
              </w:rPr>
              <w:t>pmol</w:t>
            </w:r>
            <w:proofErr w:type="spellEnd"/>
            <w:r w:rsidRPr="00141268">
              <w:rPr>
                <w:rFonts w:eastAsia="Times New Roman Uni"/>
                <w:sz w:val="22"/>
                <w:szCs w:val="22"/>
              </w:rPr>
              <w:t xml:space="preserve">/L in women </w:t>
            </w:r>
            <w:r>
              <w:rPr>
                <w:rFonts w:eastAsia="Times New Roman Uni"/>
                <w:sz w:val="22"/>
                <w:szCs w:val="22"/>
              </w:rPr>
              <w:t>will</w:t>
            </w:r>
            <w:r w:rsidRPr="00621C23">
              <w:rPr>
                <w:rFonts w:eastAsia="Times New Roman Uni"/>
                <w:sz w:val="22"/>
                <w:szCs w:val="22"/>
              </w:rPr>
              <w:t xml:space="preserve"> </w:t>
            </w:r>
            <w:r w:rsidRPr="00D470B9">
              <w:rPr>
                <w:rFonts w:eastAsia="Times New Roman Uni"/>
                <w:sz w:val="22"/>
                <w:szCs w:val="22"/>
              </w:rPr>
              <w:t>greatly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Pr="00621C23">
              <w:rPr>
                <w:rFonts w:eastAsia="Times New Roman Uni"/>
                <w:sz w:val="22"/>
                <w:szCs w:val="22"/>
              </w:rPr>
              <w:t>increase the risk of kidney disease progression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 w:rsidRPr="003B3FA3">
              <w:rPr>
                <w:rFonts w:eastAsia="Times New Roman Uni"/>
                <w:sz w:val="22"/>
                <w:szCs w:val="22"/>
              </w:rPr>
              <w:t>in patients with type 2 diabetes.</w:t>
            </w:r>
          </w:p>
        </w:tc>
      </w:tr>
      <w:tr w:rsidR="00191A23" w:rsidRPr="00BF0ED2" w14:paraId="38245D7A" w14:textId="77777777" w:rsidTr="0018617D">
        <w:tc>
          <w:tcPr>
            <w:tcW w:w="11376" w:type="dxa"/>
            <w:gridSpan w:val="4"/>
          </w:tcPr>
          <w:p w14:paraId="1DB9449E" w14:textId="77777777" w:rsidR="00191A23" w:rsidRPr="00BF0ED2" w:rsidRDefault="00191A23" w:rsidP="0022554A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14" w:name="bold7"/>
            <w:bookmarkStart w:id="15" w:name="italic8"/>
            <w:bookmarkEnd w:id="12"/>
            <w:bookmarkEnd w:id="13"/>
            <w:r w:rsidRPr="00BF0ED2">
              <w:rPr>
                <w:sz w:val="22"/>
                <w:szCs w:val="22"/>
              </w:rPr>
              <w:t>Introduction</w:t>
            </w:r>
          </w:p>
        </w:tc>
        <w:bookmarkEnd w:id="14"/>
        <w:bookmarkEnd w:id="15"/>
        <w:tc>
          <w:tcPr>
            <w:tcW w:w="3544" w:type="dxa"/>
          </w:tcPr>
          <w:p w14:paraId="678A1A6B" w14:textId="77777777" w:rsidR="00191A23" w:rsidRPr="00BF0ED2" w:rsidRDefault="00191A23" w:rsidP="0022554A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18617D" w:rsidRPr="00BF0ED2" w14:paraId="773D0016" w14:textId="77777777" w:rsidTr="0018617D">
        <w:tc>
          <w:tcPr>
            <w:tcW w:w="2161" w:type="dxa"/>
          </w:tcPr>
          <w:p w14:paraId="6622ECA8" w14:textId="63F251E4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16" w:name="bold8"/>
            <w:bookmarkStart w:id="17" w:name="italic9"/>
            <w:r w:rsidRPr="00BF0ED2">
              <w:rPr>
                <w:bCs/>
                <w:sz w:val="22"/>
                <w:szCs w:val="22"/>
              </w:rPr>
              <w:t>Background/</w:t>
            </w:r>
            <w:bookmarkStart w:id="18" w:name="bold9"/>
            <w:bookmarkStart w:id="19" w:name="italic10"/>
            <w:bookmarkEnd w:id="16"/>
            <w:bookmarkEnd w:id="17"/>
            <w:r w:rsidRPr="00BF0ED2">
              <w:rPr>
                <w:bCs/>
                <w:sz w:val="22"/>
                <w:szCs w:val="22"/>
              </w:rPr>
              <w:t>rationale</w:t>
            </w:r>
            <w:bookmarkEnd w:id="18"/>
            <w:bookmarkEnd w:id="19"/>
          </w:p>
        </w:tc>
        <w:tc>
          <w:tcPr>
            <w:tcW w:w="708" w:type="dxa"/>
          </w:tcPr>
          <w:p w14:paraId="64DDD2FA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14:paraId="2CF3BAE1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Explain the scientific background and rationale for the investigation being reported</w:t>
            </w:r>
          </w:p>
        </w:tc>
        <w:tc>
          <w:tcPr>
            <w:tcW w:w="1136" w:type="dxa"/>
          </w:tcPr>
          <w:p w14:paraId="1D551F75" w14:textId="67C56F2D" w:rsidR="00191A23" w:rsidRPr="00BF0ED2" w:rsidRDefault="00E34A14" w:rsidP="0096753B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4</w:t>
            </w:r>
            <w:r w:rsidR="00BD4D88">
              <w:rPr>
                <w:sz w:val="22"/>
                <w:szCs w:val="22"/>
                <w:lang w:eastAsia="zh-CN"/>
              </w:rPr>
              <w:t xml:space="preserve"> and 5</w:t>
            </w:r>
          </w:p>
        </w:tc>
        <w:tc>
          <w:tcPr>
            <w:tcW w:w="3544" w:type="dxa"/>
          </w:tcPr>
          <w:p w14:paraId="34D191E4" w14:textId="77777777" w:rsidR="005868BF" w:rsidRDefault="00BD4D88" w:rsidP="00BD4D88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  <w:lang w:val="en-US"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>In addition, thyroid hormones interact with the kidneys</w:t>
            </w:r>
            <w:r>
              <w:rPr>
                <w:rFonts w:eastAsia="Times New Roman Uni"/>
                <w:sz w:val="22"/>
                <w:szCs w:val="22"/>
                <w:lang w:val="en-US"/>
              </w:rPr>
              <w:t>.</w:t>
            </w:r>
            <w:r>
              <w:rPr>
                <w:rFonts w:eastAsia="Times New Roman Uni"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1ED0D528" w14:textId="77777777" w:rsidR="005868BF" w:rsidRDefault="00BD4D88" w:rsidP="00BD4D88">
            <w:pPr>
              <w:tabs>
                <w:tab w:val="left" w:pos="5400"/>
              </w:tabs>
              <w:rPr>
                <w:sz w:val="22"/>
                <w:szCs w:val="22"/>
                <w:lang w:val="en-US"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>Besides, the kidneys are the target organs for thyroid hormones.</w:t>
            </w:r>
          </w:p>
          <w:p w14:paraId="65A49D8C" w14:textId="4C8E3074" w:rsidR="00191A23" w:rsidRPr="00BD4D88" w:rsidRDefault="00BD4D88" w:rsidP="00BD4D88">
            <w:pPr>
              <w:tabs>
                <w:tab w:val="left" w:pos="5400"/>
              </w:tabs>
              <w:rPr>
                <w:sz w:val="22"/>
                <w:szCs w:val="22"/>
                <w:lang w:val="en-US"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Previous studies have shown that thyroid hormones can interfere with the accumulation of collagen in the cortical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interstitium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and glomeruli; </w:t>
            </w:r>
            <w:bookmarkStart w:id="20" w:name="_Hlk74147866"/>
            <w:bookmarkStart w:id="21" w:name="_Hlk74111420"/>
            <w:r>
              <w:rPr>
                <w:rFonts w:eastAsia="Times New Roman Uni"/>
                <w:sz w:val="22"/>
                <w:szCs w:val="22"/>
              </w:rPr>
              <w:t xml:space="preserve">thyroid-stimulating hormone </w:t>
            </w:r>
            <w:bookmarkEnd w:id="20"/>
            <w:r>
              <w:rPr>
                <w:rFonts w:eastAsia="Times New Roman Uni"/>
                <w:sz w:val="22"/>
                <w:szCs w:val="22"/>
              </w:rPr>
              <w:t xml:space="preserve">(TSH) </w:t>
            </w:r>
            <w:bookmarkEnd w:id="21"/>
            <w:r>
              <w:rPr>
                <w:rFonts w:eastAsia="Times New Roman Uni"/>
                <w:sz w:val="22"/>
                <w:szCs w:val="22"/>
              </w:rPr>
              <w:t>influences kidney disease progression; and low triiodothyronine (T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) levels may play a role in </w:t>
            </w:r>
            <w:r w:rsidRPr="00B41A3F">
              <w:rPr>
                <w:rFonts w:eastAsia="Times New Roman Uni"/>
                <w:sz w:val="22"/>
                <w:szCs w:val="22"/>
              </w:rPr>
              <w:t xml:space="preserve">worsening </w:t>
            </w:r>
            <w:r>
              <w:rPr>
                <w:rFonts w:eastAsia="Times New Roman Uni"/>
                <w:sz w:val="22"/>
                <w:szCs w:val="22"/>
              </w:rPr>
              <w:t>renal function</w:t>
            </w:r>
            <w:r>
              <w:rPr>
                <w:rFonts w:eastAsia="Times New Roman Uni"/>
                <w:sz w:val="22"/>
                <w:szCs w:val="22"/>
                <w:lang w:val="en-US"/>
              </w:rPr>
              <w:t>.</w:t>
            </w:r>
          </w:p>
        </w:tc>
      </w:tr>
      <w:tr w:rsidR="0018617D" w:rsidRPr="00BF0ED2" w14:paraId="4F06CD31" w14:textId="77777777" w:rsidTr="0018617D">
        <w:tc>
          <w:tcPr>
            <w:tcW w:w="2161" w:type="dxa"/>
          </w:tcPr>
          <w:p w14:paraId="7A395256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22" w:name="bold10" w:colFirst="0" w:colLast="0"/>
            <w:bookmarkStart w:id="23" w:name="italic11" w:colFirst="0" w:colLast="0"/>
            <w:r w:rsidRPr="00BF0ED2">
              <w:rPr>
                <w:bCs/>
                <w:sz w:val="22"/>
                <w:szCs w:val="22"/>
              </w:rPr>
              <w:t>Objectives</w:t>
            </w:r>
          </w:p>
        </w:tc>
        <w:tc>
          <w:tcPr>
            <w:tcW w:w="708" w:type="dxa"/>
          </w:tcPr>
          <w:p w14:paraId="0418A14F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14:paraId="3FF1151D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 xml:space="preserve">State specific objectives, including any </w:t>
            </w:r>
            <w:proofErr w:type="spellStart"/>
            <w:r w:rsidRPr="00BF0ED2">
              <w:rPr>
                <w:sz w:val="22"/>
                <w:szCs w:val="22"/>
              </w:rPr>
              <w:t>prespecified</w:t>
            </w:r>
            <w:proofErr w:type="spellEnd"/>
            <w:r w:rsidRPr="00BF0ED2">
              <w:rPr>
                <w:sz w:val="22"/>
                <w:szCs w:val="22"/>
              </w:rPr>
              <w:t xml:space="preserve"> hypotheses</w:t>
            </w:r>
          </w:p>
        </w:tc>
        <w:tc>
          <w:tcPr>
            <w:tcW w:w="1136" w:type="dxa"/>
          </w:tcPr>
          <w:p w14:paraId="1EC3C2F8" w14:textId="03F44970" w:rsidR="00E34A14" w:rsidRPr="00BF0ED2" w:rsidRDefault="00E34A14" w:rsidP="00E34A14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44" w:type="dxa"/>
          </w:tcPr>
          <w:p w14:paraId="571B57DE" w14:textId="2F00585D" w:rsidR="00BD4D88" w:rsidRPr="00171379" w:rsidRDefault="00BD4D88" w:rsidP="00171379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Therefore, the purpose of this study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 xml:space="preserve">was to explore the correlation between thyroid hormones and the </w:t>
            </w:r>
            <w:r w:rsidRPr="00B41A3F">
              <w:rPr>
                <w:rFonts w:eastAsia="Times New Roman Uni"/>
                <w:sz w:val="22"/>
                <w:szCs w:val="22"/>
              </w:rPr>
              <w:t xml:space="preserve">progression </w:t>
            </w:r>
            <w:r>
              <w:rPr>
                <w:rFonts w:eastAsia="Times New Roman Uni"/>
                <w:sz w:val="22"/>
                <w:szCs w:val="22"/>
              </w:rPr>
              <w:t>risk of type 2 diabetic kidney disease (DKD).</w:t>
            </w:r>
          </w:p>
        </w:tc>
      </w:tr>
      <w:tr w:rsidR="00191A23" w:rsidRPr="00BF0ED2" w14:paraId="43A5E85F" w14:textId="77777777" w:rsidTr="0018617D">
        <w:tc>
          <w:tcPr>
            <w:tcW w:w="11376" w:type="dxa"/>
            <w:gridSpan w:val="4"/>
          </w:tcPr>
          <w:p w14:paraId="52FAC012" w14:textId="77777777" w:rsidR="00191A23" w:rsidRPr="00BF0ED2" w:rsidRDefault="00191A23" w:rsidP="0022554A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24" w:name="bold11"/>
            <w:bookmarkStart w:id="25" w:name="italic12"/>
            <w:bookmarkEnd w:id="22"/>
            <w:bookmarkEnd w:id="23"/>
            <w:r w:rsidRPr="00BF0ED2">
              <w:rPr>
                <w:sz w:val="22"/>
                <w:szCs w:val="22"/>
              </w:rPr>
              <w:lastRenderedPageBreak/>
              <w:t>Methods</w:t>
            </w:r>
          </w:p>
        </w:tc>
        <w:bookmarkEnd w:id="24"/>
        <w:bookmarkEnd w:id="25"/>
        <w:tc>
          <w:tcPr>
            <w:tcW w:w="3544" w:type="dxa"/>
          </w:tcPr>
          <w:p w14:paraId="78A74242" w14:textId="77777777" w:rsidR="00191A23" w:rsidRPr="00BF0ED2" w:rsidRDefault="00191A23" w:rsidP="0022554A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18617D" w:rsidRPr="00BF0ED2" w14:paraId="4CDD72A6" w14:textId="77777777" w:rsidTr="0018617D">
        <w:tc>
          <w:tcPr>
            <w:tcW w:w="2161" w:type="dxa"/>
          </w:tcPr>
          <w:p w14:paraId="4ED04ADE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26" w:name="bold12" w:colFirst="0" w:colLast="0"/>
            <w:bookmarkStart w:id="27" w:name="italic13" w:colFirst="0" w:colLast="0"/>
            <w:r w:rsidRPr="00BF0ED2">
              <w:rPr>
                <w:bCs/>
                <w:sz w:val="22"/>
                <w:szCs w:val="22"/>
              </w:rPr>
              <w:t>Study design</w:t>
            </w:r>
          </w:p>
        </w:tc>
        <w:tc>
          <w:tcPr>
            <w:tcW w:w="708" w:type="dxa"/>
          </w:tcPr>
          <w:p w14:paraId="27D515FE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</w:tcPr>
          <w:p w14:paraId="34B987F7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Present key elements of study design early in the paper</w:t>
            </w:r>
          </w:p>
        </w:tc>
        <w:tc>
          <w:tcPr>
            <w:tcW w:w="1136" w:type="dxa"/>
          </w:tcPr>
          <w:p w14:paraId="4CA1EEA3" w14:textId="77777777" w:rsidR="00191A23" w:rsidRPr="00BF0ED2" w:rsidRDefault="002675AA" w:rsidP="0096753B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44" w:type="dxa"/>
          </w:tcPr>
          <w:p w14:paraId="7B4CD03B" w14:textId="69DABF93" w:rsidR="002C23D1" w:rsidRPr="002C23D1" w:rsidRDefault="003119C9" w:rsidP="002F66AA">
            <w:pPr>
              <w:spacing w:line="276" w:lineRule="auto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 xml:space="preserve">The present </w:t>
            </w:r>
            <w:r w:rsidRPr="00EC79BE">
              <w:rPr>
                <w:rFonts w:eastAsia="Times New Roman Uni"/>
                <w:sz w:val="22"/>
                <w:szCs w:val="22"/>
              </w:rPr>
              <w:t>cross-sectional</w:t>
            </w:r>
            <w:r w:rsidRPr="00BF0ED2">
              <w:rPr>
                <w:sz w:val="22"/>
                <w:szCs w:val="22"/>
              </w:rPr>
              <w:t xml:space="preserve"> study </w:t>
            </w:r>
            <w:proofErr w:type="spellStart"/>
            <w:r w:rsidRPr="00CC62F9">
              <w:rPr>
                <w:sz w:val="22"/>
                <w:szCs w:val="22"/>
              </w:rPr>
              <w:t>analyzed</w:t>
            </w:r>
            <w:proofErr w:type="spellEnd"/>
            <w:r w:rsidR="002C23D1" w:rsidRPr="00CC62F9">
              <w:rPr>
                <w:sz w:val="22"/>
                <w:szCs w:val="22"/>
              </w:rPr>
              <w:t xml:space="preserve"> </w:t>
            </w:r>
            <w:r w:rsidR="002C23D1">
              <w:rPr>
                <w:rFonts w:hint="eastAsia"/>
                <w:sz w:val="22"/>
                <w:szCs w:val="22"/>
              </w:rPr>
              <w:t xml:space="preserve">the </w:t>
            </w:r>
            <w:r w:rsidR="002C23D1" w:rsidRPr="00FA7A47">
              <w:rPr>
                <w:rFonts w:eastAsia="宋体"/>
                <w:color w:val="000000" w:themeColor="text1"/>
                <w:sz w:val="22"/>
                <w:szCs w:val="22"/>
              </w:rPr>
              <w:t xml:space="preserve">hospitalization data </w:t>
            </w:r>
            <w:r w:rsidR="002F66AA">
              <w:rPr>
                <w:rFonts w:eastAsia="宋体"/>
                <w:color w:val="000000" w:themeColor="text1"/>
                <w:sz w:val="22"/>
                <w:szCs w:val="22"/>
              </w:rPr>
              <w:t>of</w:t>
            </w:r>
            <w:r w:rsidR="002C23D1" w:rsidRPr="00BF0ED2">
              <w:rPr>
                <w:sz w:val="22"/>
                <w:szCs w:val="22"/>
              </w:rPr>
              <w:t xml:space="preserve"> </w:t>
            </w:r>
            <w:r w:rsidR="002C23D1">
              <w:rPr>
                <w:rFonts w:hint="eastAsia"/>
                <w:sz w:val="22"/>
                <w:szCs w:val="22"/>
              </w:rPr>
              <w:t xml:space="preserve">452 </w:t>
            </w:r>
            <w:r w:rsidR="002C23D1" w:rsidRPr="00BF0ED2">
              <w:rPr>
                <w:sz w:val="22"/>
                <w:szCs w:val="22"/>
              </w:rPr>
              <w:t xml:space="preserve">subjects </w:t>
            </w:r>
            <w:r w:rsidR="002C23D1">
              <w:rPr>
                <w:rFonts w:hint="eastAsia"/>
                <w:sz w:val="22"/>
                <w:szCs w:val="22"/>
              </w:rPr>
              <w:t xml:space="preserve">with </w:t>
            </w:r>
            <w:r w:rsidR="002C23D1" w:rsidRPr="00FA7A47">
              <w:rPr>
                <w:color w:val="000000" w:themeColor="text1"/>
                <w:sz w:val="22"/>
                <w:szCs w:val="22"/>
              </w:rPr>
              <w:t>type 2 diabet</w:t>
            </w:r>
            <w:r w:rsidR="002C23D1">
              <w:rPr>
                <w:rFonts w:hint="eastAsia"/>
                <w:color w:val="000000" w:themeColor="text1"/>
                <w:sz w:val="22"/>
                <w:szCs w:val="22"/>
              </w:rPr>
              <w:t>es</w:t>
            </w:r>
            <w:r w:rsidR="002C23D1" w:rsidRPr="00BF0ED2">
              <w:rPr>
                <w:sz w:val="22"/>
                <w:szCs w:val="22"/>
              </w:rPr>
              <w:t>.</w:t>
            </w:r>
            <w:r w:rsidR="002C23D1" w:rsidRPr="0035714B">
              <w:rPr>
                <w:rFonts w:eastAsia="Times New Roman Uni"/>
                <w:kern w:val="2"/>
                <w:sz w:val="22"/>
                <w:szCs w:val="22"/>
              </w:rPr>
              <w:t xml:space="preserve"> </w:t>
            </w:r>
            <w:r w:rsidR="002C23D1">
              <w:rPr>
                <w:rFonts w:eastAsia="Times New Roman Uni" w:hint="eastAsia"/>
                <w:kern w:val="2"/>
                <w:sz w:val="22"/>
                <w:szCs w:val="22"/>
              </w:rPr>
              <w:t>T</w:t>
            </w:r>
            <w:r w:rsidR="002C23D1">
              <w:rPr>
                <w:rFonts w:eastAsia="Times New Roman Uni"/>
                <w:kern w:val="2"/>
                <w:sz w:val="22"/>
                <w:szCs w:val="22"/>
              </w:rPr>
              <w:t xml:space="preserve">he risk of DKD </w:t>
            </w:r>
            <w:r w:rsidR="002C23D1">
              <w:rPr>
                <w:rFonts w:eastAsia="Times New Roman Uni"/>
                <w:sz w:val="22"/>
                <w:szCs w:val="22"/>
              </w:rPr>
              <w:t>progression</w:t>
            </w:r>
            <w:r w:rsidR="002C23D1">
              <w:rPr>
                <w:rFonts w:eastAsia="Times New Roman Uni" w:hint="eastAsia"/>
                <w:sz w:val="22"/>
                <w:szCs w:val="22"/>
              </w:rPr>
              <w:t xml:space="preserve"> was evaluated by</w:t>
            </w:r>
            <w:r w:rsidR="002F66AA">
              <w:rPr>
                <w:rFonts w:eastAsia="Times New Roman Uni"/>
                <w:sz w:val="22"/>
                <w:szCs w:val="22"/>
              </w:rPr>
              <w:t xml:space="preserve"> a</w:t>
            </w:r>
            <w:r w:rsidR="002C23D1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2C23D1" w:rsidRPr="0035714B">
              <w:rPr>
                <w:rFonts w:eastAsia="Times New Roman Uni"/>
                <w:sz w:val="22"/>
                <w:szCs w:val="22"/>
              </w:rPr>
              <w:t>combination</w:t>
            </w:r>
            <w:r w:rsidR="002C23D1">
              <w:rPr>
                <w:rFonts w:eastAsia="Times New Roman Uni" w:hint="eastAsia"/>
                <w:sz w:val="22"/>
                <w:szCs w:val="22"/>
              </w:rPr>
              <w:t xml:space="preserve"> of </w:t>
            </w:r>
            <w:r w:rsidR="002C23D1">
              <w:rPr>
                <w:rFonts w:eastAsia="Times New Roman Uni"/>
                <w:kern w:val="2"/>
                <w:sz w:val="22"/>
                <w:szCs w:val="22"/>
              </w:rPr>
              <w:t>urine albumin/urinary creatinine ratio (ACR) and estimated glomerular filtration rate (</w:t>
            </w:r>
            <w:proofErr w:type="spellStart"/>
            <w:r w:rsidR="002C23D1">
              <w:rPr>
                <w:rFonts w:eastAsia="Times New Roman Uni"/>
                <w:kern w:val="2"/>
                <w:sz w:val="22"/>
                <w:szCs w:val="22"/>
              </w:rPr>
              <w:t>eGFR</w:t>
            </w:r>
            <w:proofErr w:type="spellEnd"/>
            <w:r w:rsidR="002C23D1">
              <w:rPr>
                <w:rFonts w:eastAsia="Times New Roman Uni"/>
                <w:kern w:val="2"/>
                <w:sz w:val="22"/>
                <w:szCs w:val="22"/>
              </w:rPr>
              <w:t>).</w:t>
            </w:r>
          </w:p>
        </w:tc>
      </w:tr>
      <w:tr w:rsidR="0018617D" w:rsidRPr="00BF0ED2" w14:paraId="7952DD92" w14:textId="77777777" w:rsidTr="0018617D">
        <w:tc>
          <w:tcPr>
            <w:tcW w:w="2161" w:type="dxa"/>
          </w:tcPr>
          <w:p w14:paraId="66843706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28" w:name="bold13" w:colFirst="0" w:colLast="0"/>
            <w:bookmarkStart w:id="29" w:name="italic14" w:colFirst="0" w:colLast="0"/>
            <w:bookmarkEnd w:id="26"/>
            <w:bookmarkEnd w:id="27"/>
            <w:r w:rsidRPr="00BF0ED2">
              <w:rPr>
                <w:bCs/>
                <w:sz w:val="22"/>
                <w:szCs w:val="22"/>
              </w:rPr>
              <w:t>Setting</w:t>
            </w:r>
          </w:p>
        </w:tc>
        <w:tc>
          <w:tcPr>
            <w:tcW w:w="708" w:type="dxa"/>
          </w:tcPr>
          <w:p w14:paraId="793FD085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</w:tcPr>
          <w:p w14:paraId="202F7B60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136" w:type="dxa"/>
          </w:tcPr>
          <w:p w14:paraId="589CCB7E" w14:textId="77777777" w:rsidR="00191A23" w:rsidRPr="00BF0ED2" w:rsidRDefault="006E13C3" w:rsidP="0096753B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44" w:type="dxa"/>
          </w:tcPr>
          <w:p w14:paraId="123794C4" w14:textId="638CC754" w:rsidR="00191A23" w:rsidRPr="00BF0ED2" w:rsidRDefault="002F66AA" w:rsidP="002675AA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They were 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routinely hospitalized in the </w:t>
            </w:r>
            <w:r>
              <w:rPr>
                <w:color w:val="000000" w:themeColor="text1"/>
                <w:sz w:val="22"/>
                <w:szCs w:val="22"/>
              </w:rPr>
              <w:t>D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epartment of Endocrinology and Metabolism </w:t>
            </w:r>
            <w:r>
              <w:rPr>
                <w:color w:val="000000" w:themeColor="text1"/>
                <w:sz w:val="22"/>
                <w:szCs w:val="22"/>
              </w:rPr>
              <w:t>of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the Third Hospital of Nanchang </w:t>
            </w:r>
            <w:r>
              <w:rPr>
                <w:color w:val="000000" w:themeColor="text1"/>
                <w:sz w:val="22"/>
                <w:szCs w:val="22"/>
              </w:rPr>
              <w:t>between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February 2018 </w:t>
            </w:r>
            <w:r>
              <w:rPr>
                <w:color w:val="000000" w:themeColor="text1"/>
                <w:sz w:val="22"/>
                <w:szCs w:val="22"/>
              </w:rPr>
              <w:t>and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November 2020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bookmarkEnd w:id="28"/>
      <w:bookmarkEnd w:id="29"/>
      <w:tr w:rsidR="0018617D" w:rsidRPr="00BF0ED2" w14:paraId="3E06D648" w14:textId="77777777" w:rsidTr="0018617D">
        <w:tc>
          <w:tcPr>
            <w:tcW w:w="2161" w:type="dxa"/>
          </w:tcPr>
          <w:p w14:paraId="7B0B16FB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Participants</w:t>
            </w:r>
          </w:p>
        </w:tc>
        <w:tc>
          <w:tcPr>
            <w:tcW w:w="708" w:type="dxa"/>
          </w:tcPr>
          <w:p w14:paraId="737D9F94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6</w:t>
            </w:r>
          </w:p>
        </w:tc>
        <w:tc>
          <w:tcPr>
            <w:tcW w:w="7371" w:type="dxa"/>
          </w:tcPr>
          <w:p w14:paraId="355FEF78" w14:textId="77777777" w:rsidR="00191A23" w:rsidRPr="00BF0ED2" w:rsidRDefault="00191A23" w:rsidP="00EB758B">
            <w:pPr>
              <w:tabs>
                <w:tab w:val="left" w:pos="5400"/>
              </w:tabs>
              <w:rPr>
                <w:i/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a</w:t>
            </w:r>
            <w:r w:rsidRPr="00BF0ED2">
              <w:rPr>
                <w:sz w:val="22"/>
                <w:szCs w:val="22"/>
              </w:rPr>
              <w:t xml:space="preserve">) </w:t>
            </w:r>
            <w:r w:rsidRPr="00BF0ED2">
              <w:rPr>
                <w:i/>
                <w:sz w:val="22"/>
                <w:szCs w:val="22"/>
              </w:rPr>
              <w:t>Cross-sectional study</w:t>
            </w:r>
            <w:r w:rsidRPr="00BF0ED2">
              <w:rPr>
                <w:sz w:val="22"/>
                <w:szCs w:val="22"/>
              </w:rPr>
              <w:t>—Give the eligibility criteria, and the sources and methods of selection of participants</w:t>
            </w:r>
          </w:p>
        </w:tc>
        <w:tc>
          <w:tcPr>
            <w:tcW w:w="1136" w:type="dxa"/>
          </w:tcPr>
          <w:p w14:paraId="3C72AE6D" w14:textId="18835E15" w:rsidR="00191A23" w:rsidRPr="00BF0ED2" w:rsidRDefault="002675AA" w:rsidP="0096753B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5</w:t>
            </w:r>
            <w:r w:rsidR="002C23D1">
              <w:rPr>
                <w:sz w:val="22"/>
                <w:szCs w:val="22"/>
                <w:lang w:eastAsia="zh-CN"/>
              </w:rPr>
              <w:t xml:space="preserve"> and 6</w:t>
            </w:r>
          </w:p>
        </w:tc>
        <w:tc>
          <w:tcPr>
            <w:tcW w:w="3544" w:type="dxa"/>
          </w:tcPr>
          <w:p w14:paraId="1B24CBD8" w14:textId="3115F36B" w:rsidR="002F66AA" w:rsidRDefault="002F66AA" w:rsidP="00052537">
            <w:pPr>
              <w:tabs>
                <w:tab w:val="left" w:pos="540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All </w:t>
            </w:r>
            <w:r w:rsidRPr="00FA7A47">
              <w:rPr>
                <w:color w:val="000000" w:themeColor="text1"/>
                <w:sz w:val="22"/>
                <w:szCs w:val="22"/>
              </w:rPr>
              <w:t>subjects of th</w:t>
            </w:r>
            <w:r>
              <w:rPr>
                <w:color w:val="000000" w:themeColor="text1"/>
                <w:sz w:val="22"/>
                <w:szCs w:val="22"/>
              </w:rPr>
              <w:t>is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study were </w:t>
            </w:r>
            <w:r>
              <w:rPr>
                <w:color w:val="000000" w:themeColor="text1"/>
                <w:sz w:val="22"/>
                <w:szCs w:val="22"/>
              </w:rPr>
              <w:t xml:space="preserve">patients with </w:t>
            </w:r>
            <w:r w:rsidRPr="00FA7A47">
              <w:rPr>
                <w:color w:val="000000" w:themeColor="text1"/>
                <w:sz w:val="22"/>
                <w:szCs w:val="22"/>
              </w:rPr>
              <w:t>type 2 diabet</w:t>
            </w:r>
            <w:r>
              <w:rPr>
                <w:color w:val="000000" w:themeColor="text1"/>
                <w:sz w:val="22"/>
                <w:szCs w:val="22"/>
              </w:rPr>
              <w:t>es</w:t>
            </w:r>
            <w:r w:rsidRPr="004D1D8B"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>aged 18 years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or above. They were 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routinely hospitalized in the </w:t>
            </w:r>
            <w:r>
              <w:rPr>
                <w:color w:val="000000" w:themeColor="text1"/>
                <w:sz w:val="22"/>
                <w:szCs w:val="22"/>
              </w:rPr>
              <w:t>D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epartment of Endocrinology and Metabolism </w:t>
            </w:r>
            <w:r>
              <w:rPr>
                <w:color w:val="000000" w:themeColor="text1"/>
                <w:sz w:val="22"/>
                <w:szCs w:val="22"/>
              </w:rPr>
              <w:t>of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the Third Hospital of Nanchang </w:t>
            </w:r>
            <w:r>
              <w:rPr>
                <w:color w:val="000000" w:themeColor="text1"/>
                <w:sz w:val="22"/>
                <w:szCs w:val="22"/>
              </w:rPr>
              <w:t>between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February 2018 </w:t>
            </w:r>
            <w:r>
              <w:rPr>
                <w:color w:val="000000" w:themeColor="text1"/>
                <w:sz w:val="22"/>
                <w:szCs w:val="22"/>
              </w:rPr>
              <w:t>and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November 2020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169A71A7" w14:textId="79FAA8F4" w:rsidR="00191A23" w:rsidRPr="00BF0ED2" w:rsidRDefault="005868BF" w:rsidP="00052537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All 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subjects participated in the study voluntarily and signed </w:t>
            </w:r>
            <w:r w:rsidRPr="00FA7A47">
              <w:rPr>
                <w:rFonts w:hint="eastAsia"/>
                <w:color w:val="000000" w:themeColor="text1"/>
                <w:sz w:val="22"/>
                <w:szCs w:val="22"/>
              </w:rPr>
              <w:t>w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ritten </w:t>
            </w:r>
            <w:r>
              <w:rPr>
                <w:color w:val="000000" w:themeColor="text1"/>
                <w:sz w:val="22"/>
                <w:szCs w:val="22"/>
              </w:rPr>
              <w:t xml:space="preserve">the </w:t>
            </w:r>
            <w:r w:rsidRPr="00FA7A47">
              <w:rPr>
                <w:color w:val="000000" w:themeColor="text1"/>
                <w:sz w:val="22"/>
                <w:szCs w:val="22"/>
              </w:rPr>
              <w:t>informed consent form at admission</w:t>
            </w:r>
            <w:r>
              <w:rPr>
                <w:rFonts w:eastAsia="Times New Roman Uni"/>
                <w:sz w:val="22"/>
                <w:szCs w:val="22"/>
              </w:rPr>
              <w:t xml:space="preserve">. </w:t>
            </w:r>
            <w:r w:rsidR="002C23D1">
              <w:rPr>
                <w:rFonts w:eastAsia="Times New Roman Uni"/>
                <w:sz w:val="22"/>
                <w:szCs w:val="22"/>
              </w:rPr>
              <w:t xml:space="preserve">The exclusion criteria were as follows: 1) other types of diabetes; 2) </w:t>
            </w:r>
            <w:r w:rsidR="002C23D1">
              <w:rPr>
                <w:rFonts w:eastAsia="Times New Roman Uni"/>
                <w:sz w:val="22"/>
                <w:szCs w:val="22"/>
              </w:rPr>
              <w:lastRenderedPageBreak/>
              <w:t xml:space="preserve">taking drugs that affect thyroid hormone </w:t>
            </w:r>
            <w:r w:rsidR="002C23D1" w:rsidRPr="00083DEF">
              <w:rPr>
                <w:rFonts w:eastAsia="Times New Roman Uni"/>
                <w:sz w:val="22"/>
                <w:szCs w:val="22"/>
              </w:rPr>
              <w:t>level</w:t>
            </w:r>
            <w:r w:rsidR="002C23D1">
              <w:rPr>
                <w:rFonts w:eastAsia="Times New Roman Uni" w:hint="eastAsia"/>
                <w:sz w:val="22"/>
                <w:szCs w:val="22"/>
              </w:rPr>
              <w:t>s</w:t>
            </w:r>
            <w:r w:rsidR="002C23D1">
              <w:rPr>
                <w:rFonts w:eastAsia="Times New Roman Uni"/>
                <w:sz w:val="22"/>
                <w:szCs w:val="22"/>
              </w:rPr>
              <w:t>; 3) urinary tract infections or receiving drugs that affect urine protein</w:t>
            </w:r>
            <w:r w:rsidR="002C23D1" w:rsidRPr="00FA7A47">
              <w:rPr>
                <w:color w:val="000000" w:themeColor="text1"/>
                <w:sz w:val="22"/>
                <w:szCs w:val="22"/>
              </w:rPr>
              <w:t xml:space="preserve">; </w:t>
            </w:r>
            <w:r w:rsidR="002C23D1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2C23D1" w:rsidRPr="00FA7A47">
              <w:rPr>
                <w:color w:val="000000" w:themeColor="text1"/>
                <w:sz w:val="22"/>
                <w:szCs w:val="22"/>
              </w:rPr>
              <w:t>)</w:t>
            </w:r>
            <w:r w:rsidR="002C23D1" w:rsidRPr="00037732">
              <w:t xml:space="preserve"> </w:t>
            </w:r>
            <w:r w:rsidR="002C23D1">
              <w:rPr>
                <w:color w:val="000000" w:themeColor="text1"/>
                <w:sz w:val="22"/>
                <w:szCs w:val="22"/>
              </w:rPr>
              <w:t>a</w:t>
            </w:r>
            <w:r w:rsidR="002C23D1" w:rsidRPr="00037732">
              <w:rPr>
                <w:color w:val="000000" w:themeColor="text1"/>
                <w:sz w:val="22"/>
                <w:szCs w:val="22"/>
              </w:rPr>
              <w:t xml:space="preserve">n active urinary sediment (containing red or white blood cells or cellular casts), rapidly increasing albuminuria or nephrotic syndrome, rapidly decreasing </w:t>
            </w:r>
            <w:proofErr w:type="spellStart"/>
            <w:r w:rsidR="002C23D1"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 w:rsidR="002C23D1">
              <w:rPr>
                <w:color w:val="000000" w:themeColor="text1"/>
                <w:sz w:val="22"/>
                <w:szCs w:val="22"/>
              </w:rPr>
              <w:t>;</w:t>
            </w:r>
            <w:r w:rsidR="002C23D1" w:rsidRPr="00FA7A4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C23D1">
              <w:rPr>
                <w:color w:val="000000" w:themeColor="text1"/>
                <w:sz w:val="22"/>
                <w:szCs w:val="22"/>
              </w:rPr>
              <w:t>5</w:t>
            </w:r>
            <w:r w:rsidR="002C23D1" w:rsidRPr="00FA7A47">
              <w:rPr>
                <w:color w:val="000000" w:themeColor="text1"/>
                <w:sz w:val="22"/>
                <w:szCs w:val="22"/>
              </w:rPr>
              <w:t>)</w:t>
            </w:r>
            <w:r w:rsidR="002C23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F66AA">
              <w:rPr>
                <w:color w:val="000000" w:themeColor="text1"/>
                <w:sz w:val="22"/>
                <w:szCs w:val="22"/>
              </w:rPr>
              <w:t>multiple hospitalizations</w:t>
            </w:r>
            <w:r w:rsidR="002C23D1">
              <w:rPr>
                <w:rFonts w:eastAsia="Times New Roman Uni"/>
                <w:sz w:val="22"/>
                <w:szCs w:val="22"/>
              </w:rPr>
              <w:t xml:space="preserve">. A total of 486 patients were </w:t>
            </w:r>
            <w:r w:rsidR="002C23D1" w:rsidRPr="00FA7A47">
              <w:rPr>
                <w:color w:val="000000" w:themeColor="text1"/>
                <w:sz w:val="22"/>
                <w:szCs w:val="22"/>
              </w:rPr>
              <w:t>enroll</w:t>
            </w:r>
            <w:r w:rsidR="002C23D1">
              <w:rPr>
                <w:rFonts w:eastAsia="Times New Roman Uni"/>
                <w:sz w:val="22"/>
                <w:szCs w:val="22"/>
              </w:rPr>
              <w:t xml:space="preserve">ed, and 34 patients with incomplete data were excluded. </w:t>
            </w:r>
            <w:r w:rsidR="002C23D1">
              <w:rPr>
                <w:rFonts w:eastAsia="Times New Roman Uni" w:hint="eastAsia"/>
                <w:sz w:val="22"/>
                <w:szCs w:val="22"/>
              </w:rPr>
              <w:t>Finally</w:t>
            </w:r>
            <w:r w:rsidR="002C23D1">
              <w:rPr>
                <w:rFonts w:eastAsia="Times New Roman Uni"/>
                <w:sz w:val="22"/>
                <w:szCs w:val="22"/>
              </w:rPr>
              <w:t>, 452 patients were included in the study.</w:t>
            </w:r>
          </w:p>
        </w:tc>
      </w:tr>
      <w:tr w:rsidR="0018617D" w:rsidRPr="00BF0ED2" w14:paraId="41D160E8" w14:textId="77777777" w:rsidTr="0018617D">
        <w:tc>
          <w:tcPr>
            <w:tcW w:w="2161" w:type="dxa"/>
          </w:tcPr>
          <w:p w14:paraId="27574DFE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30" w:name="bold16" w:colFirst="0" w:colLast="0"/>
            <w:bookmarkStart w:id="31" w:name="italic17" w:colFirst="0" w:colLast="0"/>
            <w:r w:rsidRPr="00BF0ED2">
              <w:rPr>
                <w:bCs/>
                <w:sz w:val="22"/>
                <w:szCs w:val="22"/>
              </w:rPr>
              <w:lastRenderedPageBreak/>
              <w:t>Variables</w:t>
            </w:r>
          </w:p>
        </w:tc>
        <w:tc>
          <w:tcPr>
            <w:tcW w:w="708" w:type="dxa"/>
          </w:tcPr>
          <w:p w14:paraId="5B57C7D6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7</w:t>
            </w:r>
          </w:p>
        </w:tc>
        <w:tc>
          <w:tcPr>
            <w:tcW w:w="7371" w:type="dxa"/>
          </w:tcPr>
          <w:p w14:paraId="519A5048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136" w:type="dxa"/>
          </w:tcPr>
          <w:p w14:paraId="2806B772" w14:textId="77777777" w:rsidR="00191A23" w:rsidRPr="00BF0ED2" w:rsidRDefault="006A387A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544" w:type="dxa"/>
          </w:tcPr>
          <w:p w14:paraId="669655B9" w14:textId="77777777" w:rsidR="005868BF" w:rsidRDefault="002C23D1" w:rsidP="005F645C">
            <w:pPr>
              <w:spacing w:line="276" w:lineRule="auto"/>
              <w:rPr>
                <w:rFonts w:eastAsia="Times New Roman Uni"/>
                <w:sz w:val="22"/>
                <w:szCs w:val="22"/>
                <w:lang w:val="en-US"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DKD was defined as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&lt;60 mL/min/1.73 m</w:t>
            </w:r>
            <w:r>
              <w:rPr>
                <w:rFonts w:eastAsia="Times New Roman Uni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 Uni"/>
                <w:sz w:val="22"/>
                <w:szCs w:val="22"/>
              </w:rPr>
              <w:t xml:space="preserve"> and/or ACR ≥30 mg/g</w:t>
            </w:r>
            <w:r>
              <w:rPr>
                <w:rFonts w:eastAsia="Times New Roman Uni"/>
                <w:sz w:val="22"/>
                <w:szCs w:val="22"/>
                <w:lang w:val="en-US" w:eastAsia="zh-CN"/>
              </w:rPr>
              <w:t xml:space="preserve">. </w:t>
            </w:r>
          </w:p>
          <w:p w14:paraId="4CE32A0F" w14:textId="02A21233" w:rsidR="00191A23" w:rsidRPr="005868BF" w:rsidRDefault="005F645C" w:rsidP="005F645C">
            <w:pPr>
              <w:spacing w:line="276" w:lineRule="auto"/>
              <w:rPr>
                <w:rFonts w:eastAsia="Times New Roman Uni"/>
                <w:sz w:val="22"/>
                <w:szCs w:val="22"/>
                <w:lang w:val="en-US"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>Three different renal function classifications were used for the grouping analysis: (1) ACR &lt;30, 30–300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and</w:t>
            </w:r>
            <w:r>
              <w:rPr>
                <w:rFonts w:eastAsia="Times New Roman Uni"/>
                <w:sz w:val="22"/>
                <w:szCs w:val="22"/>
              </w:rPr>
              <w:t xml:space="preserve"> &gt;300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>mg/g were d</w:t>
            </w:r>
            <w:r>
              <w:rPr>
                <w:rFonts w:eastAsia="Times New Roman Uni" w:hint="eastAsia"/>
                <w:sz w:val="22"/>
                <w:szCs w:val="22"/>
              </w:rPr>
              <w:t>e</w:t>
            </w:r>
            <w:r>
              <w:rPr>
                <w:rFonts w:eastAsia="Times New Roman Uni"/>
                <w:sz w:val="22"/>
                <w:szCs w:val="22"/>
              </w:rPr>
              <w:t>fined as normal albuminuria, microalbuminuria and m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assive </w:t>
            </w:r>
            <w:r>
              <w:rPr>
                <w:rFonts w:eastAsia="Times New Roman Uni"/>
                <w:sz w:val="22"/>
                <w:szCs w:val="22"/>
              </w:rPr>
              <w:t xml:space="preserve">albuminuria, respectively; (2)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≥90, 60–89, 45–59, 30–44, 15–19 and &lt;15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mL/min/1.73m</w:t>
            </w:r>
            <w:r>
              <w:rPr>
                <w:rFonts w:eastAsia="Times New Roman Uni"/>
                <w:color w:val="000000" w:themeColor="text1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 Uni"/>
                <w:sz w:val="22"/>
                <w:szCs w:val="22"/>
              </w:rPr>
              <w:t xml:space="preserve"> were defined as stages 1, 2, 3a, 3b, 4 and 5</w:t>
            </w:r>
            <w:r w:rsidRPr="002375C5"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CKD, respectively; and (3) the Kidney Disease: Improving Global Outcomes (KDIGO) classification (15), which combined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with ACR, was used to assess the risk of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 xml:space="preserve">DKD progression (low, </w:t>
            </w:r>
            <w:r>
              <w:rPr>
                <w:rFonts w:eastAsia="Times New Roman Uni" w:hint="eastAsia"/>
                <w:sz w:val="22"/>
                <w:szCs w:val="22"/>
              </w:rPr>
              <w:t>moderate</w:t>
            </w:r>
            <w:r>
              <w:rPr>
                <w:rFonts w:eastAsia="Times New Roman Uni"/>
                <w:sz w:val="22"/>
                <w:szCs w:val="22"/>
              </w:rPr>
              <w:t>, high or very high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risk</w:t>
            </w:r>
            <w:r>
              <w:rPr>
                <w:rFonts w:eastAsia="Times New Roman Uni"/>
                <w:sz w:val="22"/>
                <w:szCs w:val="22"/>
              </w:rPr>
              <w:t>s).</w:t>
            </w:r>
            <w:r w:rsidR="005868BF">
              <w:rPr>
                <w:rFonts w:eastAsia="Times New Roman Uni"/>
                <w:sz w:val="22"/>
                <w:szCs w:val="22"/>
              </w:rPr>
              <w:t xml:space="preserve"> (</w:t>
            </w:r>
            <w:r w:rsidR="005868BF">
              <w:rPr>
                <w:rFonts w:eastAsia="Times New Roman Uni" w:hint="eastAsia"/>
                <w:sz w:val="22"/>
                <w:szCs w:val="22"/>
              </w:rPr>
              <w:t>Figure</w:t>
            </w:r>
            <w:r w:rsidR="005868BF">
              <w:rPr>
                <w:rFonts w:eastAsia="Times New Roman Uni"/>
                <w:sz w:val="22"/>
                <w:szCs w:val="22"/>
              </w:rPr>
              <w:t xml:space="preserve"> 1)</w:t>
            </w:r>
          </w:p>
        </w:tc>
      </w:tr>
      <w:tr w:rsidR="0018617D" w:rsidRPr="00BF0ED2" w14:paraId="5B2C79E9" w14:textId="77777777" w:rsidTr="0018617D">
        <w:trPr>
          <w:trHeight w:val="294"/>
        </w:trPr>
        <w:tc>
          <w:tcPr>
            <w:tcW w:w="2161" w:type="dxa"/>
          </w:tcPr>
          <w:p w14:paraId="187F8DDC" w14:textId="19AFCA64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32" w:name="bold17"/>
            <w:bookmarkStart w:id="33" w:name="italic18"/>
            <w:bookmarkEnd w:id="30"/>
            <w:bookmarkEnd w:id="31"/>
            <w:r w:rsidRPr="00BF0ED2">
              <w:rPr>
                <w:bCs/>
                <w:sz w:val="22"/>
                <w:szCs w:val="22"/>
              </w:rPr>
              <w:lastRenderedPageBreak/>
              <w:t>Data sources/</w:t>
            </w:r>
            <w:bookmarkStart w:id="34" w:name="bold18"/>
            <w:bookmarkStart w:id="35" w:name="italic19"/>
            <w:bookmarkEnd w:id="32"/>
            <w:bookmarkEnd w:id="33"/>
            <w:r w:rsidRPr="00BF0ED2">
              <w:rPr>
                <w:bCs/>
                <w:sz w:val="22"/>
                <w:szCs w:val="22"/>
              </w:rPr>
              <w:t>measurement</w:t>
            </w:r>
            <w:bookmarkEnd w:id="34"/>
            <w:bookmarkEnd w:id="35"/>
          </w:p>
        </w:tc>
        <w:tc>
          <w:tcPr>
            <w:tcW w:w="708" w:type="dxa"/>
          </w:tcPr>
          <w:p w14:paraId="7071E1C6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8</w:t>
            </w:r>
            <w:bookmarkStart w:id="36" w:name="bold19"/>
            <w:r w:rsidRPr="00BF0ED2">
              <w:rPr>
                <w:bCs/>
                <w:sz w:val="22"/>
                <w:szCs w:val="22"/>
              </w:rPr>
              <w:t>*</w:t>
            </w:r>
            <w:bookmarkEnd w:id="36"/>
          </w:p>
        </w:tc>
        <w:tc>
          <w:tcPr>
            <w:tcW w:w="7371" w:type="dxa"/>
          </w:tcPr>
          <w:p w14:paraId="5BEF5340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136" w:type="dxa"/>
          </w:tcPr>
          <w:p w14:paraId="0759B4DE" w14:textId="77777777" w:rsidR="00191A23" w:rsidRPr="00BF0ED2" w:rsidRDefault="000F29D2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6</w:t>
            </w:r>
            <w:r w:rsidR="00052537" w:rsidRPr="00BF0ED2">
              <w:rPr>
                <w:sz w:val="22"/>
                <w:szCs w:val="22"/>
                <w:lang w:eastAsia="zh-CN"/>
              </w:rPr>
              <w:t xml:space="preserve"> and 7</w:t>
            </w:r>
          </w:p>
        </w:tc>
        <w:tc>
          <w:tcPr>
            <w:tcW w:w="3544" w:type="dxa"/>
          </w:tcPr>
          <w:p w14:paraId="5E164495" w14:textId="77777777" w:rsidR="005868BF" w:rsidRDefault="002C23D1" w:rsidP="005F645C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A</w:t>
            </w:r>
            <w:r>
              <w:rPr>
                <w:rFonts w:hint="eastAsia"/>
                <w:bCs/>
                <w:sz w:val="22"/>
                <w:szCs w:val="22"/>
              </w:rPr>
              <w:t>n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u</w:t>
            </w:r>
            <w:r>
              <w:rPr>
                <w:bCs/>
                <w:sz w:val="22"/>
                <w:szCs w:val="22"/>
              </w:rPr>
              <w:t>ltrasonic instrument (O</w:t>
            </w:r>
            <w:r>
              <w:rPr>
                <w:rFonts w:hint="eastAsia"/>
                <w:bCs/>
                <w:sz w:val="22"/>
                <w:szCs w:val="22"/>
              </w:rPr>
              <w:t>mron HNH</w:t>
            </w:r>
            <w:r>
              <w:rPr>
                <w:rFonts w:eastAsia="Times New Roman Uni"/>
                <w:sz w:val="22"/>
                <w:szCs w:val="22"/>
              </w:rPr>
              <w:t>–</w:t>
            </w:r>
            <w:r>
              <w:rPr>
                <w:rFonts w:eastAsia="Times New Roman Uni" w:hint="eastAsia"/>
                <w:sz w:val="22"/>
                <w:szCs w:val="22"/>
              </w:rPr>
              <w:t>318</w:t>
            </w:r>
            <w:r>
              <w:rPr>
                <w:rFonts w:eastAsia="Times New Roman Uni"/>
                <w:sz w:val="22"/>
                <w:szCs w:val="22"/>
              </w:rPr>
              <w:t xml:space="preserve">, </w:t>
            </w:r>
            <w:r>
              <w:rPr>
                <w:rFonts w:eastAsia="Times New Roman Uni" w:hint="eastAsia"/>
                <w:sz w:val="22"/>
                <w:szCs w:val="22"/>
              </w:rPr>
              <w:t>Japan</w:t>
            </w:r>
            <w:r>
              <w:rPr>
                <w:bCs/>
                <w:sz w:val="22"/>
                <w:szCs w:val="22"/>
              </w:rPr>
              <w:t>) was used</w:t>
            </w:r>
            <w:r>
              <w:rPr>
                <w:rFonts w:eastAsia="Times New Roman Uni"/>
                <w:sz w:val="22"/>
                <w:szCs w:val="22"/>
              </w:rPr>
              <w:t xml:space="preserve"> to measure the height and weight of each patient to the nearest 0.1 cm and 0.1 kg, respectively. These values were used to calculate the </w:t>
            </w:r>
            <w:bookmarkStart w:id="37" w:name="_Hlk74111518"/>
            <w:r>
              <w:rPr>
                <w:rFonts w:eastAsia="Times New Roman Uni"/>
                <w:sz w:val="22"/>
                <w:szCs w:val="22"/>
              </w:rPr>
              <w:t xml:space="preserve">body mass index (BMI) </w:t>
            </w:r>
            <w:bookmarkEnd w:id="37"/>
            <w:r>
              <w:rPr>
                <w:rFonts w:eastAsia="Times New Roman Uni" w:hint="eastAsia"/>
                <w:sz w:val="22"/>
                <w:szCs w:val="22"/>
              </w:rPr>
              <w:t xml:space="preserve">by </w:t>
            </w:r>
            <w:r>
              <w:rPr>
                <w:rFonts w:eastAsia="Times New Roman Uni"/>
                <w:sz w:val="22"/>
                <w:szCs w:val="22"/>
              </w:rPr>
              <w:t>the formula, BMI=weight (kg)/height</w:t>
            </w:r>
            <w:r>
              <w:rPr>
                <w:rFonts w:eastAsia="Times New Roman Uni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 Uni"/>
                <w:sz w:val="22"/>
                <w:szCs w:val="22"/>
              </w:rPr>
              <w:t xml:space="preserve"> (m</w:t>
            </w:r>
            <w:r>
              <w:rPr>
                <w:rFonts w:eastAsia="Times New Roman Uni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 Uni"/>
                <w:sz w:val="22"/>
                <w:szCs w:val="22"/>
              </w:rPr>
              <w:t>).</w:t>
            </w:r>
          </w:p>
          <w:p w14:paraId="28DA047C" w14:textId="77777777" w:rsidR="005868BF" w:rsidRDefault="002C23D1" w:rsidP="005F645C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Venous blood was collected from patients in the morning </w:t>
            </w:r>
            <w:r w:rsidR="005F645C">
              <w:rPr>
                <w:rFonts w:eastAsia="Times New Roman Uni"/>
                <w:sz w:val="22"/>
                <w:szCs w:val="22"/>
              </w:rPr>
              <w:t>in</w:t>
            </w:r>
            <w:r>
              <w:rPr>
                <w:rFonts w:eastAsia="Times New Roman Uni"/>
                <w:sz w:val="22"/>
                <w:szCs w:val="22"/>
              </w:rPr>
              <w:t xml:space="preserve"> an empty stomach (fasting for at least 8 h). Fasting </w:t>
            </w:r>
            <w:r>
              <w:rPr>
                <w:sz w:val="22"/>
              </w:rPr>
              <w:t>blood</w:t>
            </w:r>
            <w:r w:rsidRPr="00263B6D">
              <w:rPr>
                <w:sz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glucose (FBG),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serum </w:t>
            </w:r>
            <w:r>
              <w:rPr>
                <w:rFonts w:eastAsia="Times New Roman Uni"/>
                <w:sz w:val="22"/>
                <w:szCs w:val="22"/>
              </w:rPr>
              <w:t>creatinine (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SCr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), </w:t>
            </w:r>
            <w:r>
              <w:rPr>
                <w:rFonts w:eastAsia="Times New Roman Uni" w:hint="eastAsia"/>
                <w:sz w:val="22"/>
                <w:szCs w:val="22"/>
              </w:rPr>
              <w:t>b</w:t>
            </w:r>
            <w:r>
              <w:rPr>
                <w:rFonts w:eastAsia="Times New Roman Uni"/>
                <w:sz w:val="22"/>
                <w:szCs w:val="22"/>
              </w:rPr>
              <w:t xml:space="preserve">lood urea nitrogen (BUN), uric acid (UA), serum total cholesterol (TC), triglycerides (TG), high-density lipoprotein cholesterol (HDL-C), and low-density lipoprotein cholesterol (LDL-C) levels were measured on the same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autoanalyzer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(Roche, Basel, Switzerland). Glycated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hemoglobin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(HbA1c) was detected using high-performance liquid chromatography (Bio Rad D-10, Berkeley, USA).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Chemiluminescence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immunoassay was used to measure serum TSH,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="005F645C">
              <w:rPr>
                <w:rFonts w:eastAsia="Times New Roman Uni"/>
                <w:sz w:val="22"/>
                <w:szCs w:val="22"/>
              </w:rPr>
              <w:t>,</w:t>
            </w:r>
            <w:r>
              <w:rPr>
                <w:rFonts w:eastAsia="Times New Roman Uni"/>
                <w:sz w:val="22"/>
                <w:szCs w:val="22"/>
              </w:rPr>
              <w:t xml:space="preserve">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>
              <w:rPr>
                <w:rFonts w:eastAsia="Times New Roman Uni"/>
                <w:sz w:val="22"/>
                <w:szCs w:val="22"/>
              </w:rPr>
              <w:t xml:space="preserve"> levels (Siemens ADV</w:t>
            </w:r>
            <w:r>
              <w:rPr>
                <w:rFonts w:eastAsia="Times New Roman Uni" w:hint="eastAsia"/>
                <w:sz w:val="22"/>
                <w:szCs w:val="22"/>
              </w:rPr>
              <w:t>IA C</w:t>
            </w:r>
            <w:r>
              <w:rPr>
                <w:rFonts w:eastAsia="Times New Roman Uni"/>
                <w:sz w:val="22"/>
                <w:szCs w:val="22"/>
              </w:rPr>
              <w:t>entaur XP, Germany). The reference ranges of TSH,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="005F645C">
              <w:rPr>
                <w:rFonts w:eastAsia="Times New Roman Uni"/>
                <w:sz w:val="22"/>
                <w:szCs w:val="22"/>
              </w:rPr>
              <w:t>,</w:t>
            </w:r>
            <w:r>
              <w:rPr>
                <w:rFonts w:eastAsia="Times New Roman Uni"/>
                <w:sz w:val="22"/>
                <w:szCs w:val="22"/>
              </w:rPr>
              <w:t xml:space="preserve">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 w:rsidR="005F645C">
              <w:rPr>
                <w:rFonts w:eastAsia="Times New Roman Uni"/>
                <w:sz w:val="22"/>
                <w:szCs w:val="22"/>
              </w:rPr>
              <w:t xml:space="preserve">levels </w:t>
            </w:r>
            <w:r>
              <w:rPr>
                <w:rFonts w:eastAsia="Times New Roman Uni"/>
                <w:sz w:val="22"/>
                <w:szCs w:val="22"/>
              </w:rPr>
              <w:t xml:space="preserve">were 0.38–4.34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mIU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/L,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 xml:space="preserve">2.77–6.31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pmol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/L and 10.45–24.38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pmol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/L, respectively. Urine albumin levels were measured using the </w:t>
            </w:r>
            <w:r>
              <w:rPr>
                <w:rFonts w:eastAsia="Times New Roman Uni" w:hint="eastAsia"/>
                <w:sz w:val="22"/>
                <w:szCs w:val="22"/>
              </w:rPr>
              <w:t>i</w:t>
            </w:r>
            <w:r>
              <w:rPr>
                <w:rFonts w:eastAsia="Times New Roman Uni"/>
                <w:sz w:val="22"/>
                <w:szCs w:val="22"/>
              </w:rPr>
              <w:t xml:space="preserve">mmunological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turbidimetry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assay and urine creatinine levels were measured using the picric acid method (Siemens ADVRI 2400, Germany). The urine albumin/creatinine ratio (ACR) was calculated. The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was calculated </w:t>
            </w:r>
            <w:r w:rsidRPr="00FA7A47">
              <w:rPr>
                <w:color w:val="000000" w:themeColor="text1"/>
                <w:sz w:val="22"/>
                <w:szCs w:val="22"/>
              </w:rPr>
              <w:t>using the Chronic Kidney Disease Epidemiology Collaboration (CKD-EPI) equation.</w:t>
            </w:r>
            <w:r w:rsidR="00AF7387">
              <w:rPr>
                <w:rFonts w:eastAsia="Times New Roman Uni"/>
                <w:sz w:val="22"/>
                <w:szCs w:val="22"/>
              </w:rPr>
              <w:t xml:space="preserve"> </w:t>
            </w:r>
          </w:p>
          <w:p w14:paraId="163DC7F3" w14:textId="4EEADB8B" w:rsidR="000F29D2" w:rsidRPr="002C23D1" w:rsidRDefault="00AF7387" w:rsidP="005F645C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DKD was defined as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&lt;60 mL/min/1.73 m</w:t>
            </w:r>
            <w:r>
              <w:rPr>
                <w:rFonts w:eastAsia="Times New Roman Uni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 Uni"/>
                <w:sz w:val="22"/>
                <w:szCs w:val="22"/>
              </w:rPr>
              <w:t xml:space="preserve"> and/or ACR ≥30 mg/g. 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Patients with 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or wi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thout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DKD </w:t>
            </w:r>
            <w:r>
              <w:rPr>
                <w:rFonts w:eastAsia="Times New Roman Uni"/>
                <w:sz w:val="22"/>
                <w:szCs w:val="22"/>
              </w:rPr>
              <w:t>were grouped.</w:t>
            </w:r>
          </w:p>
        </w:tc>
      </w:tr>
      <w:tr w:rsidR="0018617D" w:rsidRPr="00BF0ED2" w14:paraId="7A1AF689" w14:textId="77777777" w:rsidTr="0018617D">
        <w:tc>
          <w:tcPr>
            <w:tcW w:w="2161" w:type="dxa"/>
          </w:tcPr>
          <w:p w14:paraId="544DC82B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color w:val="000000"/>
                <w:sz w:val="22"/>
                <w:szCs w:val="22"/>
              </w:rPr>
            </w:pPr>
            <w:bookmarkStart w:id="38" w:name="bold20" w:colFirst="0" w:colLast="0"/>
            <w:bookmarkStart w:id="39" w:name="italic20" w:colFirst="0" w:colLast="0"/>
            <w:r w:rsidRPr="00BF0ED2">
              <w:rPr>
                <w:bCs/>
                <w:color w:val="000000"/>
                <w:sz w:val="22"/>
                <w:szCs w:val="22"/>
              </w:rPr>
              <w:lastRenderedPageBreak/>
              <w:t>Bias</w:t>
            </w:r>
          </w:p>
        </w:tc>
        <w:tc>
          <w:tcPr>
            <w:tcW w:w="708" w:type="dxa"/>
          </w:tcPr>
          <w:p w14:paraId="4705025F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9</w:t>
            </w:r>
          </w:p>
        </w:tc>
        <w:tc>
          <w:tcPr>
            <w:tcW w:w="7371" w:type="dxa"/>
          </w:tcPr>
          <w:p w14:paraId="2638CDCE" w14:textId="77777777" w:rsidR="00191A23" w:rsidRPr="00BF0ED2" w:rsidRDefault="00191A23" w:rsidP="0022554A">
            <w:pPr>
              <w:tabs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BF0ED2">
              <w:rPr>
                <w:color w:val="000000"/>
                <w:sz w:val="22"/>
                <w:szCs w:val="22"/>
              </w:rPr>
              <w:t>Describe any efforts to address potential sources of bias</w:t>
            </w:r>
          </w:p>
        </w:tc>
        <w:tc>
          <w:tcPr>
            <w:tcW w:w="1136" w:type="dxa"/>
          </w:tcPr>
          <w:p w14:paraId="6C3C22C3" w14:textId="77777777" w:rsidR="00191A23" w:rsidRPr="00BF0ED2" w:rsidRDefault="00C71E6D" w:rsidP="0018617D">
            <w:pPr>
              <w:tabs>
                <w:tab w:val="left" w:pos="5400"/>
              </w:tabs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BF0ED2">
              <w:rPr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544" w:type="dxa"/>
          </w:tcPr>
          <w:p w14:paraId="5A0E8541" w14:textId="25A8C91A" w:rsidR="00191A23" w:rsidRPr="00BF0ED2" w:rsidRDefault="00944495" w:rsidP="005F645C">
            <w:pPr>
              <w:tabs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We tried our best to obtain sufficient informed consent from</w:t>
            </w:r>
            <w:r>
              <w:rPr>
                <w:color w:val="000000" w:themeColor="text1"/>
                <w:sz w:val="22"/>
                <w:szCs w:val="22"/>
              </w:rPr>
              <w:t xml:space="preserve"> the</w:t>
            </w:r>
            <w:r w:rsidRPr="00BF75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A7A47">
              <w:rPr>
                <w:color w:val="000000" w:themeColor="text1"/>
                <w:sz w:val="22"/>
                <w:szCs w:val="22"/>
              </w:rPr>
              <w:t>subjects</w:t>
            </w:r>
            <w:r>
              <w:rPr>
                <w:rFonts w:eastAsia="Times New Roman Uni"/>
                <w:sz w:val="22"/>
                <w:szCs w:val="22"/>
              </w:rPr>
              <w:t xml:space="preserve"> and </w:t>
            </w:r>
            <w:r w:rsidRPr="00BF0ED2">
              <w:rPr>
                <w:sz w:val="22"/>
                <w:szCs w:val="22"/>
              </w:rPr>
              <w:t xml:space="preserve">avoid </w:t>
            </w:r>
            <w:r w:rsidRPr="00045D63">
              <w:rPr>
                <w:sz w:val="22"/>
                <w:szCs w:val="22"/>
              </w:rPr>
              <w:t>selection</w:t>
            </w:r>
            <w:r w:rsidRPr="00BF0ED2">
              <w:rPr>
                <w:sz w:val="22"/>
                <w:szCs w:val="22"/>
              </w:rPr>
              <w:t xml:space="preserve"> bias as </w:t>
            </w:r>
            <w:r w:rsidR="005F645C">
              <w:rPr>
                <w:sz w:val="22"/>
                <w:szCs w:val="22"/>
              </w:rPr>
              <w:t>much</w:t>
            </w:r>
            <w:r w:rsidRPr="00BF0ED2">
              <w:rPr>
                <w:sz w:val="22"/>
                <w:szCs w:val="22"/>
              </w:rPr>
              <w:t xml:space="preserve"> as possible</w:t>
            </w:r>
            <w:r>
              <w:rPr>
                <w:rFonts w:eastAsia="Times New Roman Uni"/>
                <w:sz w:val="22"/>
                <w:szCs w:val="22"/>
              </w:rPr>
              <w:t>.</w:t>
            </w:r>
          </w:p>
        </w:tc>
      </w:tr>
      <w:tr w:rsidR="0018617D" w:rsidRPr="00BF0ED2" w14:paraId="1D61178E" w14:textId="77777777" w:rsidTr="0018617D">
        <w:tc>
          <w:tcPr>
            <w:tcW w:w="2161" w:type="dxa"/>
          </w:tcPr>
          <w:p w14:paraId="7770E37F" w14:textId="77777777" w:rsidR="00191A23" w:rsidRPr="00BF0ED2" w:rsidRDefault="00191A23" w:rsidP="0022554A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bookmarkStart w:id="40" w:name="bold21" w:colFirst="0" w:colLast="0"/>
            <w:bookmarkStart w:id="41" w:name="italic21" w:colFirst="0" w:colLast="0"/>
            <w:bookmarkEnd w:id="38"/>
            <w:bookmarkEnd w:id="39"/>
            <w:r w:rsidRPr="00BF0ED2">
              <w:rPr>
                <w:bCs/>
                <w:sz w:val="22"/>
                <w:szCs w:val="22"/>
              </w:rPr>
              <w:t>Study size</w:t>
            </w:r>
          </w:p>
        </w:tc>
        <w:tc>
          <w:tcPr>
            <w:tcW w:w="708" w:type="dxa"/>
          </w:tcPr>
          <w:p w14:paraId="40D4778C" w14:textId="77777777" w:rsidR="00191A23" w:rsidRPr="00BF0ED2" w:rsidRDefault="00191A23" w:rsidP="0022554A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10</w:t>
            </w:r>
          </w:p>
        </w:tc>
        <w:tc>
          <w:tcPr>
            <w:tcW w:w="7371" w:type="dxa"/>
          </w:tcPr>
          <w:p w14:paraId="31FB0BCE" w14:textId="77777777" w:rsidR="00191A23" w:rsidRPr="00BF0ED2" w:rsidRDefault="00191A23" w:rsidP="0022554A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Explain how the study size was arrived at</w:t>
            </w:r>
          </w:p>
        </w:tc>
        <w:tc>
          <w:tcPr>
            <w:tcW w:w="1136" w:type="dxa"/>
          </w:tcPr>
          <w:p w14:paraId="07009E6E" w14:textId="77777777" w:rsidR="00191A23" w:rsidRPr="00BF0ED2" w:rsidRDefault="00ED44A1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5 and 6</w:t>
            </w:r>
          </w:p>
        </w:tc>
        <w:tc>
          <w:tcPr>
            <w:tcW w:w="3544" w:type="dxa"/>
          </w:tcPr>
          <w:p w14:paraId="3DCA851A" w14:textId="6B2681B1" w:rsidR="00191A23" w:rsidRPr="005F645C" w:rsidRDefault="005F645C" w:rsidP="0022554A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They were 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routinely hospitalized in the </w:t>
            </w:r>
            <w:r>
              <w:rPr>
                <w:color w:val="000000" w:themeColor="text1"/>
                <w:sz w:val="22"/>
                <w:szCs w:val="22"/>
              </w:rPr>
              <w:t>D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epartment of Endocrinology and Metabolism </w:t>
            </w:r>
            <w:r>
              <w:rPr>
                <w:color w:val="000000" w:themeColor="text1"/>
                <w:sz w:val="22"/>
                <w:szCs w:val="22"/>
              </w:rPr>
              <w:t>of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the Third Hospital of Nanchang </w:t>
            </w:r>
            <w:r>
              <w:rPr>
                <w:color w:val="000000" w:themeColor="text1"/>
                <w:sz w:val="22"/>
                <w:szCs w:val="22"/>
              </w:rPr>
              <w:t>between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February 2018 </w:t>
            </w:r>
            <w:r>
              <w:rPr>
                <w:color w:val="000000" w:themeColor="text1"/>
                <w:sz w:val="22"/>
                <w:szCs w:val="22"/>
              </w:rPr>
              <w:t>and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 November 2020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BF0ED2">
              <w:rPr>
                <w:sz w:val="22"/>
                <w:szCs w:val="22"/>
              </w:rPr>
              <w:t>We tried our best to obtain sufficient informed consent from</w:t>
            </w:r>
            <w:r>
              <w:rPr>
                <w:color w:val="000000" w:themeColor="text1"/>
                <w:sz w:val="22"/>
                <w:szCs w:val="22"/>
              </w:rPr>
              <w:t xml:space="preserve"> the</w:t>
            </w:r>
            <w:r w:rsidRPr="00BF75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A7A47">
              <w:rPr>
                <w:color w:val="000000" w:themeColor="text1"/>
                <w:sz w:val="22"/>
                <w:szCs w:val="22"/>
              </w:rPr>
              <w:t>subjects</w:t>
            </w:r>
            <w:r>
              <w:rPr>
                <w:rFonts w:eastAsia="Times New Roman Uni"/>
                <w:sz w:val="22"/>
                <w:szCs w:val="22"/>
              </w:rPr>
              <w:t xml:space="preserve"> and </w:t>
            </w:r>
            <w:r w:rsidRPr="00BF0ED2">
              <w:rPr>
                <w:sz w:val="22"/>
                <w:szCs w:val="22"/>
              </w:rPr>
              <w:t xml:space="preserve">avoid </w:t>
            </w:r>
            <w:r w:rsidRPr="00045D63">
              <w:rPr>
                <w:sz w:val="22"/>
                <w:szCs w:val="22"/>
              </w:rPr>
              <w:t>selection</w:t>
            </w:r>
            <w:r w:rsidRPr="00BF0ED2">
              <w:rPr>
                <w:sz w:val="22"/>
                <w:szCs w:val="22"/>
              </w:rPr>
              <w:t xml:space="preserve"> bias as </w:t>
            </w:r>
            <w:r>
              <w:rPr>
                <w:sz w:val="22"/>
                <w:szCs w:val="22"/>
              </w:rPr>
              <w:t>much</w:t>
            </w:r>
            <w:r w:rsidRPr="00BF0ED2">
              <w:rPr>
                <w:sz w:val="22"/>
                <w:szCs w:val="22"/>
              </w:rPr>
              <w:t xml:space="preserve"> as possible</w:t>
            </w:r>
            <w:r>
              <w:rPr>
                <w:rFonts w:eastAsia="Times New Roman Uni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 xml:space="preserve">All 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subjects participated in the study voluntarily and signed </w:t>
            </w:r>
            <w:r w:rsidRPr="00FA7A47">
              <w:rPr>
                <w:rFonts w:hint="eastAsia"/>
                <w:color w:val="000000" w:themeColor="text1"/>
                <w:sz w:val="22"/>
                <w:szCs w:val="22"/>
              </w:rPr>
              <w:t>w</w:t>
            </w:r>
            <w:r w:rsidRPr="00FA7A47">
              <w:rPr>
                <w:color w:val="000000" w:themeColor="text1"/>
                <w:sz w:val="22"/>
                <w:szCs w:val="22"/>
              </w:rPr>
              <w:t xml:space="preserve">ritten </w:t>
            </w:r>
            <w:r>
              <w:rPr>
                <w:color w:val="000000" w:themeColor="text1"/>
                <w:sz w:val="22"/>
                <w:szCs w:val="22"/>
              </w:rPr>
              <w:t xml:space="preserve">the </w:t>
            </w:r>
            <w:r w:rsidRPr="00FA7A47">
              <w:rPr>
                <w:color w:val="000000" w:themeColor="text1"/>
                <w:sz w:val="22"/>
                <w:szCs w:val="22"/>
              </w:rPr>
              <w:t>informed consent form at admission</w:t>
            </w:r>
            <w:r>
              <w:rPr>
                <w:rFonts w:eastAsia="Times New Roman Uni"/>
                <w:sz w:val="22"/>
                <w:szCs w:val="22"/>
              </w:rPr>
              <w:t xml:space="preserve">. </w:t>
            </w:r>
            <w:r w:rsidR="00944495">
              <w:rPr>
                <w:rFonts w:eastAsia="Times New Roman Uni"/>
                <w:sz w:val="22"/>
                <w:szCs w:val="22"/>
              </w:rPr>
              <w:lastRenderedPageBreak/>
              <w:t xml:space="preserve">The exclusion criteria were as follows: 1) other types of diabetes; 2) taking drugs that affect thyroid hormone </w:t>
            </w:r>
            <w:r w:rsidR="00944495" w:rsidRPr="00083DEF">
              <w:rPr>
                <w:rFonts w:eastAsia="Times New Roman Uni"/>
                <w:sz w:val="22"/>
                <w:szCs w:val="22"/>
              </w:rPr>
              <w:t>level</w:t>
            </w:r>
            <w:r w:rsidR="00944495">
              <w:rPr>
                <w:rFonts w:eastAsia="Times New Roman Uni" w:hint="eastAsia"/>
                <w:sz w:val="22"/>
                <w:szCs w:val="22"/>
              </w:rPr>
              <w:t>s</w:t>
            </w:r>
            <w:r w:rsidR="00944495">
              <w:rPr>
                <w:rFonts w:eastAsia="Times New Roman Uni"/>
                <w:sz w:val="22"/>
                <w:szCs w:val="22"/>
              </w:rPr>
              <w:t>; 3) urinary tract infections or receiving drugs that affect urine protein</w:t>
            </w:r>
            <w:r w:rsidR="00944495" w:rsidRPr="00FA7A47">
              <w:rPr>
                <w:color w:val="000000" w:themeColor="text1"/>
                <w:sz w:val="22"/>
                <w:szCs w:val="22"/>
              </w:rPr>
              <w:t xml:space="preserve">; </w:t>
            </w:r>
            <w:r w:rsidR="00944495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944495" w:rsidRPr="00FA7A47">
              <w:rPr>
                <w:color w:val="000000" w:themeColor="text1"/>
                <w:sz w:val="22"/>
                <w:szCs w:val="22"/>
              </w:rPr>
              <w:t>)</w:t>
            </w:r>
            <w:r w:rsidR="00944495" w:rsidRPr="00037732">
              <w:t xml:space="preserve"> </w:t>
            </w:r>
            <w:r w:rsidR="00944495">
              <w:rPr>
                <w:color w:val="000000" w:themeColor="text1"/>
                <w:sz w:val="22"/>
                <w:szCs w:val="22"/>
              </w:rPr>
              <w:t>a</w:t>
            </w:r>
            <w:r w:rsidR="00944495" w:rsidRPr="00037732">
              <w:rPr>
                <w:color w:val="000000" w:themeColor="text1"/>
                <w:sz w:val="22"/>
                <w:szCs w:val="22"/>
              </w:rPr>
              <w:t xml:space="preserve">n active urinary sediment (containing red or white blood cells or cellular casts), rapidly increasing albuminuria or nephrotic syndrome, rapidly decreasing </w:t>
            </w:r>
            <w:proofErr w:type="spellStart"/>
            <w:r w:rsidR="00944495"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 w:rsidR="00944495">
              <w:rPr>
                <w:color w:val="000000" w:themeColor="text1"/>
                <w:sz w:val="22"/>
                <w:szCs w:val="22"/>
              </w:rPr>
              <w:t>;</w:t>
            </w:r>
            <w:r w:rsidR="00944495" w:rsidRPr="00FA7A47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4495">
              <w:rPr>
                <w:color w:val="000000" w:themeColor="text1"/>
                <w:sz w:val="22"/>
                <w:szCs w:val="22"/>
              </w:rPr>
              <w:t>5</w:t>
            </w:r>
            <w:r w:rsidR="00944495" w:rsidRPr="00FA7A47">
              <w:rPr>
                <w:color w:val="000000" w:themeColor="text1"/>
                <w:sz w:val="22"/>
                <w:szCs w:val="22"/>
              </w:rPr>
              <w:t>)</w:t>
            </w:r>
            <w:r w:rsidR="0094449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multiple hospitalizations</w:t>
            </w:r>
            <w:r w:rsidR="00944495">
              <w:rPr>
                <w:rFonts w:eastAsia="Times New Roman Uni"/>
                <w:sz w:val="22"/>
                <w:szCs w:val="22"/>
              </w:rPr>
              <w:t xml:space="preserve">. A total of 486 patients were </w:t>
            </w:r>
            <w:r w:rsidR="00944495" w:rsidRPr="00FA7A47">
              <w:rPr>
                <w:color w:val="000000" w:themeColor="text1"/>
                <w:sz w:val="22"/>
                <w:szCs w:val="22"/>
              </w:rPr>
              <w:t>enroll</w:t>
            </w:r>
            <w:r w:rsidR="00944495">
              <w:rPr>
                <w:rFonts w:eastAsia="Times New Roman Uni"/>
                <w:sz w:val="22"/>
                <w:szCs w:val="22"/>
              </w:rPr>
              <w:t xml:space="preserve">ed, and 34 patients with incomplete data were excluded. </w:t>
            </w:r>
            <w:r w:rsidR="00944495">
              <w:rPr>
                <w:rFonts w:eastAsia="Times New Roman Uni" w:hint="eastAsia"/>
                <w:sz w:val="22"/>
                <w:szCs w:val="22"/>
              </w:rPr>
              <w:t>Finally</w:t>
            </w:r>
            <w:r w:rsidR="00944495">
              <w:rPr>
                <w:rFonts w:eastAsia="Times New Roman Uni"/>
                <w:sz w:val="22"/>
                <w:szCs w:val="22"/>
              </w:rPr>
              <w:t>, 452 patients were included in the study.</w:t>
            </w:r>
          </w:p>
        </w:tc>
      </w:tr>
      <w:tr w:rsidR="0018617D" w:rsidRPr="00BF0ED2" w14:paraId="1A992840" w14:textId="77777777" w:rsidTr="0018617D">
        <w:trPr>
          <w:trHeight w:val="254"/>
        </w:trPr>
        <w:tc>
          <w:tcPr>
            <w:tcW w:w="2161" w:type="dxa"/>
          </w:tcPr>
          <w:p w14:paraId="30D165A6" w14:textId="77777777" w:rsidR="00EB758B" w:rsidRPr="00BF0ED2" w:rsidRDefault="00EB758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lastRenderedPageBreak/>
              <w:t>Quantitative variables</w:t>
            </w:r>
          </w:p>
        </w:tc>
        <w:tc>
          <w:tcPr>
            <w:tcW w:w="708" w:type="dxa"/>
          </w:tcPr>
          <w:p w14:paraId="6C355A95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11</w:t>
            </w:r>
          </w:p>
        </w:tc>
        <w:tc>
          <w:tcPr>
            <w:tcW w:w="7371" w:type="dxa"/>
          </w:tcPr>
          <w:p w14:paraId="55E0F8B1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136" w:type="dxa"/>
          </w:tcPr>
          <w:p w14:paraId="32B1942A" w14:textId="77777777" w:rsidR="00EB758B" w:rsidRPr="00BF0ED2" w:rsidRDefault="00EB758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544" w:type="dxa"/>
          </w:tcPr>
          <w:p w14:paraId="698F97D4" w14:textId="77777777" w:rsidR="005868BF" w:rsidRDefault="00E11055" w:rsidP="00E11055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Count data are expressed as rates (%). Normally distributed measurement data are expressed as </w:t>
            </w:r>
            <w:r>
              <w:rPr>
                <w:rFonts w:eastAsia="Times New Roman Uni" w:hint="eastAsia"/>
                <w:sz w:val="22"/>
                <w:szCs w:val="22"/>
              </w:rPr>
              <w:t>means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sym w:font="Symbol" w:char="00B1"/>
            </w:r>
            <w:r>
              <w:rPr>
                <w:rFonts w:eastAsia="Times New Roman Uni"/>
                <w:sz w:val="22"/>
                <w:szCs w:val="22"/>
              </w:rPr>
              <w:t xml:space="preserve"> standard deviations. </w:t>
            </w:r>
          </w:p>
          <w:p w14:paraId="29208070" w14:textId="77777777" w:rsidR="005868BF" w:rsidRDefault="00E11055" w:rsidP="00E11055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Non-normally distributed data are expressed as medians (interquartile ranges: 25 and 75 percentile). </w:t>
            </w:r>
          </w:p>
          <w:p w14:paraId="618DDE61" w14:textId="752D90F9" w:rsidR="00EB758B" w:rsidRPr="00BF0ED2" w:rsidRDefault="00E11055" w:rsidP="00E11055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DKD was defined as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&lt;60 mL/min/1.73 m</w:t>
            </w:r>
            <w:r>
              <w:rPr>
                <w:rFonts w:eastAsia="Times New Roman Uni"/>
                <w:sz w:val="22"/>
                <w:szCs w:val="22"/>
                <w:vertAlign w:val="superscript"/>
              </w:rPr>
              <w:t>2</w:t>
            </w:r>
            <w:r w:rsidR="00C106FA">
              <w:rPr>
                <w:rFonts w:eastAsia="Times New Roman Uni"/>
                <w:sz w:val="22"/>
                <w:szCs w:val="22"/>
              </w:rPr>
              <w:t xml:space="preserve"> and/or ACR ≥30 mg/g</w:t>
            </w:r>
            <w:r>
              <w:rPr>
                <w:rFonts w:eastAsia="Times New Roman Uni"/>
                <w:sz w:val="22"/>
                <w:szCs w:val="22"/>
              </w:rPr>
              <w:t xml:space="preserve">. 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Patients with 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or wi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thout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DKD </w:t>
            </w:r>
            <w:r>
              <w:rPr>
                <w:rFonts w:eastAsia="Times New Roman Uni"/>
                <w:sz w:val="22"/>
                <w:szCs w:val="22"/>
              </w:rPr>
              <w:t>were grouped. Three different renal function classifications were used for the grouping analysis: (1) ACR &lt;30, 30–300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and</w:t>
            </w:r>
            <w:r>
              <w:rPr>
                <w:rFonts w:eastAsia="Times New Roman Uni"/>
                <w:sz w:val="22"/>
                <w:szCs w:val="22"/>
              </w:rPr>
              <w:t xml:space="preserve"> &gt;300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>mg/g were d</w:t>
            </w:r>
            <w:r>
              <w:rPr>
                <w:rFonts w:eastAsia="Times New Roman Uni" w:hint="eastAsia"/>
                <w:sz w:val="22"/>
                <w:szCs w:val="22"/>
              </w:rPr>
              <w:t>e</w:t>
            </w:r>
            <w:r>
              <w:rPr>
                <w:rFonts w:eastAsia="Times New Roman Uni"/>
                <w:sz w:val="22"/>
                <w:szCs w:val="22"/>
              </w:rPr>
              <w:t>fined as normal albuminuria, microalbuminuria and m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assive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 xml:space="preserve">albuminuria, respectively; (2) </w:t>
            </w:r>
            <w:proofErr w:type="spellStart"/>
            <w:r w:rsidR="005F645C"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 w:rsidR="005F645C">
              <w:rPr>
                <w:rFonts w:eastAsia="Times New Roman Uni"/>
                <w:sz w:val="22"/>
                <w:szCs w:val="22"/>
              </w:rPr>
              <w:t xml:space="preserve"> ≥90, 60–89, 45–59, 30–44, 15–19 and &lt;15</w:t>
            </w:r>
            <w:r w:rsidR="005F645C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mL/min/1.73m</w:t>
            </w:r>
            <w:r w:rsidR="005F645C">
              <w:rPr>
                <w:rFonts w:eastAsia="Times New Roman Un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5F645C">
              <w:rPr>
                <w:rFonts w:eastAsia="Times New Roman Uni"/>
                <w:sz w:val="22"/>
                <w:szCs w:val="22"/>
              </w:rPr>
              <w:t xml:space="preserve"> were defined as stages 1, 2, 3a, 3b, 4 and 5</w:t>
            </w:r>
            <w:r w:rsidR="005F645C" w:rsidRPr="002375C5">
              <w:rPr>
                <w:rFonts w:eastAsia="Times New Roman Uni"/>
                <w:sz w:val="22"/>
                <w:szCs w:val="22"/>
              </w:rPr>
              <w:t xml:space="preserve"> </w:t>
            </w:r>
            <w:r w:rsidR="005F645C">
              <w:rPr>
                <w:rFonts w:eastAsia="Times New Roman Uni"/>
                <w:sz w:val="22"/>
                <w:szCs w:val="22"/>
              </w:rPr>
              <w:t>CKD, respectively</w:t>
            </w:r>
            <w:r>
              <w:rPr>
                <w:rFonts w:eastAsia="Times New Roman Uni"/>
                <w:sz w:val="22"/>
                <w:szCs w:val="22"/>
              </w:rPr>
              <w:t>; and (3) the Kidney Disease: Improving Global Outco</w:t>
            </w:r>
            <w:r w:rsidR="005F645C">
              <w:rPr>
                <w:rFonts w:eastAsia="Times New Roman Uni"/>
                <w:sz w:val="22"/>
                <w:szCs w:val="22"/>
              </w:rPr>
              <w:t xml:space="preserve">mes (KDIGO) classification, which combined </w:t>
            </w:r>
            <w:proofErr w:type="spellStart"/>
            <w:r w:rsidR="005F645C"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 w:rsidR="005F645C">
              <w:rPr>
                <w:rFonts w:eastAsia="Times New Roman Uni"/>
                <w:sz w:val="22"/>
                <w:szCs w:val="22"/>
              </w:rPr>
              <w:t xml:space="preserve"> with ACR, was </w:t>
            </w:r>
            <w:r>
              <w:rPr>
                <w:rFonts w:eastAsia="Times New Roman Uni"/>
                <w:sz w:val="22"/>
                <w:szCs w:val="22"/>
              </w:rPr>
              <w:t xml:space="preserve">used to assess the risk of DKD progression (low, </w:t>
            </w:r>
            <w:r>
              <w:rPr>
                <w:rFonts w:eastAsia="Times New Roman Uni" w:hint="eastAsia"/>
                <w:sz w:val="22"/>
                <w:szCs w:val="22"/>
              </w:rPr>
              <w:t>moderate</w:t>
            </w:r>
            <w:r>
              <w:rPr>
                <w:rFonts w:eastAsia="Times New Roman Uni"/>
                <w:sz w:val="22"/>
                <w:szCs w:val="22"/>
              </w:rPr>
              <w:t>, high or very high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risk</w:t>
            </w:r>
            <w:r>
              <w:rPr>
                <w:rFonts w:eastAsia="Times New Roman Uni"/>
                <w:sz w:val="22"/>
                <w:szCs w:val="22"/>
              </w:rPr>
              <w:t>s).</w:t>
            </w:r>
            <w:r w:rsidR="005868BF">
              <w:rPr>
                <w:rFonts w:eastAsia="Times New Roman Uni"/>
                <w:sz w:val="22"/>
                <w:szCs w:val="22"/>
              </w:rPr>
              <w:t xml:space="preserve"> (</w:t>
            </w:r>
            <w:r w:rsidR="005868BF">
              <w:rPr>
                <w:rFonts w:eastAsia="Times New Roman Uni" w:hint="eastAsia"/>
                <w:sz w:val="22"/>
                <w:szCs w:val="22"/>
              </w:rPr>
              <w:t>Figure</w:t>
            </w:r>
            <w:r w:rsidR="005868BF">
              <w:rPr>
                <w:rFonts w:eastAsia="Times New Roman Uni"/>
                <w:sz w:val="22"/>
                <w:szCs w:val="22"/>
              </w:rPr>
              <w:t xml:space="preserve"> 1)</w:t>
            </w:r>
          </w:p>
        </w:tc>
      </w:tr>
      <w:tr w:rsidR="0018617D" w:rsidRPr="00BF0ED2" w14:paraId="6479E9A1" w14:textId="77777777" w:rsidTr="0018617D">
        <w:trPr>
          <w:trHeight w:val="254"/>
        </w:trPr>
        <w:tc>
          <w:tcPr>
            <w:tcW w:w="2161" w:type="dxa"/>
          </w:tcPr>
          <w:p w14:paraId="00A9E024" w14:textId="77777777" w:rsidR="00EB758B" w:rsidRPr="00BF0ED2" w:rsidRDefault="00EB758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lastRenderedPageBreak/>
              <w:t>Statistical methods</w:t>
            </w:r>
          </w:p>
        </w:tc>
        <w:tc>
          <w:tcPr>
            <w:tcW w:w="708" w:type="dxa"/>
          </w:tcPr>
          <w:p w14:paraId="10088419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12</w:t>
            </w:r>
          </w:p>
        </w:tc>
        <w:tc>
          <w:tcPr>
            <w:tcW w:w="7371" w:type="dxa"/>
          </w:tcPr>
          <w:p w14:paraId="31C05D58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a</w:t>
            </w:r>
            <w:r w:rsidRPr="00BF0ED2">
              <w:rPr>
                <w:sz w:val="22"/>
                <w:szCs w:val="22"/>
              </w:rPr>
              <w:t>) Describe all statistical methods, including those used to control for confounding</w:t>
            </w:r>
          </w:p>
        </w:tc>
        <w:tc>
          <w:tcPr>
            <w:tcW w:w="1136" w:type="dxa"/>
          </w:tcPr>
          <w:p w14:paraId="3BC9C908" w14:textId="77777777" w:rsidR="00EB758B" w:rsidRPr="00BF0ED2" w:rsidRDefault="00EB758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7 and 8</w:t>
            </w:r>
          </w:p>
        </w:tc>
        <w:tc>
          <w:tcPr>
            <w:tcW w:w="3544" w:type="dxa"/>
          </w:tcPr>
          <w:p w14:paraId="686F8DCA" w14:textId="77777777" w:rsidR="005868BF" w:rsidRDefault="00002BA1" w:rsidP="00002BA1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All analyses were performed using SPSS 25.0. </w:t>
            </w:r>
          </w:p>
          <w:p w14:paraId="11CDE1CC" w14:textId="77777777" w:rsidR="005868BF" w:rsidRDefault="00002BA1" w:rsidP="005868BF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The χ² test was used for comparison between groups</w:t>
            </w:r>
            <w:r w:rsidR="005868BF">
              <w:rPr>
                <w:rFonts w:eastAsia="Times New Roman Uni"/>
                <w:sz w:val="22"/>
                <w:szCs w:val="22"/>
              </w:rPr>
              <w:t xml:space="preserve">. </w:t>
            </w:r>
          </w:p>
          <w:p w14:paraId="7BAC65AE" w14:textId="77777777" w:rsidR="005868BF" w:rsidRDefault="005868BF" w:rsidP="005868BF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T</w:t>
            </w:r>
            <w:r w:rsidR="00002BA1">
              <w:rPr>
                <w:rFonts w:eastAsia="Times New Roman Uni"/>
                <w:sz w:val="22"/>
                <w:szCs w:val="22"/>
              </w:rPr>
              <w:t>he differences between the groups were calculated using one-way analysis of variance</w:t>
            </w:r>
            <w:r>
              <w:rPr>
                <w:rFonts w:eastAsia="Times New Roman Uni"/>
                <w:sz w:val="22"/>
                <w:szCs w:val="22"/>
              </w:rPr>
              <w:t>.</w:t>
            </w:r>
          </w:p>
          <w:p w14:paraId="49DBE3BD" w14:textId="77777777" w:rsidR="005868BF" w:rsidRDefault="005868BF" w:rsidP="005868BF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T</w:t>
            </w:r>
            <w:r w:rsidR="00002BA1">
              <w:rPr>
                <w:rFonts w:eastAsia="Times New Roman Uni"/>
                <w:sz w:val="22"/>
                <w:szCs w:val="22"/>
              </w:rPr>
              <w:t xml:space="preserve">he Mann–Whitney and </w:t>
            </w:r>
            <w:proofErr w:type="spellStart"/>
            <w:r w:rsidR="00002BA1">
              <w:rPr>
                <w:rFonts w:eastAsia="Times New Roman Uni"/>
                <w:sz w:val="22"/>
                <w:szCs w:val="22"/>
              </w:rPr>
              <w:t>Kruskal</w:t>
            </w:r>
            <w:proofErr w:type="spellEnd"/>
            <w:r w:rsidR="00002BA1">
              <w:rPr>
                <w:rFonts w:eastAsia="Times New Roman Uni"/>
                <w:sz w:val="22"/>
                <w:szCs w:val="22"/>
              </w:rPr>
              <w:t>–Wallis tests were used to compare between the groups. The correlation between thyroid hormones and various variables were assessed using Spearman’s correlation analysis method. A multivariable logistic reg</w:t>
            </w:r>
            <w:r w:rsidR="00C106FA">
              <w:rPr>
                <w:rFonts w:eastAsia="Times New Roman Uni"/>
                <w:sz w:val="22"/>
                <w:szCs w:val="22"/>
              </w:rPr>
              <w:t xml:space="preserve">ression model was used to </w:t>
            </w:r>
            <w:proofErr w:type="spellStart"/>
            <w:r w:rsidR="00C106FA">
              <w:rPr>
                <w:rFonts w:eastAsia="Times New Roman Uni"/>
                <w:sz w:val="22"/>
                <w:szCs w:val="22"/>
              </w:rPr>
              <w:t>analy</w:t>
            </w:r>
            <w:r w:rsidR="005F645C">
              <w:rPr>
                <w:rFonts w:eastAsia="Times New Roman Uni" w:hint="eastAsia"/>
                <w:sz w:val="22"/>
                <w:szCs w:val="22"/>
              </w:rPr>
              <w:t>z</w:t>
            </w:r>
            <w:r w:rsidR="00002BA1">
              <w:rPr>
                <w:rFonts w:eastAsia="Times New Roman Uni"/>
                <w:sz w:val="22"/>
                <w:szCs w:val="22"/>
              </w:rPr>
              <w:t>e</w:t>
            </w:r>
            <w:proofErr w:type="spellEnd"/>
            <w:r w:rsidR="00002BA1">
              <w:rPr>
                <w:rFonts w:eastAsia="Times New Roman Uni"/>
                <w:sz w:val="22"/>
                <w:szCs w:val="22"/>
              </w:rPr>
              <w:t xml:space="preserve"> the </w:t>
            </w:r>
            <w:r w:rsidR="00002BA1">
              <w:rPr>
                <w:rFonts w:eastAsia="Times New Roman Uni" w:hint="eastAsia"/>
                <w:sz w:val="22"/>
                <w:szCs w:val="22"/>
              </w:rPr>
              <w:t>association</w:t>
            </w:r>
            <w:r w:rsidR="00002BA1">
              <w:rPr>
                <w:rFonts w:eastAsia="Times New Roman Uni"/>
                <w:sz w:val="22"/>
                <w:szCs w:val="22"/>
              </w:rPr>
              <w:t xml:space="preserve"> between</w:t>
            </w:r>
            <w:r w:rsidR="00002BA1">
              <w:rPr>
                <w:rFonts w:eastAsia="Times New Roman Uni" w:hint="eastAsia"/>
                <w:sz w:val="22"/>
                <w:szCs w:val="22"/>
              </w:rPr>
              <w:t xml:space="preserve"> thyroid function and diabetic nephropathy</w:t>
            </w:r>
            <w:r w:rsidR="00002BA1">
              <w:rPr>
                <w:rFonts w:eastAsia="Times New Roman Uni"/>
                <w:sz w:val="22"/>
                <w:szCs w:val="22"/>
              </w:rPr>
              <w:t xml:space="preserve">. The </w:t>
            </w:r>
            <w:r w:rsidR="00002BA1" w:rsidRPr="00BF0ED2">
              <w:rPr>
                <w:sz w:val="22"/>
                <w:szCs w:val="22"/>
              </w:rPr>
              <w:t>confounding</w:t>
            </w:r>
            <w:r w:rsidR="00002BA1" w:rsidRPr="00284BA9">
              <w:rPr>
                <w:rFonts w:eastAsia="Times New Roman Uni"/>
                <w:sz w:val="22"/>
                <w:szCs w:val="22"/>
              </w:rPr>
              <w:t xml:space="preserve"> factors</w:t>
            </w:r>
            <w:r w:rsidR="00002BA1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002BA1" w:rsidRPr="00284BA9">
              <w:rPr>
                <w:rFonts w:eastAsia="Times New Roman Uni"/>
                <w:sz w:val="22"/>
                <w:szCs w:val="22"/>
              </w:rPr>
              <w:t>include</w:t>
            </w:r>
            <w:r w:rsidR="00002BA1">
              <w:rPr>
                <w:rFonts w:eastAsia="Times New Roman Uni" w:hint="eastAsia"/>
                <w:sz w:val="22"/>
                <w:szCs w:val="22"/>
              </w:rPr>
              <w:t>d</w:t>
            </w:r>
            <w:r w:rsidR="00002BA1">
              <w:rPr>
                <w:rFonts w:eastAsia="Times New Roman Uni"/>
                <w:sz w:val="22"/>
                <w:szCs w:val="22"/>
              </w:rPr>
              <w:t xml:space="preserve"> sex, age, FBG, HbA1c, TC, TG, HDL-C and LDL-C.</w:t>
            </w:r>
            <w:r w:rsidR="00002BA1">
              <w:rPr>
                <w:rFonts w:eastAsia="Times New Roman Uni" w:hint="eastAsia"/>
                <w:sz w:val="22"/>
                <w:szCs w:val="22"/>
              </w:rPr>
              <w:t xml:space="preserve"> </w:t>
            </w:r>
          </w:p>
          <w:p w14:paraId="473201BF" w14:textId="13BC9604" w:rsidR="00002BA1" w:rsidRPr="00002BA1" w:rsidRDefault="00002BA1" w:rsidP="005868BF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P values &lt;0.05 were considered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>statistically significant.</w:t>
            </w:r>
          </w:p>
        </w:tc>
      </w:tr>
      <w:tr w:rsidR="0018617D" w:rsidRPr="00BF0ED2" w14:paraId="03E87BEB" w14:textId="77777777" w:rsidTr="0018617D">
        <w:trPr>
          <w:trHeight w:val="254"/>
        </w:trPr>
        <w:tc>
          <w:tcPr>
            <w:tcW w:w="2161" w:type="dxa"/>
          </w:tcPr>
          <w:p w14:paraId="3404BF3F" w14:textId="1FC5B9DA" w:rsidR="00EB758B" w:rsidRPr="00BF0ED2" w:rsidRDefault="00EB758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529B418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1BEEDF41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b</w:t>
            </w:r>
            <w:r w:rsidRPr="00BF0ED2">
              <w:rPr>
                <w:sz w:val="22"/>
                <w:szCs w:val="22"/>
              </w:rPr>
              <w:t>) Describe any methods used to examine subgroups and interactions</w:t>
            </w:r>
          </w:p>
        </w:tc>
        <w:tc>
          <w:tcPr>
            <w:tcW w:w="1136" w:type="dxa"/>
          </w:tcPr>
          <w:p w14:paraId="35F76E9F" w14:textId="3A9BE489" w:rsidR="00EB758B" w:rsidRPr="00BF0ED2" w:rsidRDefault="005F645C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544" w:type="dxa"/>
          </w:tcPr>
          <w:p w14:paraId="705B9177" w14:textId="346E9947" w:rsidR="00EB758B" w:rsidRPr="00BF0ED2" w:rsidRDefault="005F645C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To identify the cut-off points for thyroid hormones in assessing the risk of DKD progression, 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further s</w:t>
            </w:r>
            <w:r w:rsidRPr="008D23CE">
              <w:rPr>
                <w:rFonts w:eastAsia="Times New Roman Uni"/>
                <w:color w:val="000000" w:themeColor="text1"/>
                <w:sz w:val="22"/>
                <w:szCs w:val="22"/>
              </w:rPr>
              <w:t>ubgroup analys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e</w:t>
            </w:r>
            <w:r w:rsidRPr="008D23CE">
              <w:rPr>
                <w:rFonts w:eastAsia="Times New Roman Uni"/>
                <w:color w:val="000000" w:themeColor="text1"/>
                <w:sz w:val="22"/>
                <w:szCs w:val="22"/>
              </w:rPr>
              <w:t>s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by </w:t>
            </w:r>
            <w:r>
              <w:rPr>
                <w:rFonts w:eastAsia="Times New Roman Uni"/>
                <w:sz w:val="22"/>
                <w:szCs w:val="22"/>
              </w:rPr>
              <w:t>sex were performed.</w:t>
            </w:r>
          </w:p>
        </w:tc>
      </w:tr>
      <w:tr w:rsidR="0018617D" w:rsidRPr="00BF0ED2" w14:paraId="5B1FA7A5" w14:textId="77777777" w:rsidTr="0018617D">
        <w:trPr>
          <w:trHeight w:val="254"/>
        </w:trPr>
        <w:tc>
          <w:tcPr>
            <w:tcW w:w="2161" w:type="dxa"/>
          </w:tcPr>
          <w:p w14:paraId="08E69940" w14:textId="77777777" w:rsidR="00EB758B" w:rsidRPr="00BF0ED2" w:rsidRDefault="00EB758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191EC8B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262C3E21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c</w:t>
            </w:r>
            <w:r w:rsidRPr="00BF0ED2">
              <w:rPr>
                <w:sz w:val="22"/>
                <w:szCs w:val="22"/>
              </w:rPr>
              <w:t>) Explain how missing data were addressed</w:t>
            </w:r>
          </w:p>
        </w:tc>
        <w:tc>
          <w:tcPr>
            <w:tcW w:w="1136" w:type="dxa"/>
          </w:tcPr>
          <w:p w14:paraId="0A584338" w14:textId="77777777" w:rsidR="00EB758B" w:rsidRPr="00BF0ED2" w:rsidRDefault="00EB758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77177CE7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N/A</w:t>
            </w:r>
          </w:p>
        </w:tc>
      </w:tr>
      <w:tr w:rsidR="0018617D" w:rsidRPr="00BF0ED2" w14:paraId="155E95FE" w14:textId="77777777" w:rsidTr="0018617D">
        <w:trPr>
          <w:trHeight w:val="254"/>
        </w:trPr>
        <w:tc>
          <w:tcPr>
            <w:tcW w:w="2161" w:type="dxa"/>
          </w:tcPr>
          <w:p w14:paraId="686F5D59" w14:textId="77777777" w:rsidR="00EB758B" w:rsidRPr="00BF0ED2" w:rsidRDefault="00EB758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35D1B91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75F7434B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d</w:t>
            </w:r>
            <w:r w:rsidRPr="00BF0ED2">
              <w:rPr>
                <w:sz w:val="22"/>
                <w:szCs w:val="22"/>
              </w:rPr>
              <w:t>) If applicable, describe analytical methods taking account of sampling strategy</w:t>
            </w:r>
          </w:p>
        </w:tc>
        <w:tc>
          <w:tcPr>
            <w:tcW w:w="1136" w:type="dxa"/>
          </w:tcPr>
          <w:p w14:paraId="29DD883D" w14:textId="543EA8E8" w:rsidR="00EB758B" w:rsidRPr="00BF0ED2" w:rsidRDefault="00002BA1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32C04688" w14:textId="5BA337C8" w:rsidR="00EB758B" w:rsidRPr="00BF0ED2" w:rsidRDefault="00002BA1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  <w:lang w:eastAsia="zh-CN"/>
              </w:rPr>
              <w:t>N/A</w:t>
            </w:r>
          </w:p>
        </w:tc>
      </w:tr>
      <w:tr w:rsidR="0018617D" w:rsidRPr="00BF0ED2" w14:paraId="3D7AD7B4" w14:textId="77777777" w:rsidTr="0018617D">
        <w:trPr>
          <w:trHeight w:val="254"/>
        </w:trPr>
        <w:tc>
          <w:tcPr>
            <w:tcW w:w="2161" w:type="dxa"/>
          </w:tcPr>
          <w:p w14:paraId="68ACE8CB" w14:textId="77777777" w:rsidR="00EB758B" w:rsidRPr="00BF0ED2" w:rsidRDefault="00EB758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C6BA470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58903DB8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  <w:u w:val="single"/>
              </w:rPr>
              <w:t>e</w:t>
            </w:r>
            <w:r w:rsidRPr="00BF0ED2">
              <w:rPr>
                <w:sz w:val="22"/>
                <w:szCs w:val="22"/>
              </w:rPr>
              <w:t>) Describe any sensitivity analyses</w:t>
            </w:r>
          </w:p>
        </w:tc>
        <w:tc>
          <w:tcPr>
            <w:tcW w:w="1136" w:type="dxa"/>
          </w:tcPr>
          <w:p w14:paraId="309C9E4D" w14:textId="77777777" w:rsidR="00EB758B" w:rsidRPr="00BF0ED2" w:rsidRDefault="00EB758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0371BD61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  <w:lang w:eastAsia="zh-CN"/>
              </w:rPr>
              <w:t>N/A</w:t>
            </w:r>
          </w:p>
        </w:tc>
      </w:tr>
      <w:tr w:rsidR="0018617D" w:rsidRPr="00BF0ED2" w14:paraId="4B62CA3C" w14:textId="77777777" w:rsidTr="0018617D">
        <w:trPr>
          <w:trHeight w:val="254"/>
        </w:trPr>
        <w:tc>
          <w:tcPr>
            <w:tcW w:w="2161" w:type="dxa"/>
          </w:tcPr>
          <w:p w14:paraId="2CB1E756" w14:textId="77777777" w:rsidR="00EB758B" w:rsidRPr="00BF0ED2" w:rsidRDefault="004E7CE0" w:rsidP="007B75AB">
            <w:pPr>
              <w:tabs>
                <w:tab w:val="left" w:pos="5400"/>
              </w:tabs>
              <w:rPr>
                <w:b/>
                <w:bCs/>
                <w:sz w:val="22"/>
                <w:szCs w:val="22"/>
              </w:rPr>
            </w:pPr>
            <w:r w:rsidRPr="00BF0ED2">
              <w:rPr>
                <w:b/>
                <w:sz w:val="22"/>
                <w:szCs w:val="22"/>
              </w:rPr>
              <w:t>Results</w:t>
            </w:r>
          </w:p>
        </w:tc>
        <w:tc>
          <w:tcPr>
            <w:tcW w:w="708" w:type="dxa"/>
          </w:tcPr>
          <w:p w14:paraId="4004AB01" w14:textId="77777777" w:rsidR="00EB758B" w:rsidRPr="00BF0ED2" w:rsidRDefault="00EB758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0E211A43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26F9281A" w14:textId="77777777" w:rsidR="00EB758B" w:rsidRPr="00BF0ED2" w:rsidRDefault="00EB758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</w:tcPr>
          <w:p w14:paraId="3F8423EB" w14:textId="77777777" w:rsidR="00EB758B" w:rsidRPr="00BF0ED2" w:rsidRDefault="00EB758B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</w:p>
        </w:tc>
      </w:tr>
      <w:tr w:rsidR="0018617D" w:rsidRPr="00BF0ED2" w14:paraId="5262B9B0" w14:textId="77777777" w:rsidTr="0018617D">
        <w:trPr>
          <w:trHeight w:val="254"/>
        </w:trPr>
        <w:tc>
          <w:tcPr>
            <w:tcW w:w="2161" w:type="dxa"/>
          </w:tcPr>
          <w:p w14:paraId="27F52DCD" w14:textId="77777777" w:rsidR="00746565" w:rsidRPr="00BF0ED2" w:rsidRDefault="00746565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Participants</w:t>
            </w:r>
          </w:p>
        </w:tc>
        <w:tc>
          <w:tcPr>
            <w:tcW w:w="708" w:type="dxa"/>
          </w:tcPr>
          <w:p w14:paraId="03EAC853" w14:textId="77777777" w:rsidR="00746565" w:rsidRPr="00BF0ED2" w:rsidRDefault="00746565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13</w:t>
            </w:r>
            <w:r w:rsidRPr="00BF0ED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71" w:type="dxa"/>
          </w:tcPr>
          <w:p w14:paraId="6113CA21" w14:textId="77777777" w:rsidR="00746565" w:rsidRPr="00BF0ED2" w:rsidRDefault="00746565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(a) Report numbers of individuals at each stage of study—</w:t>
            </w:r>
            <w:proofErr w:type="spellStart"/>
            <w:r w:rsidRPr="00BF0ED2">
              <w:rPr>
                <w:sz w:val="22"/>
                <w:szCs w:val="22"/>
              </w:rPr>
              <w:t>eg</w:t>
            </w:r>
            <w:proofErr w:type="spellEnd"/>
            <w:r w:rsidRPr="00BF0ED2">
              <w:rPr>
                <w:sz w:val="22"/>
                <w:szCs w:val="22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1136" w:type="dxa"/>
          </w:tcPr>
          <w:p w14:paraId="4F3E33BF" w14:textId="77777777" w:rsidR="00746565" w:rsidRPr="00BF0ED2" w:rsidRDefault="00746565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544" w:type="dxa"/>
          </w:tcPr>
          <w:p w14:paraId="20540579" w14:textId="3C844CD0" w:rsidR="00746565" w:rsidRPr="00BF0ED2" w:rsidRDefault="00AF7387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Among the 452 subjects, 188 (41</w:t>
            </w:r>
            <w:r w:rsidR="00C106FA">
              <w:rPr>
                <w:rFonts w:eastAsia="Times New Roman Uni"/>
                <w:sz w:val="22"/>
                <w:szCs w:val="22"/>
              </w:rPr>
              <w:t xml:space="preserve">.6%) had diabetic nephropathy, </w:t>
            </w:r>
            <w:r w:rsidRPr="001D73FC">
              <w:rPr>
                <w:rFonts w:eastAsia="Times New Roman Uni"/>
                <w:sz w:val="22"/>
                <w:szCs w:val="22"/>
              </w:rPr>
              <w:t xml:space="preserve">264 </w:t>
            </w:r>
            <w:r>
              <w:rPr>
                <w:rFonts w:eastAsia="Times New Roman Uni"/>
                <w:sz w:val="22"/>
                <w:szCs w:val="22"/>
              </w:rPr>
              <w:t xml:space="preserve">(58.4%) </w:t>
            </w:r>
            <w:r w:rsidRPr="001D73FC">
              <w:rPr>
                <w:rFonts w:eastAsia="Times New Roman Uni"/>
                <w:sz w:val="22"/>
                <w:szCs w:val="22"/>
              </w:rPr>
              <w:t>di</w:t>
            </w:r>
            <w:r>
              <w:rPr>
                <w:rFonts w:eastAsia="Times New Roman Uni"/>
                <w:sz w:val="22"/>
                <w:szCs w:val="22"/>
              </w:rPr>
              <w:t xml:space="preserve">d not have diabetic nephropathy and there was no significant difference between </w:t>
            </w:r>
            <w:r>
              <w:rPr>
                <w:rFonts w:ascii="Times New Roman Uni" w:eastAsia="Times New Roman Uni" w:hAnsi="Times New Roman Uni" w:cs="Times New Roman Uni" w:hint="eastAsia"/>
                <w:color w:val="000000" w:themeColor="text1"/>
                <w:sz w:val="22"/>
                <w:szCs w:val="22"/>
              </w:rPr>
              <w:t>female</w:t>
            </w:r>
            <w:r>
              <w:rPr>
                <w:rFonts w:ascii="Times New Roman Uni" w:eastAsia="Times New Roman Uni" w:hAnsi="Times New Roman Uni" w:cs="Times New Roman Uni"/>
                <w:color w:val="000000" w:themeColor="text1"/>
                <w:sz w:val="22"/>
                <w:szCs w:val="22"/>
              </w:rPr>
              <w:t xml:space="preserve"> and </w:t>
            </w:r>
            <w:r>
              <w:rPr>
                <w:rFonts w:ascii="Times New Roman Uni" w:eastAsia="Times New Roman Uni" w:hAnsi="Times New Roman Uni" w:cs="Times New Roman Uni" w:hint="eastAsia"/>
                <w:color w:val="000000" w:themeColor="text1"/>
                <w:sz w:val="22"/>
                <w:szCs w:val="22"/>
              </w:rPr>
              <w:t>male</w:t>
            </w:r>
            <w:r>
              <w:rPr>
                <w:rFonts w:eastAsia="Times New Roman Uni"/>
                <w:sz w:val="22"/>
                <w:szCs w:val="22"/>
              </w:rPr>
              <w:t xml:space="preserve"> (P&gt;0.05).</w:t>
            </w:r>
          </w:p>
        </w:tc>
      </w:tr>
      <w:tr w:rsidR="0018617D" w:rsidRPr="00BF0ED2" w14:paraId="5A2F60C8" w14:textId="77777777" w:rsidTr="0018617D">
        <w:trPr>
          <w:trHeight w:val="254"/>
        </w:trPr>
        <w:tc>
          <w:tcPr>
            <w:tcW w:w="2161" w:type="dxa"/>
          </w:tcPr>
          <w:p w14:paraId="307A80C3" w14:textId="77777777" w:rsidR="00746565" w:rsidRPr="00BF0ED2" w:rsidRDefault="00746565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6AA7AED" w14:textId="77777777" w:rsidR="00746565" w:rsidRPr="00BF0ED2" w:rsidRDefault="00746565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353AB7E1" w14:textId="77777777" w:rsidR="00746565" w:rsidRPr="00BF0ED2" w:rsidRDefault="00746565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(b) Give reasons for non-participation at each stage</w:t>
            </w:r>
          </w:p>
        </w:tc>
        <w:tc>
          <w:tcPr>
            <w:tcW w:w="1136" w:type="dxa"/>
          </w:tcPr>
          <w:p w14:paraId="28AD0E27" w14:textId="77777777" w:rsidR="00746565" w:rsidRPr="00BF0ED2" w:rsidRDefault="00746565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1204B8BA" w14:textId="77777777" w:rsidR="00746565" w:rsidRPr="00BF0ED2" w:rsidRDefault="00746565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bookmarkStart w:id="42" w:name="OLE_LINK6"/>
            <w:bookmarkStart w:id="43" w:name="OLE_LINK7"/>
            <w:r w:rsidRPr="00BF0ED2">
              <w:rPr>
                <w:sz w:val="22"/>
                <w:szCs w:val="22"/>
                <w:lang w:eastAsia="zh-CN"/>
              </w:rPr>
              <w:t>N/A</w:t>
            </w:r>
            <w:bookmarkEnd w:id="42"/>
            <w:bookmarkEnd w:id="43"/>
          </w:p>
        </w:tc>
      </w:tr>
      <w:tr w:rsidR="0018617D" w:rsidRPr="00BF0ED2" w14:paraId="508F6742" w14:textId="77777777" w:rsidTr="0018617D">
        <w:trPr>
          <w:trHeight w:val="254"/>
        </w:trPr>
        <w:tc>
          <w:tcPr>
            <w:tcW w:w="2161" w:type="dxa"/>
          </w:tcPr>
          <w:p w14:paraId="66A0AEBF" w14:textId="77777777" w:rsidR="00746565" w:rsidRPr="00BF0ED2" w:rsidRDefault="00746565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D5CCA46" w14:textId="77777777" w:rsidR="00746565" w:rsidRPr="00BF0ED2" w:rsidRDefault="00746565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2BC8C70F" w14:textId="77777777" w:rsidR="00746565" w:rsidRPr="00BF0ED2" w:rsidRDefault="00746565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(c) Consider use of a flow diagram</w:t>
            </w:r>
          </w:p>
        </w:tc>
        <w:tc>
          <w:tcPr>
            <w:tcW w:w="1136" w:type="dxa"/>
          </w:tcPr>
          <w:p w14:paraId="508945F1" w14:textId="217790FF" w:rsidR="00746565" w:rsidRPr="00BF0ED2" w:rsidRDefault="00AF7387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3D4D10EF" w14:textId="33E41F00" w:rsidR="00746565" w:rsidRPr="00BF0ED2" w:rsidRDefault="00AF7387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  <w:lang w:eastAsia="zh-CN"/>
              </w:rPr>
              <w:t>N/A</w:t>
            </w:r>
          </w:p>
        </w:tc>
      </w:tr>
      <w:tr w:rsidR="0018617D" w:rsidRPr="00BF0ED2" w14:paraId="49D3BAD8" w14:textId="77777777" w:rsidTr="0018617D">
        <w:trPr>
          <w:trHeight w:val="254"/>
        </w:trPr>
        <w:tc>
          <w:tcPr>
            <w:tcW w:w="2161" w:type="dxa"/>
          </w:tcPr>
          <w:p w14:paraId="28791EED" w14:textId="77777777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Descriptive data</w:t>
            </w:r>
          </w:p>
        </w:tc>
        <w:tc>
          <w:tcPr>
            <w:tcW w:w="708" w:type="dxa"/>
          </w:tcPr>
          <w:p w14:paraId="49A43CAB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14</w:t>
            </w:r>
            <w:r w:rsidRPr="00BF0ED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71" w:type="dxa"/>
          </w:tcPr>
          <w:p w14:paraId="3CB84C68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(a) Give characteristics of study participants (</w:t>
            </w:r>
            <w:proofErr w:type="spellStart"/>
            <w:r w:rsidRPr="00BF0ED2">
              <w:rPr>
                <w:sz w:val="22"/>
                <w:szCs w:val="22"/>
              </w:rPr>
              <w:t>eg</w:t>
            </w:r>
            <w:proofErr w:type="spellEnd"/>
            <w:r w:rsidRPr="00BF0ED2">
              <w:rPr>
                <w:sz w:val="22"/>
                <w:szCs w:val="22"/>
              </w:rPr>
              <w:t xml:space="preserve"> demographic, clinical, social) and information on exposures and potential confounders</w:t>
            </w:r>
          </w:p>
        </w:tc>
        <w:tc>
          <w:tcPr>
            <w:tcW w:w="1136" w:type="dxa"/>
          </w:tcPr>
          <w:p w14:paraId="0557F4EC" w14:textId="4C622EEE" w:rsidR="001831EB" w:rsidRPr="00BF0ED2" w:rsidRDefault="001831E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8</w:t>
            </w:r>
            <w:r w:rsidR="00655D89">
              <w:rPr>
                <w:sz w:val="22"/>
                <w:szCs w:val="22"/>
                <w:lang w:eastAsia="zh-CN"/>
              </w:rPr>
              <w:t xml:space="preserve"> and 9</w:t>
            </w:r>
          </w:p>
        </w:tc>
        <w:tc>
          <w:tcPr>
            <w:tcW w:w="3544" w:type="dxa"/>
          </w:tcPr>
          <w:p w14:paraId="44ED6E18" w14:textId="77777777" w:rsidR="000E7B19" w:rsidRDefault="000E7B19" w:rsidP="000E7B19">
            <w:pPr>
              <w:spacing w:line="276" w:lineRule="auto"/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Compared with the patients without DKD, patients with DKD were a little younger, had lower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>,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>
              <w:rPr>
                <w:rFonts w:eastAsia="Times New Roman Uni"/>
                <w:sz w:val="22"/>
                <w:szCs w:val="22"/>
              </w:rPr>
              <w:t xml:space="preserve"> levels, had higher BUN,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SCr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, UA, LDL-C, ACR and TSH levels (P&lt;0.05). (Table 1) </w:t>
            </w:r>
          </w:p>
          <w:p w14:paraId="1A5BAB9F" w14:textId="511C6B86" w:rsidR="000E7B19" w:rsidRPr="000E7B19" w:rsidRDefault="000E7B19" w:rsidP="000E7B19">
            <w:pPr>
              <w:spacing w:line="276" w:lineRule="auto"/>
              <w:rPr>
                <w:rFonts w:eastAsia="Times New Roman Uni"/>
                <w:sz w:val="22"/>
                <w:szCs w:val="22"/>
              </w:rPr>
            </w:pPr>
            <w:r w:rsidRPr="00C7269F">
              <w:rPr>
                <w:rFonts w:eastAsia="Times New Roman Uni"/>
                <w:sz w:val="22"/>
                <w:szCs w:val="22"/>
              </w:rPr>
              <w:t xml:space="preserve">In subjects with DKD, the overall prevalence of thyroid dysfunction </w:t>
            </w:r>
            <w:r>
              <w:rPr>
                <w:rFonts w:eastAsia="Times New Roman Uni"/>
                <w:sz w:val="22"/>
                <w:szCs w:val="22"/>
              </w:rPr>
              <w:t>(</w:t>
            </w:r>
            <w:r w:rsidRPr="00CA74C1">
              <w:rPr>
                <w:rFonts w:eastAsia="Times New Roman Uni"/>
                <w:color w:val="000000" w:themeColor="text1"/>
                <w:sz w:val="22"/>
                <w:szCs w:val="22"/>
              </w:rPr>
              <w:t>any of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hyperthyroidism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 or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subclinical hyperthyroidism or hypothyroidism or subclinical hypothyroidism</w:t>
            </w:r>
            <w:r>
              <w:rPr>
                <w:rFonts w:eastAsia="Times New Roman Uni"/>
                <w:sz w:val="22"/>
                <w:szCs w:val="22"/>
              </w:rPr>
              <w:t xml:space="preserve">) </w:t>
            </w:r>
            <w:r w:rsidRPr="00C7269F">
              <w:rPr>
                <w:rFonts w:eastAsia="Times New Roman Uni"/>
                <w:sz w:val="22"/>
                <w:szCs w:val="22"/>
              </w:rPr>
              <w:t xml:space="preserve">was 22.9%, compared with 17.5% in </w:t>
            </w:r>
            <w:r w:rsidR="007B55E0">
              <w:rPr>
                <w:rFonts w:eastAsia="Times New Roman Uni"/>
                <w:sz w:val="22"/>
                <w:szCs w:val="22"/>
              </w:rPr>
              <w:t>patients</w:t>
            </w:r>
            <w:r w:rsidRPr="00C7269F">
              <w:rPr>
                <w:rFonts w:eastAsia="Times New Roman Uni"/>
                <w:sz w:val="22"/>
                <w:szCs w:val="22"/>
              </w:rPr>
              <w:t xml:space="preserve"> without DKD</w:t>
            </w:r>
            <w:r>
              <w:rPr>
                <w:rFonts w:eastAsia="Times New Roman Uni"/>
                <w:sz w:val="22"/>
                <w:szCs w:val="22"/>
              </w:rPr>
              <w:t xml:space="preserve"> (P=0.009). </w:t>
            </w:r>
            <w:r w:rsidRPr="00C67D8D">
              <w:rPr>
                <w:rFonts w:eastAsia="Times New Roman Uni"/>
                <w:sz w:val="22"/>
                <w:szCs w:val="22"/>
              </w:rPr>
              <w:t xml:space="preserve">The </w:t>
            </w:r>
            <w:r w:rsidRPr="00C67D8D">
              <w:rPr>
                <w:rFonts w:eastAsia="Times New Roman Uni"/>
                <w:sz w:val="22"/>
                <w:szCs w:val="22"/>
              </w:rPr>
              <w:lastRenderedPageBreak/>
              <w:t xml:space="preserve">proportion of subclinical hypothyroidism in DKD group was </w:t>
            </w:r>
            <w:r>
              <w:rPr>
                <w:rFonts w:eastAsia="Times New Roman Uni"/>
                <w:sz w:val="22"/>
                <w:szCs w:val="22"/>
              </w:rPr>
              <w:t xml:space="preserve">observed </w:t>
            </w:r>
            <w:r w:rsidRPr="00E26076">
              <w:rPr>
                <w:rFonts w:eastAsia="Times New Roman Uni"/>
                <w:sz w:val="22"/>
                <w:szCs w:val="22"/>
              </w:rPr>
              <w:t>as high as</w:t>
            </w:r>
            <w:r w:rsidRPr="00C67D8D">
              <w:rPr>
                <w:rFonts w:eastAsia="Times New Roman Uni"/>
                <w:sz w:val="22"/>
                <w:szCs w:val="22"/>
              </w:rPr>
              <w:t xml:space="preserve"> 19.7%, which was significantly different from that in </w:t>
            </w:r>
            <w:r w:rsidR="007B55E0">
              <w:rPr>
                <w:rFonts w:eastAsia="Times New Roman Uni"/>
                <w:sz w:val="22"/>
                <w:szCs w:val="22"/>
              </w:rPr>
              <w:t>the non-</w:t>
            </w:r>
            <w:r w:rsidRPr="00C67D8D">
              <w:rPr>
                <w:rFonts w:eastAsia="Times New Roman Uni"/>
                <w:sz w:val="22"/>
                <w:szCs w:val="22"/>
              </w:rPr>
              <w:t>DKD group (9.5%).</w:t>
            </w:r>
            <w:r>
              <w:rPr>
                <w:rFonts w:eastAsia="Times New Roman Uni"/>
                <w:sz w:val="22"/>
                <w:szCs w:val="22"/>
              </w:rPr>
              <w:t xml:space="preserve"> (</w:t>
            </w:r>
            <w:r>
              <w:rPr>
                <w:rFonts w:eastAsia="Times New Roman Uni" w:hint="eastAsia"/>
                <w:sz w:val="22"/>
                <w:szCs w:val="22"/>
              </w:rPr>
              <w:t>Figure</w:t>
            </w:r>
            <w:r>
              <w:rPr>
                <w:rFonts w:eastAsia="Times New Roman Uni"/>
                <w:sz w:val="22"/>
                <w:szCs w:val="22"/>
              </w:rPr>
              <w:t xml:space="preserve"> 2)</w:t>
            </w:r>
          </w:p>
        </w:tc>
      </w:tr>
      <w:tr w:rsidR="0018617D" w:rsidRPr="00BF0ED2" w14:paraId="098B3EAF" w14:textId="77777777" w:rsidTr="0018617D">
        <w:trPr>
          <w:trHeight w:val="254"/>
        </w:trPr>
        <w:tc>
          <w:tcPr>
            <w:tcW w:w="2161" w:type="dxa"/>
          </w:tcPr>
          <w:p w14:paraId="5AB3C044" w14:textId="63A57059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CE3DBB4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0C704A8E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(b) Indicate number of participants with missing data for each variable of interest</w:t>
            </w:r>
          </w:p>
        </w:tc>
        <w:tc>
          <w:tcPr>
            <w:tcW w:w="1136" w:type="dxa"/>
          </w:tcPr>
          <w:p w14:paraId="4AE8EBF9" w14:textId="77777777" w:rsidR="001831EB" w:rsidRPr="00BF0ED2" w:rsidRDefault="001831E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64B186BF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</w:rPr>
              <w:t>N</w:t>
            </w:r>
            <w:r w:rsidRPr="00BF0ED2">
              <w:rPr>
                <w:sz w:val="22"/>
                <w:szCs w:val="22"/>
                <w:lang w:eastAsia="zh-CN"/>
              </w:rPr>
              <w:t>/A</w:t>
            </w:r>
          </w:p>
        </w:tc>
      </w:tr>
      <w:tr w:rsidR="0018617D" w:rsidRPr="00BF0ED2" w14:paraId="3FC9ED54" w14:textId="77777777" w:rsidTr="0018617D">
        <w:trPr>
          <w:trHeight w:val="254"/>
        </w:trPr>
        <w:tc>
          <w:tcPr>
            <w:tcW w:w="2161" w:type="dxa"/>
          </w:tcPr>
          <w:p w14:paraId="3DF06543" w14:textId="77777777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Outcome data</w:t>
            </w:r>
          </w:p>
        </w:tc>
        <w:tc>
          <w:tcPr>
            <w:tcW w:w="708" w:type="dxa"/>
          </w:tcPr>
          <w:p w14:paraId="4A69A331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15</w:t>
            </w:r>
            <w:r w:rsidRPr="00BF0ED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71" w:type="dxa"/>
          </w:tcPr>
          <w:p w14:paraId="51A65F33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Report numbers of outcome events or summary measures</w:t>
            </w:r>
          </w:p>
        </w:tc>
        <w:tc>
          <w:tcPr>
            <w:tcW w:w="1136" w:type="dxa"/>
          </w:tcPr>
          <w:p w14:paraId="769EFD8B" w14:textId="7D1D53C1" w:rsidR="001831EB" w:rsidRPr="00BF0ED2" w:rsidRDefault="001831E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9</w:t>
            </w:r>
            <w:r w:rsidR="00655D89">
              <w:rPr>
                <w:sz w:val="22"/>
                <w:szCs w:val="22"/>
                <w:lang w:eastAsia="zh-CN"/>
              </w:rPr>
              <w:t xml:space="preserve"> and 10</w:t>
            </w:r>
          </w:p>
        </w:tc>
        <w:tc>
          <w:tcPr>
            <w:tcW w:w="3544" w:type="dxa"/>
          </w:tcPr>
          <w:p w14:paraId="3979D38D" w14:textId="49345B0D" w:rsidR="00655D89" w:rsidRDefault="007B55E0" w:rsidP="00655D89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 w:rsidRPr="00484A15">
              <w:rPr>
                <w:rFonts w:eastAsia="Times New Roman Uni"/>
                <w:sz w:val="22"/>
                <w:szCs w:val="22"/>
              </w:rPr>
              <w:t>Due to the small number</w:t>
            </w:r>
            <w:r>
              <w:rPr>
                <w:rFonts w:eastAsia="Times New Roman Uni"/>
                <w:sz w:val="22"/>
                <w:szCs w:val="22"/>
              </w:rPr>
              <w:t>s</w:t>
            </w:r>
            <w:r w:rsidRPr="00484A15">
              <w:rPr>
                <w:rFonts w:eastAsia="Times New Roman Uni"/>
                <w:sz w:val="22"/>
                <w:szCs w:val="22"/>
              </w:rPr>
              <w:t xml:space="preserve"> of people in </w:t>
            </w:r>
            <w:r>
              <w:rPr>
                <w:rFonts w:eastAsia="Times New Roman Uni" w:hint="eastAsia"/>
                <w:sz w:val="22"/>
                <w:szCs w:val="22"/>
              </w:rPr>
              <w:t>stage</w:t>
            </w:r>
            <w:r w:rsidR="00F14A4C">
              <w:rPr>
                <w:rFonts w:eastAsia="Times New Roman Uni"/>
                <w:sz w:val="22"/>
                <w:szCs w:val="22"/>
              </w:rPr>
              <w:t>s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4 and </w:t>
            </w:r>
            <w:r w:rsidRPr="00484A15">
              <w:rPr>
                <w:rFonts w:eastAsia="Times New Roman Uni"/>
                <w:sz w:val="22"/>
                <w:szCs w:val="22"/>
              </w:rPr>
              <w:t>5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CKD</w:t>
            </w:r>
            <w:r w:rsidRPr="00484A15">
              <w:rPr>
                <w:rFonts w:eastAsia="Times New Roman Uni"/>
                <w:sz w:val="22"/>
                <w:szCs w:val="22"/>
              </w:rPr>
              <w:t>, we combined the two groups</w:t>
            </w:r>
            <w:r>
              <w:rPr>
                <w:rFonts w:eastAsia="Times New Roman Uni"/>
                <w:sz w:val="22"/>
                <w:szCs w:val="22"/>
              </w:rPr>
              <w:t xml:space="preserve"> into </w:t>
            </w:r>
            <w:proofErr w:type="spellStart"/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>&lt;30</w:t>
            </w:r>
            <w:r w:rsidRPr="00484A15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mL/min/1.73m</w:t>
            </w:r>
            <w:r>
              <w:rPr>
                <w:rFonts w:eastAsia="Times New Roman Uni"/>
                <w:color w:val="000000" w:themeColor="text1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 Uni"/>
                <w:sz w:val="22"/>
                <w:szCs w:val="22"/>
              </w:rPr>
              <w:t>.</w:t>
            </w:r>
            <w:r w:rsidRPr="00484A15"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The results showed that </w:t>
            </w:r>
            <w:r w:rsidR="00655D89">
              <w:rPr>
                <w:rFonts w:eastAsia="Times New Roman Uni"/>
                <w:sz w:val="22"/>
                <w:szCs w:val="22"/>
              </w:rPr>
              <w:t>FT</w:t>
            </w:r>
            <w:r w:rsidR="00655D89"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="00655D89">
              <w:rPr>
                <w:rFonts w:eastAsia="Times New Roman Uni"/>
                <w:sz w:val="22"/>
                <w:szCs w:val="22"/>
              </w:rPr>
              <w:t xml:space="preserve"> levels varied with degrees of </w:t>
            </w:r>
            <w:r w:rsidR="00655D89">
              <w:rPr>
                <w:rFonts w:eastAsia="Times New Roman Uni"/>
                <w:color w:val="000000" w:themeColor="text1"/>
                <w:sz w:val="22"/>
                <w:szCs w:val="22"/>
              </w:rPr>
              <w:t>albuminuria</w:t>
            </w:r>
            <w:r w:rsidR="00655D89">
              <w:rPr>
                <w:rFonts w:eastAsia="Times New Roman Uni"/>
                <w:sz w:val="22"/>
                <w:szCs w:val="22"/>
              </w:rPr>
              <w:t>, kidney damage, and KDIGO risk (P&lt;0.05), and decreased with increasing severity. FT</w:t>
            </w:r>
            <w:r w:rsidR="00655D89"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 w:rsidR="00655D89">
              <w:rPr>
                <w:rFonts w:eastAsia="Times New Roman Uni"/>
                <w:sz w:val="22"/>
                <w:szCs w:val="22"/>
              </w:rPr>
              <w:t xml:space="preserve"> levels decreased with </w:t>
            </w:r>
            <w:r w:rsidR="00F14A4C">
              <w:rPr>
                <w:rFonts w:eastAsia="Times New Roman Uni"/>
                <w:sz w:val="22"/>
                <w:szCs w:val="22"/>
              </w:rPr>
              <w:t xml:space="preserve">worsening </w:t>
            </w:r>
            <w:r w:rsidR="00655D89">
              <w:rPr>
                <w:rFonts w:eastAsia="Times New Roman Uni"/>
                <w:sz w:val="22"/>
                <w:szCs w:val="22"/>
              </w:rPr>
              <w:t xml:space="preserve">CKD </w:t>
            </w:r>
            <w:r w:rsidR="00655D89" w:rsidRPr="00FA7A47">
              <w:rPr>
                <w:color w:val="000000" w:themeColor="text1"/>
                <w:sz w:val="22"/>
                <w:szCs w:val="22"/>
              </w:rPr>
              <w:t>stage</w:t>
            </w:r>
            <w:r w:rsidR="00655D89">
              <w:rPr>
                <w:rFonts w:eastAsia="Times New Roman Uni"/>
                <w:sz w:val="22"/>
                <w:szCs w:val="22"/>
              </w:rPr>
              <w:t>, and TSH</w:t>
            </w:r>
            <w:r w:rsidR="00655D89" w:rsidRPr="002712F4">
              <w:rPr>
                <w:rFonts w:eastAsia="Times New Roman Uni"/>
                <w:sz w:val="22"/>
                <w:szCs w:val="22"/>
              </w:rPr>
              <w:t xml:space="preserve"> </w:t>
            </w:r>
            <w:r w:rsidR="00655D89">
              <w:rPr>
                <w:rFonts w:eastAsia="Times New Roman Uni"/>
                <w:sz w:val="22"/>
                <w:szCs w:val="22"/>
              </w:rPr>
              <w:t>levels increased with a higher risk of KDIGO categories (P&lt;0.05). (Table 2)</w:t>
            </w:r>
          </w:p>
          <w:p w14:paraId="4C71AB6A" w14:textId="11B58E35" w:rsidR="00655D89" w:rsidRPr="00655D89" w:rsidRDefault="00655D89" w:rsidP="00655D89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There was a negative correlation between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>
              <w:rPr>
                <w:rFonts w:eastAsia="Times New Roman Uni"/>
                <w:sz w:val="22"/>
                <w:szCs w:val="22"/>
              </w:rPr>
              <w:t xml:space="preserve"> levels with both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SCr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and ACR (r=-0.168, P&lt;0.001 and r=-0.107, P=0.023; r=-0.267, P&lt;0.001 and r=-0.109, P=0.021, respectively). Meanwhile,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>
              <w:rPr>
                <w:rFonts w:eastAsia="Times New Roman Uni"/>
                <w:sz w:val="22"/>
                <w:szCs w:val="22"/>
              </w:rPr>
              <w:t xml:space="preserve"> levels were positively correlated with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(r=0.325, P&lt;0.001 and r=0.165, P&lt;0.001, respectively). In contrast, there was a negative correlation between TSH levels and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(r=-0.128, P=0.006), and a positive correlation between TSH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>levels and ACR (r=0.104, P=0.027). (Table 3)</w:t>
            </w:r>
          </w:p>
        </w:tc>
      </w:tr>
      <w:tr w:rsidR="0018617D" w:rsidRPr="00BF0ED2" w14:paraId="2D72E902" w14:textId="77777777" w:rsidTr="0018617D">
        <w:trPr>
          <w:trHeight w:val="254"/>
        </w:trPr>
        <w:tc>
          <w:tcPr>
            <w:tcW w:w="2161" w:type="dxa"/>
          </w:tcPr>
          <w:p w14:paraId="40A297F7" w14:textId="77777777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lastRenderedPageBreak/>
              <w:t>Main results</w:t>
            </w:r>
          </w:p>
        </w:tc>
        <w:tc>
          <w:tcPr>
            <w:tcW w:w="708" w:type="dxa"/>
          </w:tcPr>
          <w:p w14:paraId="38ACC083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16</w:t>
            </w:r>
          </w:p>
        </w:tc>
        <w:tc>
          <w:tcPr>
            <w:tcW w:w="7371" w:type="dxa"/>
          </w:tcPr>
          <w:p w14:paraId="56623D00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a</w:t>
            </w:r>
            <w:r w:rsidRPr="00BF0ED2">
              <w:rPr>
                <w:sz w:val="22"/>
                <w:szCs w:val="22"/>
              </w:rPr>
              <w:t>) Give unadjusted estimates and, if applicable, confounder-adjusted estimates and their precision (</w:t>
            </w:r>
            <w:proofErr w:type="spellStart"/>
            <w:r w:rsidRPr="00BF0ED2">
              <w:rPr>
                <w:sz w:val="22"/>
                <w:szCs w:val="22"/>
              </w:rPr>
              <w:t>eg</w:t>
            </w:r>
            <w:proofErr w:type="spellEnd"/>
            <w:r w:rsidRPr="00BF0ED2">
              <w:rPr>
                <w:sz w:val="22"/>
                <w:szCs w:val="22"/>
              </w:rPr>
              <w:t>, 95% confidence interval). Make clear which confounders were adjusted for and why they were included</w:t>
            </w:r>
          </w:p>
        </w:tc>
        <w:tc>
          <w:tcPr>
            <w:tcW w:w="1136" w:type="dxa"/>
          </w:tcPr>
          <w:p w14:paraId="11CB19EC" w14:textId="51655AEA" w:rsidR="001831EB" w:rsidRPr="00BF0ED2" w:rsidRDefault="00655D89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</w:t>
            </w:r>
            <w:r w:rsidR="00673717">
              <w:rPr>
                <w:sz w:val="22"/>
                <w:szCs w:val="22"/>
                <w:lang w:eastAsia="zh-CN"/>
              </w:rPr>
              <w:t xml:space="preserve"> and 12</w:t>
            </w:r>
          </w:p>
        </w:tc>
        <w:tc>
          <w:tcPr>
            <w:tcW w:w="3544" w:type="dxa"/>
          </w:tcPr>
          <w:p w14:paraId="1A1A8870" w14:textId="22582690" w:rsidR="00F14A4C" w:rsidRDefault="00655D89" w:rsidP="00F14A4C">
            <w:pPr>
              <w:spacing w:line="276" w:lineRule="auto"/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bCs/>
                <w:sz w:val="22"/>
                <w:szCs w:val="22"/>
              </w:rPr>
              <w:t xml:space="preserve">A logistic regression analysis was performed, using </w:t>
            </w:r>
            <w:r>
              <w:rPr>
                <w:rFonts w:eastAsia="Times New Roman Uni"/>
                <w:sz w:val="22"/>
                <w:szCs w:val="22"/>
              </w:rPr>
              <w:t xml:space="preserve">with or without diabetic nephropathy as the dependent variable and </w:t>
            </w:r>
            <w:r>
              <w:rPr>
                <w:rFonts w:eastAsia="Times New Roman Uni"/>
                <w:bCs/>
                <w:sz w:val="22"/>
                <w:szCs w:val="22"/>
              </w:rPr>
              <w:t xml:space="preserve">using </w:t>
            </w:r>
            <w:r>
              <w:rPr>
                <w:rFonts w:eastAsia="Times New Roman Uni"/>
                <w:sz w:val="22"/>
                <w:szCs w:val="22"/>
              </w:rPr>
              <w:t xml:space="preserve">thyroid hormone levels as the independent variable. </w:t>
            </w:r>
            <w:r w:rsidR="00F14A4C">
              <w:rPr>
                <w:rFonts w:eastAsia="Times New Roman Uni"/>
                <w:sz w:val="22"/>
                <w:szCs w:val="22"/>
              </w:rPr>
              <w:t>After adjusting for sex, age, FBG, HbA1c, TC, TG, HDL-C and LDL-C, an increase in FT</w:t>
            </w:r>
            <w:r w:rsidR="00F14A4C"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="00F14A4C">
              <w:rPr>
                <w:rFonts w:eastAsia="Times New Roman Uni"/>
                <w:sz w:val="22"/>
                <w:szCs w:val="22"/>
              </w:rPr>
              <w:t xml:space="preserve"> levels significantly reduced the risk of having diabetic nephropathy [odds ratio, OR (95% confidence interval, </w:t>
            </w:r>
            <w:proofErr w:type="gramStart"/>
            <w:r w:rsidR="00F14A4C">
              <w:rPr>
                <w:rFonts w:eastAsia="Times New Roman Uni"/>
                <w:sz w:val="22"/>
                <w:szCs w:val="22"/>
              </w:rPr>
              <w:t>CI)=</w:t>
            </w:r>
            <w:proofErr w:type="gramEnd"/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0.5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8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(0.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42</w:t>
            </w:r>
            <w:r w:rsidR="00F14A4C">
              <w:rPr>
                <w:rFonts w:eastAsia="Times New Roman Uni"/>
                <w:sz w:val="22"/>
                <w:szCs w:val="22"/>
              </w:rPr>
              <w:t>–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0.7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9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)</w:t>
            </w:r>
            <w:r w:rsidR="00F14A4C">
              <w:rPr>
                <w:rFonts w:eastAsia="Times New Roman Uni"/>
                <w:sz w:val="22"/>
                <w:szCs w:val="22"/>
              </w:rPr>
              <w:t>, P</w:t>
            </w:r>
            <w:r w:rsidR="00F14A4C">
              <w:rPr>
                <w:rFonts w:eastAsia="Times New Roman Uni" w:hint="eastAsia"/>
                <w:sz w:val="22"/>
                <w:szCs w:val="22"/>
              </w:rPr>
              <w:t>=</w:t>
            </w:r>
            <w:r w:rsidR="00F14A4C">
              <w:rPr>
                <w:rFonts w:eastAsia="Times New Roman Uni"/>
                <w:sz w:val="22"/>
                <w:szCs w:val="22"/>
              </w:rPr>
              <w:t xml:space="preserve">0.001]. However, </w:t>
            </w:r>
            <w:r w:rsidR="00F14A4C" w:rsidRPr="00A51010">
              <w:rPr>
                <w:rFonts w:eastAsia="Times New Roman Uni"/>
                <w:sz w:val="22"/>
                <w:szCs w:val="22"/>
              </w:rPr>
              <w:t>FT</w:t>
            </w:r>
            <w:r w:rsidR="00F14A4C" w:rsidRPr="002E1771"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 w:rsidR="00F14A4C" w:rsidRPr="00A51010">
              <w:rPr>
                <w:rFonts w:eastAsia="Times New Roman Uni"/>
                <w:sz w:val="22"/>
                <w:szCs w:val="22"/>
              </w:rPr>
              <w:t xml:space="preserve"> and TSH </w:t>
            </w:r>
            <w:r w:rsidR="00F14A4C">
              <w:rPr>
                <w:rFonts w:eastAsia="Times New Roman Uni"/>
                <w:sz w:val="22"/>
                <w:szCs w:val="22"/>
              </w:rPr>
              <w:t>levels did not influence the risk of disease [OR (95% CI)</w:t>
            </w:r>
            <w:r w:rsidR="00F14A4C">
              <w:rPr>
                <w:rFonts w:eastAsia="Times New Roman Uni" w:hint="eastAsia"/>
                <w:sz w:val="22"/>
                <w:szCs w:val="22"/>
              </w:rPr>
              <w:t xml:space="preserve"> of FT</w:t>
            </w:r>
            <w:r w:rsidR="00F14A4C" w:rsidRPr="00843902">
              <w:rPr>
                <w:rFonts w:eastAsia="Times New Roman Uni" w:hint="eastAsia"/>
                <w:sz w:val="22"/>
                <w:szCs w:val="22"/>
                <w:vertAlign w:val="subscript"/>
              </w:rPr>
              <w:t>4</w:t>
            </w:r>
            <w:r w:rsidR="00F14A4C">
              <w:rPr>
                <w:rFonts w:eastAsia="Times New Roman Uni"/>
                <w:sz w:val="22"/>
                <w:szCs w:val="22"/>
              </w:rPr>
              <w:t>=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0.97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(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0.92</w:t>
            </w:r>
            <w:r w:rsidR="00F14A4C">
              <w:rPr>
                <w:rFonts w:eastAsia="Times New Roman Uni"/>
                <w:sz w:val="22"/>
                <w:szCs w:val="22"/>
              </w:rPr>
              <w:t>–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1.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02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)</w:t>
            </w:r>
            <w:r w:rsidR="00F14A4C">
              <w:rPr>
                <w:rFonts w:eastAsia="Times New Roman Uni"/>
                <w:sz w:val="22"/>
                <w:szCs w:val="22"/>
              </w:rPr>
              <w:t>, P=0.281; OR (95% CI)</w:t>
            </w:r>
            <w:r w:rsidR="00F14A4C">
              <w:rPr>
                <w:rFonts w:eastAsia="Times New Roman Uni" w:hint="eastAsia"/>
                <w:sz w:val="22"/>
                <w:szCs w:val="22"/>
              </w:rPr>
              <w:t xml:space="preserve"> of </w:t>
            </w:r>
            <w:r w:rsidR="00F14A4C">
              <w:rPr>
                <w:rFonts w:eastAsia="Times New Roman Uni"/>
                <w:sz w:val="22"/>
                <w:szCs w:val="22"/>
              </w:rPr>
              <w:t>TSH=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1.02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 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(0.99</w:t>
            </w:r>
            <w:r w:rsidR="00F14A4C">
              <w:rPr>
                <w:rFonts w:eastAsia="Times New Roman Uni"/>
                <w:sz w:val="22"/>
                <w:szCs w:val="22"/>
              </w:rPr>
              <w:t>–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1.05)</w:t>
            </w:r>
            <w:r w:rsidR="00F14A4C">
              <w:rPr>
                <w:rFonts w:eastAsia="Times New Roman Uni"/>
                <w:sz w:val="22"/>
                <w:szCs w:val="22"/>
              </w:rPr>
              <w:t>, P=</w:t>
            </w:r>
            <w:r w:rsidR="00F14A4C">
              <w:rPr>
                <w:rFonts w:eastAsia="Times New Roman Uni"/>
                <w:color w:val="000000" w:themeColor="text1"/>
                <w:sz w:val="22"/>
                <w:szCs w:val="22"/>
              </w:rPr>
              <w:t>0.</w:t>
            </w:r>
            <w:r w:rsidR="00F14A4C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147</w:t>
            </w:r>
            <w:r w:rsidR="00F14A4C">
              <w:rPr>
                <w:rFonts w:eastAsia="Times New Roman Uni"/>
                <w:sz w:val="22"/>
                <w:szCs w:val="22"/>
              </w:rPr>
              <w:t>]. (Table 4)</w:t>
            </w:r>
          </w:p>
          <w:p w14:paraId="37AE1BF2" w14:textId="7C52F54B" w:rsidR="00655D89" w:rsidRPr="00655D89" w:rsidRDefault="00F14A4C" w:rsidP="00655D89">
            <w:pPr>
              <w:spacing w:line="276" w:lineRule="auto"/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The risk of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diabetic nephropathy </w:t>
            </w:r>
            <w:r>
              <w:rPr>
                <w:rFonts w:eastAsia="Times New Roman Uni"/>
                <w:sz w:val="22"/>
                <w:szCs w:val="22"/>
              </w:rPr>
              <w:t xml:space="preserve">progression (KDIGO risk categories) was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further </w:t>
            </w:r>
            <w:r>
              <w:rPr>
                <w:rFonts w:eastAsia="Times New Roman Uni"/>
                <w:sz w:val="22"/>
                <w:szCs w:val="22"/>
              </w:rPr>
              <w:t>used as the dependent variable. When using the low KDIGO risk group as the reference group, an increase in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level significantly reduced the risk of DKD progression</w:t>
            </w:r>
            <w:r w:rsidR="00655D89">
              <w:rPr>
                <w:rFonts w:eastAsia="Times New Roman Uni"/>
                <w:sz w:val="22"/>
                <w:szCs w:val="22"/>
              </w:rPr>
              <w:t xml:space="preserve"> [m</w:t>
            </w:r>
            <w:r w:rsidR="00655D89">
              <w:rPr>
                <w:rFonts w:eastAsia="Times New Roman Uni"/>
                <w:color w:val="000000" w:themeColor="text1"/>
                <w:kern w:val="2"/>
                <w:sz w:val="22"/>
                <w:szCs w:val="22"/>
              </w:rPr>
              <w:t>oderate</w:t>
            </w:r>
            <w:r w:rsidR="00655D89">
              <w:rPr>
                <w:rFonts w:eastAsia="Times New Roman Uni"/>
                <w:sz w:val="22"/>
                <w:szCs w:val="22"/>
              </w:rPr>
              <w:t xml:space="preserve"> risk, OR (95% </w:t>
            </w:r>
            <w:proofErr w:type="gramStart"/>
            <w:r w:rsidR="00655D89">
              <w:rPr>
                <w:rFonts w:eastAsia="Times New Roman Uni"/>
                <w:sz w:val="22"/>
                <w:szCs w:val="22"/>
              </w:rPr>
              <w:t>CI)=</w:t>
            </w:r>
            <w:proofErr w:type="gramEnd"/>
            <w:r w:rsidR="00655D89">
              <w:rPr>
                <w:rFonts w:eastAsia="Times New Roman Uni"/>
                <w:color w:val="000000" w:themeColor="text1"/>
                <w:sz w:val="22"/>
                <w:szCs w:val="22"/>
              </w:rPr>
              <w:t>0.</w:t>
            </w:r>
            <w:r w:rsidR="00655D89" w:rsidRPr="00800040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65 </w:t>
            </w:r>
            <w:r w:rsidR="00655D89"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(0.</w:t>
            </w:r>
            <w:r w:rsidR="00655D89" w:rsidRPr="00800040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45</w:t>
            </w:r>
            <w:r w:rsidR="00655D89"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–0.</w:t>
            </w:r>
            <w:r w:rsidR="00655D89" w:rsidRPr="00800040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93</w:t>
            </w:r>
            <w:r w:rsidR="00655D89"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), P=0.020; high or very high risk, OR (95% CI)=0.</w:t>
            </w:r>
            <w:r w:rsidR="00655D89" w:rsidRPr="00800040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50 </w:t>
            </w:r>
            <w:r w:rsidR="00655D89"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(0.</w:t>
            </w:r>
            <w:r w:rsidR="00655D89" w:rsidRPr="00800040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33</w:t>
            </w:r>
            <w:r w:rsidR="00655D89"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–0.7</w:t>
            </w:r>
            <w:r w:rsidR="00655D89" w:rsidRPr="00800040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4</w:t>
            </w:r>
            <w:r w:rsidR="00655D89"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), P=0.001]. (Table 5)</w:t>
            </w:r>
          </w:p>
        </w:tc>
      </w:tr>
      <w:tr w:rsidR="0018617D" w:rsidRPr="00BF0ED2" w14:paraId="3EA06F5F" w14:textId="77777777" w:rsidTr="0018617D">
        <w:trPr>
          <w:trHeight w:val="254"/>
        </w:trPr>
        <w:tc>
          <w:tcPr>
            <w:tcW w:w="2161" w:type="dxa"/>
          </w:tcPr>
          <w:p w14:paraId="2C61C041" w14:textId="77777777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D193EE0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0C8DF93C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b</w:t>
            </w:r>
            <w:r w:rsidRPr="00BF0ED2">
              <w:rPr>
                <w:sz w:val="22"/>
                <w:szCs w:val="22"/>
              </w:rPr>
              <w:t>) Report category boundaries when continuous variables were categorized</w:t>
            </w:r>
          </w:p>
        </w:tc>
        <w:tc>
          <w:tcPr>
            <w:tcW w:w="1136" w:type="dxa"/>
          </w:tcPr>
          <w:p w14:paraId="3D9F2ED1" w14:textId="6E1F052B" w:rsidR="001831EB" w:rsidRPr="00BF0ED2" w:rsidRDefault="00673717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9, </w:t>
            </w:r>
            <w:r w:rsidR="00655D89">
              <w:rPr>
                <w:sz w:val="22"/>
                <w:szCs w:val="22"/>
                <w:lang w:eastAsia="zh-CN"/>
              </w:rPr>
              <w:t>10 and 1</w:t>
            </w:r>
            <w:r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44" w:type="dxa"/>
          </w:tcPr>
          <w:p w14:paraId="1ED3CE5C" w14:textId="76E4B68F" w:rsidR="001831EB" w:rsidRPr="00BF0ED2" w:rsidRDefault="001831EB" w:rsidP="00655D89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 xml:space="preserve">The category boundaries of continuous variables are showed in </w:t>
            </w:r>
            <w:r w:rsidRPr="00BF0ED2">
              <w:rPr>
                <w:sz w:val="22"/>
                <w:szCs w:val="22"/>
              </w:rPr>
              <w:lastRenderedPageBreak/>
              <w:t xml:space="preserve">Table </w:t>
            </w:r>
            <w:r w:rsidR="00655D89">
              <w:rPr>
                <w:sz w:val="22"/>
                <w:szCs w:val="22"/>
              </w:rPr>
              <w:t>2 and 6</w:t>
            </w:r>
            <w:r w:rsidRPr="00BF0ED2">
              <w:rPr>
                <w:sz w:val="22"/>
                <w:szCs w:val="22"/>
              </w:rPr>
              <w:t>.</w:t>
            </w:r>
          </w:p>
        </w:tc>
      </w:tr>
      <w:tr w:rsidR="0018617D" w:rsidRPr="00BF0ED2" w14:paraId="19213B8E" w14:textId="77777777" w:rsidTr="0018617D">
        <w:trPr>
          <w:trHeight w:val="254"/>
        </w:trPr>
        <w:tc>
          <w:tcPr>
            <w:tcW w:w="2161" w:type="dxa"/>
          </w:tcPr>
          <w:p w14:paraId="2BDD6216" w14:textId="77777777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7089FE9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50EB9725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(</w:t>
            </w:r>
            <w:r w:rsidRPr="00BF0ED2">
              <w:rPr>
                <w:i/>
                <w:sz w:val="22"/>
                <w:szCs w:val="22"/>
              </w:rPr>
              <w:t>c</w:t>
            </w:r>
            <w:r w:rsidRPr="00BF0ED2">
              <w:rPr>
                <w:sz w:val="22"/>
                <w:szCs w:val="22"/>
              </w:rPr>
              <w:t>) If relevant, consider translating estimates of relative risk into absolute risk for a meaningful time period</w:t>
            </w:r>
          </w:p>
        </w:tc>
        <w:tc>
          <w:tcPr>
            <w:tcW w:w="1136" w:type="dxa"/>
          </w:tcPr>
          <w:p w14:paraId="791236B0" w14:textId="77777777" w:rsidR="001831EB" w:rsidRPr="00BF0ED2" w:rsidRDefault="001831E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544" w:type="dxa"/>
          </w:tcPr>
          <w:p w14:paraId="4AC8EC62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N/A</w:t>
            </w:r>
          </w:p>
        </w:tc>
      </w:tr>
      <w:tr w:rsidR="0018617D" w:rsidRPr="00BF0ED2" w14:paraId="51808BE4" w14:textId="77777777" w:rsidTr="0018617D">
        <w:trPr>
          <w:trHeight w:val="254"/>
        </w:trPr>
        <w:tc>
          <w:tcPr>
            <w:tcW w:w="2161" w:type="dxa"/>
          </w:tcPr>
          <w:p w14:paraId="2AF662CC" w14:textId="77777777" w:rsidR="001831EB" w:rsidRPr="00BF0ED2" w:rsidRDefault="001831EB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Other analyses</w:t>
            </w:r>
          </w:p>
        </w:tc>
        <w:tc>
          <w:tcPr>
            <w:tcW w:w="708" w:type="dxa"/>
          </w:tcPr>
          <w:p w14:paraId="4938E607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17</w:t>
            </w:r>
          </w:p>
        </w:tc>
        <w:tc>
          <w:tcPr>
            <w:tcW w:w="7371" w:type="dxa"/>
          </w:tcPr>
          <w:p w14:paraId="26DD840B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Report other analyses done—</w:t>
            </w:r>
            <w:proofErr w:type="spellStart"/>
            <w:r w:rsidRPr="00BF0ED2">
              <w:rPr>
                <w:sz w:val="22"/>
                <w:szCs w:val="22"/>
              </w:rPr>
              <w:t>eg</w:t>
            </w:r>
            <w:proofErr w:type="spellEnd"/>
            <w:r w:rsidRPr="00BF0ED2">
              <w:rPr>
                <w:sz w:val="22"/>
                <w:szCs w:val="22"/>
              </w:rPr>
              <w:t xml:space="preserve"> analyses of subgroups and interactions, and sensitivity analyses</w:t>
            </w:r>
          </w:p>
        </w:tc>
        <w:tc>
          <w:tcPr>
            <w:tcW w:w="1136" w:type="dxa"/>
          </w:tcPr>
          <w:p w14:paraId="1B1F6A3F" w14:textId="0C68B154" w:rsidR="001831EB" w:rsidRPr="00BF0ED2" w:rsidRDefault="001831EB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1</w:t>
            </w:r>
            <w:r w:rsidR="00655D89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44" w:type="dxa"/>
          </w:tcPr>
          <w:p w14:paraId="1F3BBAF8" w14:textId="26835D9B" w:rsidR="00655D89" w:rsidRPr="00655D89" w:rsidRDefault="00F14A4C" w:rsidP="00F14A4C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Further, the </w:t>
            </w:r>
            <w:r>
              <w:rPr>
                <w:rFonts w:eastAsia="Times New Roman Uni"/>
                <w:sz w:val="22"/>
                <w:szCs w:val="22"/>
              </w:rPr>
              <w:t xml:space="preserve">KDIGO risk categories were the dependent variables in the subgroup analysis (reference: the low risk group), and the </w:t>
            </w:r>
            <w:r w:rsidRPr="00FA7A47">
              <w:rPr>
                <w:color w:val="000000" w:themeColor="text1"/>
                <w:sz w:val="22"/>
                <w:szCs w:val="22"/>
              </w:rPr>
              <w:t>tri-sectional quantiles</w:t>
            </w:r>
            <w:r>
              <w:rPr>
                <w:color w:val="000000" w:themeColor="text1"/>
                <w:sz w:val="22"/>
                <w:szCs w:val="22"/>
              </w:rPr>
              <w:t xml:space="preserve"> of FT</w:t>
            </w:r>
            <w:r w:rsidRPr="00757E45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were</w:t>
            </w:r>
            <w:r w:rsidRPr="00757E4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the independent </w:t>
            </w:r>
            <w:r w:rsidRPr="00217467">
              <w:rPr>
                <w:rFonts w:eastAsia="Times New Roman Uni"/>
                <w:sz w:val="22"/>
                <w:szCs w:val="22"/>
              </w:rPr>
              <w:t>variable</w:t>
            </w:r>
            <w:r>
              <w:rPr>
                <w:rFonts w:eastAsia="Times New Roman Uni"/>
                <w:sz w:val="22"/>
                <w:szCs w:val="22"/>
              </w:rPr>
              <w:t>s</w:t>
            </w:r>
            <w:r w:rsidRPr="00217467">
              <w:rPr>
                <w:rFonts w:eastAsia="Times New Roman Uni"/>
                <w:sz w:val="22"/>
                <w:szCs w:val="22"/>
              </w:rPr>
              <w:t xml:space="preserve"> (</w:t>
            </w:r>
            <w:r>
              <w:rPr>
                <w:rFonts w:eastAsia="Times New Roman Uni"/>
                <w:sz w:val="22"/>
                <w:szCs w:val="22"/>
              </w:rPr>
              <w:t xml:space="preserve">reference: the highest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tertile</w:t>
            </w:r>
            <w:proofErr w:type="spellEnd"/>
            <w:r w:rsidRPr="00217467">
              <w:rPr>
                <w:rFonts w:eastAsia="Times New Roman Uni"/>
                <w:sz w:val="22"/>
                <w:szCs w:val="22"/>
              </w:rPr>
              <w:t>).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 w:rsidRPr="005236FC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The results showed that </w:t>
            </w:r>
            <w:r>
              <w:rPr>
                <w:rFonts w:eastAsia="Times New Roman Uni"/>
                <w:sz w:val="22"/>
                <w:szCs w:val="22"/>
              </w:rPr>
              <w:t xml:space="preserve">the lowest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tertile</w:t>
            </w:r>
            <w:proofErr w:type="spellEnd"/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of 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F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T</w:t>
            </w:r>
            <w:r w:rsidRPr="005236FC">
              <w:rPr>
                <w:rFonts w:eastAsia="Times New Roman Uni"/>
                <w:color w:val="000000" w:themeColor="text1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not only increased </w:t>
            </w:r>
            <w:r>
              <w:rPr>
                <w:rFonts w:eastAsia="Times New Roman Uni"/>
                <w:sz w:val="22"/>
                <w:szCs w:val="22"/>
              </w:rPr>
              <w:t xml:space="preserve">the </w:t>
            </w:r>
            <w:r>
              <w:rPr>
                <w:rFonts w:eastAsia="Times New Roman Uni"/>
                <w:color w:val="000000" w:themeColor="text1"/>
                <w:kern w:val="2"/>
                <w:sz w:val="22"/>
                <w:szCs w:val="22"/>
              </w:rPr>
              <w:t>h</w:t>
            </w:r>
            <w:r w:rsidRPr="00F6331D">
              <w:rPr>
                <w:rFonts w:eastAsia="Times New Roman Uni"/>
                <w:color w:val="000000" w:themeColor="text1"/>
                <w:kern w:val="2"/>
                <w:sz w:val="22"/>
                <w:szCs w:val="22"/>
              </w:rPr>
              <w:t>igh or very high</w:t>
            </w:r>
            <w:r>
              <w:rPr>
                <w:rFonts w:eastAsia="Times New Roman Uni"/>
                <w:sz w:val="22"/>
                <w:szCs w:val="22"/>
              </w:rPr>
              <w:t xml:space="preserve"> risk of DKD progression in men [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OR (95% </w:t>
            </w:r>
            <w:proofErr w:type="gramStart"/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CI)=</w:t>
            </w:r>
            <w:proofErr w:type="gramEnd"/>
            <w:r w:rsidRPr="00EA4C57">
              <w:rPr>
                <w:sz w:val="22"/>
                <w:szCs w:val="22"/>
              </w:rPr>
              <w:t>3.66</w:t>
            </w:r>
            <w:r>
              <w:rPr>
                <w:sz w:val="22"/>
                <w:szCs w:val="22"/>
              </w:rPr>
              <w:t xml:space="preserve"> </w:t>
            </w:r>
            <w:r w:rsidRPr="00EA4C57">
              <w:rPr>
                <w:sz w:val="22"/>
                <w:szCs w:val="22"/>
              </w:rPr>
              <w:t>(1.54</w:t>
            </w:r>
            <w:r w:rsidRPr="00EA4C57">
              <w:rPr>
                <w:rFonts w:eastAsia="Times New Roman Uni"/>
                <w:sz w:val="22"/>
                <w:szCs w:val="22"/>
              </w:rPr>
              <w:t>–8.71)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, P=</w:t>
            </w:r>
            <w:r w:rsidRPr="00EA4C57">
              <w:rPr>
                <w:sz w:val="22"/>
                <w:szCs w:val="22"/>
              </w:rPr>
              <w:t>0.003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]</w:t>
            </w:r>
            <w:r>
              <w:rPr>
                <w:rFonts w:eastAsia="Times New Roman Uni"/>
                <w:sz w:val="22"/>
                <w:szCs w:val="22"/>
              </w:rPr>
              <w:t>, but also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increased </w:t>
            </w:r>
            <w:r>
              <w:rPr>
                <w:rFonts w:eastAsia="Times New Roman Uni"/>
                <w:sz w:val="22"/>
                <w:szCs w:val="22"/>
              </w:rPr>
              <w:t>all risk</w:t>
            </w:r>
            <w:r>
              <w:rPr>
                <w:rFonts w:eastAsia="Times New Roman Uni" w:hint="eastAsia"/>
                <w:sz w:val="22"/>
                <w:szCs w:val="22"/>
              </w:rPr>
              <w:t>s</w:t>
            </w:r>
            <w:r>
              <w:rPr>
                <w:rFonts w:eastAsia="Times New Roman Uni"/>
                <w:sz w:val="22"/>
                <w:szCs w:val="22"/>
              </w:rPr>
              <w:t xml:space="preserve"> of DKD progression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in</w:t>
            </w:r>
            <w:r>
              <w:rPr>
                <w:rFonts w:eastAsia="Times New Roman Uni"/>
                <w:sz w:val="22"/>
                <w:szCs w:val="22"/>
              </w:rPr>
              <w:t xml:space="preserve"> w</w:t>
            </w:r>
            <w:r>
              <w:rPr>
                <w:rFonts w:eastAsia="Times New Roman Uni" w:hint="eastAsia"/>
                <w:sz w:val="22"/>
                <w:szCs w:val="22"/>
              </w:rPr>
              <w:t>o</w:t>
            </w:r>
            <w:r>
              <w:rPr>
                <w:rFonts w:eastAsia="Times New Roman Uni"/>
                <w:sz w:val="22"/>
                <w:szCs w:val="22"/>
              </w:rPr>
              <w:t>men [m</w:t>
            </w:r>
            <w:r>
              <w:rPr>
                <w:rFonts w:eastAsia="Times New Roman Uni"/>
                <w:color w:val="000000" w:themeColor="text1"/>
                <w:kern w:val="2"/>
                <w:sz w:val="22"/>
                <w:szCs w:val="22"/>
              </w:rPr>
              <w:t>oderate</w:t>
            </w:r>
            <w:r>
              <w:rPr>
                <w:rFonts w:eastAsia="Times New Roman Uni"/>
                <w:sz w:val="22"/>
                <w:szCs w:val="22"/>
              </w:rPr>
              <w:t xml:space="preserve"> risk, OR (95% CI)=</w:t>
            </w:r>
            <w:r w:rsidRPr="00EA4C57">
              <w:rPr>
                <w:sz w:val="22"/>
                <w:szCs w:val="22"/>
              </w:rPr>
              <w:t>2.37</w:t>
            </w:r>
            <w:r>
              <w:rPr>
                <w:sz w:val="22"/>
                <w:szCs w:val="22"/>
              </w:rPr>
              <w:t xml:space="preserve"> </w:t>
            </w:r>
            <w:r w:rsidRPr="00EA4C57">
              <w:rPr>
                <w:sz w:val="22"/>
                <w:szCs w:val="22"/>
              </w:rPr>
              <w:t>(1.02</w:t>
            </w:r>
            <w:r w:rsidRPr="00EA4C57">
              <w:rPr>
                <w:rFonts w:eastAsia="Times New Roman Uni"/>
                <w:sz w:val="22"/>
                <w:szCs w:val="22"/>
              </w:rPr>
              <w:t>–5.51)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, P=</w:t>
            </w:r>
            <w:r w:rsidRPr="00EA4C57">
              <w:rPr>
                <w:sz w:val="22"/>
                <w:szCs w:val="22"/>
              </w:rPr>
              <w:t>0.044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; high or very high risk, OR (95% CI)=</w:t>
            </w:r>
            <w:r w:rsidRPr="00EA4C57">
              <w:rPr>
                <w:sz w:val="22"/>
                <w:szCs w:val="22"/>
              </w:rPr>
              <w:t>7.23</w:t>
            </w:r>
            <w:r>
              <w:rPr>
                <w:sz w:val="22"/>
                <w:szCs w:val="22"/>
              </w:rPr>
              <w:t xml:space="preserve"> </w:t>
            </w:r>
            <w:r w:rsidRPr="00EA4C57">
              <w:rPr>
                <w:sz w:val="22"/>
                <w:szCs w:val="22"/>
              </w:rPr>
              <w:t>(1.72</w:t>
            </w:r>
            <w:r w:rsidRPr="00EA4C57">
              <w:rPr>
                <w:rFonts w:eastAsia="Times New Roman Uni"/>
                <w:sz w:val="22"/>
                <w:szCs w:val="22"/>
              </w:rPr>
              <w:t>–30.34)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, P=</w:t>
            </w:r>
            <w:r w:rsidRPr="00EA4C57">
              <w:rPr>
                <w:sz w:val="22"/>
                <w:szCs w:val="22"/>
              </w:rPr>
              <w:t>0.007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]</w:t>
            </w:r>
            <w:r>
              <w:rPr>
                <w:rFonts w:eastAsia="Times New Roman Uni"/>
                <w:sz w:val="22"/>
                <w:szCs w:val="22"/>
              </w:rPr>
              <w:t>.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T</w:t>
            </w:r>
            <w:r>
              <w:rPr>
                <w:rFonts w:eastAsia="Times New Roman Uni"/>
                <w:sz w:val="22"/>
                <w:szCs w:val="22"/>
              </w:rPr>
              <w:t xml:space="preserve">herefore, we </w:t>
            </w:r>
            <w:r w:rsidRPr="00DC30C9">
              <w:rPr>
                <w:rFonts w:eastAsia="Times New Roman Uni"/>
                <w:sz w:val="22"/>
                <w:szCs w:val="22"/>
              </w:rPr>
              <w:t xml:space="preserve">obtained </w:t>
            </w:r>
            <w:r>
              <w:rPr>
                <w:rFonts w:eastAsia="Times New Roman Uni"/>
                <w:sz w:val="22"/>
                <w:szCs w:val="22"/>
              </w:rPr>
              <w:t>two cut-off points for FT</w:t>
            </w:r>
            <w:r w:rsidRPr="005236FC">
              <w:rPr>
                <w:rFonts w:eastAsia="Times New Roman Uni"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F62C28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 </w:t>
            </w:r>
            <w:r w:rsidRPr="00DC30C9">
              <w:rPr>
                <w:rFonts w:eastAsia="Times New Roman Uni"/>
                <w:color w:val="000000" w:themeColor="text1"/>
                <w:sz w:val="22"/>
                <w:szCs w:val="22"/>
              </w:rPr>
              <w:t>to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assess 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the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increased </w:t>
            </w:r>
            <w:r>
              <w:rPr>
                <w:rFonts w:eastAsia="Times New Roman Uni"/>
                <w:sz w:val="22"/>
                <w:szCs w:val="22"/>
              </w:rPr>
              <w:t xml:space="preserve">risk of DKD progression, which were </w:t>
            </w:r>
            <w:r>
              <w:rPr>
                <w:sz w:val="22"/>
                <w:szCs w:val="22"/>
              </w:rPr>
              <w:t xml:space="preserve">less than </w:t>
            </w:r>
            <w:r w:rsidRPr="005236FC">
              <w:rPr>
                <w:sz w:val="22"/>
                <w:szCs w:val="22"/>
              </w:rPr>
              <w:t>4.30</w:t>
            </w:r>
            <w:r w:rsidRPr="00F62C28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pmol</w:t>
            </w:r>
            <w:proofErr w:type="spellEnd"/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/L 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for</w:t>
            </w:r>
            <w:r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men and </w:t>
            </w:r>
            <w:r>
              <w:rPr>
                <w:sz w:val="22"/>
                <w:szCs w:val="22"/>
              </w:rPr>
              <w:t xml:space="preserve">less than </w:t>
            </w:r>
            <w:r w:rsidRPr="005236FC">
              <w:rPr>
                <w:sz w:val="22"/>
                <w:szCs w:val="22"/>
              </w:rPr>
              <w:t>3.99</w:t>
            </w:r>
            <w:r w:rsidRPr="00F62C28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pmol</w:t>
            </w:r>
            <w:proofErr w:type="spellEnd"/>
            <w:r>
              <w:rPr>
                <w:rFonts w:eastAsia="Times New Roman Uni"/>
                <w:color w:val="000000" w:themeColor="text1"/>
                <w:sz w:val="22"/>
                <w:szCs w:val="22"/>
              </w:rPr>
              <w:t>/L</w:t>
            </w:r>
            <w:r w:rsidRPr="00F62C28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>for</w:t>
            </w:r>
            <w:r>
              <w:rPr>
                <w:rFonts w:eastAsia="Times New Roman Uni"/>
                <w:sz w:val="22"/>
                <w:szCs w:val="22"/>
              </w:rPr>
              <w:t xml:space="preserve"> w</w:t>
            </w:r>
            <w:r>
              <w:rPr>
                <w:rFonts w:eastAsia="Times New Roman Uni" w:hint="eastAsia"/>
                <w:sz w:val="22"/>
                <w:szCs w:val="22"/>
              </w:rPr>
              <w:t>o</w:t>
            </w:r>
            <w:r>
              <w:rPr>
                <w:rFonts w:eastAsia="Times New Roman Uni"/>
                <w:sz w:val="22"/>
                <w:szCs w:val="22"/>
              </w:rPr>
              <w:t>men, respectively.</w:t>
            </w:r>
            <w:r w:rsidRPr="00546DBD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(Table </w:t>
            </w:r>
            <w:r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6</w:t>
            </w:r>
            <w:r w:rsidRPr="00800040">
              <w:rPr>
                <w:rFonts w:eastAsia="Times New Roman Uni"/>
                <w:color w:val="000000" w:themeColor="text1"/>
                <w:sz w:val="22"/>
                <w:szCs w:val="22"/>
              </w:rPr>
              <w:t>)</w:t>
            </w:r>
          </w:p>
        </w:tc>
      </w:tr>
      <w:tr w:rsidR="0018617D" w:rsidRPr="00BF0ED2" w14:paraId="078527C3" w14:textId="77777777" w:rsidTr="0018617D">
        <w:trPr>
          <w:trHeight w:val="254"/>
        </w:trPr>
        <w:tc>
          <w:tcPr>
            <w:tcW w:w="2161" w:type="dxa"/>
          </w:tcPr>
          <w:p w14:paraId="4B8394D3" w14:textId="77777777" w:rsidR="001831EB" w:rsidRPr="00BF0ED2" w:rsidRDefault="00700EBF" w:rsidP="007B75AB">
            <w:pPr>
              <w:tabs>
                <w:tab w:val="left" w:pos="5400"/>
              </w:tabs>
              <w:rPr>
                <w:b/>
                <w:bCs/>
                <w:sz w:val="22"/>
                <w:szCs w:val="22"/>
              </w:rPr>
            </w:pPr>
            <w:r w:rsidRPr="00BF0ED2">
              <w:rPr>
                <w:b/>
                <w:sz w:val="22"/>
                <w:szCs w:val="22"/>
              </w:rPr>
              <w:t>Discussion</w:t>
            </w:r>
          </w:p>
        </w:tc>
        <w:tc>
          <w:tcPr>
            <w:tcW w:w="708" w:type="dxa"/>
          </w:tcPr>
          <w:p w14:paraId="11F14B2E" w14:textId="77777777" w:rsidR="001831EB" w:rsidRPr="00BF0ED2" w:rsidRDefault="001831EB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70DDE618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0BD12461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</w:tcPr>
          <w:p w14:paraId="716D41E0" w14:textId="77777777" w:rsidR="001831EB" w:rsidRPr="00BF0ED2" w:rsidRDefault="001831EB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</w:p>
        </w:tc>
      </w:tr>
      <w:tr w:rsidR="0018617D" w:rsidRPr="00BF0ED2" w14:paraId="03A2FF18" w14:textId="77777777" w:rsidTr="0018617D">
        <w:trPr>
          <w:trHeight w:val="254"/>
        </w:trPr>
        <w:tc>
          <w:tcPr>
            <w:tcW w:w="2161" w:type="dxa"/>
          </w:tcPr>
          <w:p w14:paraId="1A532135" w14:textId="77777777" w:rsidR="00700EBF" w:rsidRPr="00BF0ED2" w:rsidRDefault="00700EBF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Key results</w:t>
            </w:r>
          </w:p>
        </w:tc>
        <w:tc>
          <w:tcPr>
            <w:tcW w:w="708" w:type="dxa"/>
          </w:tcPr>
          <w:p w14:paraId="022DBF08" w14:textId="77777777" w:rsidR="00700EBF" w:rsidRPr="00BF0ED2" w:rsidRDefault="00700EBF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18</w:t>
            </w:r>
          </w:p>
        </w:tc>
        <w:tc>
          <w:tcPr>
            <w:tcW w:w="7371" w:type="dxa"/>
          </w:tcPr>
          <w:p w14:paraId="3006420A" w14:textId="77777777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Summarise key results with reference to study objectives</w:t>
            </w:r>
          </w:p>
        </w:tc>
        <w:tc>
          <w:tcPr>
            <w:tcW w:w="1136" w:type="dxa"/>
          </w:tcPr>
          <w:p w14:paraId="7B2052F2" w14:textId="2D27F324" w:rsidR="00700EBF" w:rsidRPr="00BF0ED2" w:rsidRDefault="00700EBF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1</w:t>
            </w:r>
            <w:r w:rsidR="00E32D66">
              <w:rPr>
                <w:sz w:val="22"/>
                <w:szCs w:val="22"/>
                <w:lang w:eastAsia="zh-CN"/>
              </w:rPr>
              <w:t>3</w:t>
            </w:r>
            <w:r w:rsidR="00C106FA">
              <w:rPr>
                <w:rFonts w:hint="eastAsia"/>
                <w:sz w:val="22"/>
                <w:szCs w:val="22"/>
                <w:lang w:eastAsia="zh-CN"/>
              </w:rPr>
              <w:t xml:space="preserve"> and 14</w:t>
            </w:r>
          </w:p>
        </w:tc>
        <w:tc>
          <w:tcPr>
            <w:tcW w:w="3544" w:type="dxa"/>
          </w:tcPr>
          <w:p w14:paraId="044607BA" w14:textId="435B168B" w:rsidR="00E84B3D" w:rsidRDefault="00E32D66" w:rsidP="00BC3F97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Our results showed that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4</w:t>
            </w:r>
            <w:r>
              <w:rPr>
                <w:rFonts w:eastAsia="Times New Roman Uni"/>
                <w:sz w:val="22"/>
                <w:szCs w:val="22"/>
              </w:rPr>
              <w:t xml:space="preserve"> were negatively correlated with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SCr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and ACR and positively correlated with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. In contrast, TSH was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 xml:space="preserve">negatively correlated with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eGFR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and </w:t>
            </w:r>
            <w:r w:rsidR="00673717">
              <w:rPr>
                <w:rFonts w:eastAsia="Times New Roman Uni"/>
                <w:sz w:val="22"/>
                <w:szCs w:val="22"/>
              </w:rPr>
              <w:t xml:space="preserve">positively correlated with ACR. </w:t>
            </w:r>
            <w:r>
              <w:rPr>
                <w:rFonts w:eastAsia="Times New Roman Uni"/>
                <w:sz w:val="22"/>
                <w:szCs w:val="22"/>
              </w:rPr>
              <w:t xml:space="preserve">These findings were consistent with </w:t>
            </w:r>
            <w:r>
              <w:rPr>
                <w:rFonts w:eastAsia="Times New Roman Uni" w:hint="eastAsia"/>
                <w:sz w:val="22"/>
                <w:szCs w:val="22"/>
              </w:rPr>
              <w:t>p</w:t>
            </w:r>
            <w:r>
              <w:rPr>
                <w:rFonts w:eastAsia="Times New Roman Uni"/>
                <w:sz w:val="22"/>
                <w:szCs w:val="22"/>
              </w:rPr>
              <w:t xml:space="preserve">revious studies and suggested that thyroid hormones </w:t>
            </w:r>
            <w:r>
              <w:rPr>
                <w:rFonts w:eastAsia="Times New Roman Uni" w:hint="eastAsia"/>
                <w:sz w:val="22"/>
                <w:szCs w:val="22"/>
              </w:rPr>
              <w:t>we</w:t>
            </w:r>
            <w:r>
              <w:rPr>
                <w:rFonts w:eastAsia="Times New Roman Uni"/>
                <w:sz w:val="22"/>
                <w:szCs w:val="22"/>
              </w:rPr>
              <w:t>re related to renal function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in </w:t>
            </w:r>
            <w:r w:rsidR="00E84B3D">
              <w:rPr>
                <w:rFonts w:eastAsia="Times New Roman Uni"/>
                <w:sz w:val="22"/>
                <w:szCs w:val="22"/>
              </w:rPr>
              <w:t>patients with diabetes</w:t>
            </w:r>
            <w:r>
              <w:rPr>
                <w:rFonts w:eastAsia="Times New Roman Uni"/>
                <w:sz w:val="22"/>
                <w:szCs w:val="22"/>
              </w:rPr>
              <w:t>.</w:t>
            </w:r>
            <w:r w:rsidR="00BC3F97">
              <w:rPr>
                <w:rFonts w:eastAsia="Times New Roman Uni"/>
                <w:sz w:val="22"/>
                <w:szCs w:val="22"/>
              </w:rPr>
              <w:t xml:space="preserve"> </w:t>
            </w:r>
          </w:p>
          <w:p w14:paraId="4D66C217" w14:textId="1DEA719C" w:rsidR="00E84B3D" w:rsidRDefault="00BC3F97" w:rsidP="00BC3F97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Our further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findings</w:t>
            </w:r>
            <w:r>
              <w:rPr>
                <w:rFonts w:eastAsia="Times New Roman Uni"/>
                <w:sz w:val="22"/>
                <w:szCs w:val="22"/>
              </w:rPr>
              <w:t xml:space="preserve"> showed that FT</w:t>
            </w:r>
            <w:r w:rsidRPr="009F5ADA"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levels decreased </w:t>
            </w:r>
            <w:r>
              <w:rPr>
                <w:rFonts w:eastAsia="Times New Roman Uni" w:hint="eastAsia"/>
                <w:sz w:val="22"/>
                <w:szCs w:val="22"/>
              </w:rPr>
              <w:t>g</w:t>
            </w:r>
            <w:r>
              <w:rPr>
                <w:rFonts w:eastAsia="Times New Roman Uni"/>
                <w:sz w:val="22"/>
                <w:szCs w:val="22"/>
              </w:rPr>
              <w:t>radually with increase</w:t>
            </w:r>
            <w:r>
              <w:rPr>
                <w:rFonts w:eastAsia="Times New Roman Uni" w:hint="eastAsia"/>
                <w:sz w:val="22"/>
                <w:szCs w:val="22"/>
              </w:rPr>
              <w:t>d</w:t>
            </w:r>
            <w:r>
              <w:rPr>
                <w:rFonts w:eastAsia="Times New Roman Uni"/>
                <w:sz w:val="22"/>
                <w:szCs w:val="22"/>
              </w:rPr>
              <w:t xml:space="preserve"> severity of kidney damage and albuminuria. </w:t>
            </w:r>
          </w:p>
          <w:p w14:paraId="44F4AB16" w14:textId="46151FA6" w:rsidR="00E32D66" w:rsidRDefault="00BC3F97" w:rsidP="00BC3F97">
            <w:pPr>
              <w:tabs>
                <w:tab w:val="left" w:pos="5400"/>
              </w:tabs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TSH levels increased</w:t>
            </w:r>
            <w:r w:rsidRPr="00EC1C35"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>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levels decreased </w:t>
            </w:r>
            <w:r>
              <w:rPr>
                <w:rFonts w:eastAsia="Times New Roman Uni" w:hint="eastAsia"/>
                <w:sz w:val="22"/>
                <w:szCs w:val="22"/>
              </w:rPr>
              <w:t>i</w:t>
            </w:r>
            <w:r>
              <w:rPr>
                <w:rFonts w:eastAsia="Times New Roman Uni"/>
                <w:sz w:val="22"/>
                <w:szCs w:val="22"/>
              </w:rPr>
              <w:t xml:space="preserve">n higher </w:t>
            </w:r>
            <w:r>
              <w:rPr>
                <w:rFonts w:eastAsia="Times New Roman Uni" w:hint="eastAsia"/>
                <w:sz w:val="22"/>
                <w:szCs w:val="22"/>
              </w:rPr>
              <w:t>risk group</w:t>
            </w:r>
            <w:r>
              <w:rPr>
                <w:rFonts w:eastAsia="Times New Roman Uni"/>
                <w:sz w:val="22"/>
                <w:szCs w:val="22"/>
              </w:rPr>
              <w:t>s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of DKD progression, using </w:t>
            </w:r>
            <w:r w:rsidR="00E84B3D">
              <w:rPr>
                <w:rFonts w:eastAsia="Times New Roman Uni"/>
                <w:sz w:val="22"/>
                <w:szCs w:val="22"/>
              </w:rPr>
              <w:t xml:space="preserve">the </w:t>
            </w:r>
            <w:r>
              <w:rPr>
                <w:rFonts w:eastAsia="Times New Roman Uni"/>
                <w:sz w:val="22"/>
                <w:szCs w:val="22"/>
              </w:rPr>
              <w:t xml:space="preserve">KDIGO classification. </w:t>
            </w:r>
          </w:p>
          <w:p w14:paraId="221B128A" w14:textId="336C0310" w:rsidR="00BC3F97" w:rsidRPr="00BF0ED2" w:rsidRDefault="00BC3F97" w:rsidP="00E84B3D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 w:hint="eastAsia"/>
                <w:sz w:val="22"/>
                <w:szCs w:val="22"/>
              </w:rPr>
              <w:t>I</w:t>
            </w:r>
            <w:r>
              <w:rPr>
                <w:rFonts w:eastAsia="Times New Roman Uni"/>
                <w:sz w:val="22"/>
                <w:szCs w:val="22"/>
              </w:rPr>
              <w:t>n order to confirm the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E84B3D">
              <w:rPr>
                <w:rFonts w:eastAsia="Times New Roman Uni"/>
                <w:sz w:val="22"/>
                <w:szCs w:val="22"/>
              </w:rPr>
              <w:t>strong</w:t>
            </w:r>
            <w:r w:rsidR="00E84B3D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association between </w:t>
            </w:r>
            <w:r>
              <w:rPr>
                <w:rFonts w:eastAsia="Times New Roman Uni"/>
                <w:sz w:val="22"/>
                <w:szCs w:val="22"/>
              </w:rPr>
              <w:t xml:space="preserve">thyroid hormones and DKD, a logistic regression analysis was </w:t>
            </w:r>
            <w:r>
              <w:rPr>
                <w:rFonts w:eastAsia="Times New Roman Uni" w:hint="eastAsia"/>
                <w:sz w:val="22"/>
                <w:szCs w:val="22"/>
              </w:rPr>
              <w:t>performed.</w:t>
            </w:r>
            <w:r>
              <w:rPr>
                <w:rFonts w:eastAsia="Times New Roman Uni"/>
                <w:sz w:val="22"/>
                <w:szCs w:val="22"/>
              </w:rPr>
              <w:t xml:space="preserve"> O</w:t>
            </w:r>
            <w:r>
              <w:rPr>
                <w:rFonts w:eastAsia="Times New Roman Uni" w:hint="eastAsia"/>
                <w:sz w:val="22"/>
                <w:szCs w:val="22"/>
              </w:rPr>
              <w:t>ur</w:t>
            </w:r>
            <w:r>
              <w:rPr>
                <w:rFonts w:eastAsia="Times New Roman Uni"/>
                <w:sz w:val="22"/>
                <w:szCs w:val="22"/>
              </w:rPr>
              <w:t xml:space="preserve"> study </w:t>
            </w:r>
            <w:r>
              <w:rPr>
                <w:rFonts w:eastAsia="Times New Roman Uni" w:hint="eastAsia"/>
                <w:sz w:val="22"/>
                <w:szCs w:val="22"/>
              </w:rPr>
              <w:t>suggested</w:t>
            </w:r>
            <w:r>
              <w:rPr>
                <w:rFonts w:eastAsia="Times New Roman Uni"/>
                <w:sz w:val="22"/>
                <w:szCs w:val="22"/>
              </w:rPr>
              <w:t xml:space="preserve"> that the increase </w:t>
            </w:r>
            <w:r w:rsidR="00E84B3D">
              <w:rPr>
                <w:rFonts w:eastAsia="Times New Roman Uni"/>
                <w:sz w:val="22"/>
                <w:szCs w:val="22"/>
              </w:rPr>
              <w:t>in</w:t>
            </w:r>
            <w:r>
              <w:rPr>
                <w:rFonts w:eastAsia="Times New Roman Uni"/>
                <w:sz w:val="22"/>
                <w:szCs w:val="22"/>
              </w:rPr>
              <w:t xml:space="preserve">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level significantly reduced the risk</w:t>
            </w:r>
            <w:r>
              <w:rPr>
                <w:rFonts w:eastAsia="Times New Roman Uni" w:hint="eastAsia"/>
                <w:sz w:val="22"/>
                <w:szCs w:val="22"/>
              </w:rPr>
              <w:t>s</w:t>
            </w:r>
            <w:r>
              <w:rPr>
                <w:rFonts w:eastAsia="Times New Roman Uni"/>
                <w:sz w:val="22"/>
                <w:szCs w:val="22"/>
              </w:rPr>
              <w:t xml:space="preserve"> of DKD and DKD progression by abou</w:t>
            </w:r>
            <w:r w:rsidRPr="00EC3A5B">
              <w:rPr>
                <w:rFonts w:eastAsia="Times New Roman Uni"/>
                <w:sz w:val="22"/>
                <w:szCs w:val="22"/>
              </w:rPr>
              <w:t>t</w:t>
            </w:r>
            <w:r w:rsidRPr="00EC3A5B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r w:rsidRPr="00EC3A5B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35</w:t>
            </w:r>
            <w:r w:rsidRPr="00EC3A5B">
              <w:rPr>
                <w:rFonts w:eastAsia="Times New Roman Uni"/>
                <w:color w:val="000000" w:themeColor="text1"/>
                <w:sz w:val="22"/>
                <w:szCs w:val="22"/>
              </w:rPr>
              <w:t>–50%</w:t>
            </w:r>
            <w:r w:rsidRPr="00EC3A5B">
              <w:rPr>
                <w:rFonts w:eastAsia="Times New Roman Uni"/>
                <w:sz w:val="22"/>
                <w:szCs w:val="22"/>
              </w:rPr>
              <w:t>.</w:t>
            </w:r>
          </w:p>
        </w:tc>
      </w:tr>
      <w:tr w:rsidR="0018617D" w:rsidRPr="00BF0ED2" w14:paraId="1F49F2A4" w14:textId="77777777" w:rsidTr="0018617D">
        <w:trPr>
          <w:trHeight w:val="254"/>
        </w:trPr>
        <w:tc>
          <w:tcPr>
            <w:tcW w:w="2161" w:type="dxa"/>
          </w:tcPr>
          <w:p w14:paraId="1F20EFB9" w14:textId="77777777" w:rsidR="00700EBF" w:rsidRPr="00BF0ED2" w:rsidRDefault="00700EBF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lastRenderedPageBreak/>
              <w:t>Limitations</w:t>
            </w:r>
          </w:p>
        </w:tc>
        <w:tc>
          <w:tcPr>
            <w:tcW w:w="708" w:type="dxa"/>
          </w:tcPr>
          <w:p w14:paraId="4D9941EE" w14:textId="77777777" w:rsidR="00700EBF" w:rsidRPr="00BF0ED2" w:rsidRDefault="00700EBF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19</w:t>
            </w:r>
          </w:p>
        </w:tc>
        <w:tc>
          <w:tcPr>
            <w:tcW w:w="7371" w:type="dxa"/>
          </w:tcPr>
          <w:p w14:paraId="0B832A5F" w14:textId="77777777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136" w:type="dxa"/>
          </w:tcPr>
          <w:p w14:paraId="41FD28FF" w14:textId="27FE5823" w:rsidR="00700EBF" w:rsidRPr="00BF0ED2" w:rsidRDefault="00700EBF" w:rsidP="00BC3F97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1</w:t>
            </w:r>
            <w:r w:rsidR="00BC3F97">
              <w:rPr>
                <w:sz w:val="22"/>
                <w:szCs w:val="22"/>
                <w:lang w:eastAsia="zh-CN"/>
              </w:rPr>
              <w:t>6</w:t>
            </w:r>
            <w:r w:rsidR="00673717">
              <w:rPr>
                <w:sz w:val="22"/>
                <w:szCs w:val="22"/>
                <w:lang w:eastAsia="zh-CN"/>
              </w:rPr>
              <w:t xml:space="preserve"> and 17</w:t>
            </w:r>
          </w:p>
        </w:tc>
        <w:tc>
          <w:tcPr>
            <w:tcW w:w="3544" w:type="dxa"/>
          </w:tcPr>
          <w:p w14:paraId="281A981A" w14:textId="301CDAAE" w:rsidR="00BC3F97" w:rsidRPr="00BF0ED2" w:rsidRDefault="00BC3F97" w:rsidP="007B75AB">
            <w:pPr>
              <w:spacing w:line="276" w:lineRule="auto"/>
              <w:rPr>
                <w:sz w:val="22"/>
                <w:szCs w:val="22"/>
                <w:lang w:eastAsia="zh-CN"/>
              </w:rPr>
            </w:pPr>
            <w:r>
              <w:rPr>
                <w:rFonts w:eastAsia="Times New Roman Uni"/>
                <w:sz w:val="22"/>
                <w:szCs w:val="22"/>
              </w:rPr>
              <w:t>However, this study has some limitations. First, this was a cross-sectional study, and causality could not be established. Further prospective and longitudinal studies should be conducted. Second, the thyroid autoantibodies of the patients were not evaluated. Studies ha</w:t>
            </w:r>
            <w:r>
              <w:rPr>
                <w:rFonts w:eastAsia="Times New Roman Uni" w:hint="eastAsia"/>
                <w:sz w:val="22"/>
                <w:szCs w:val="22"/>
              </w:rPr>
              <w:t>ve</w:t>
            </w:r>
            <w:r>
              <w:rPr>
                <w:rFonts w:eastAsia="Times New Roman Uni"/>
                <w:sz w:val="22"/>
                <w:szCs w:val="22"/>
              </w:rPr>
              <w:t xml:space="preserve"> shown that anti-thyroid peroxidase </w:t>
            </w:r>
            <w:r>
              <w:rPr>
                <w:rFonts w:eastAsia="Times New Roman Uni"/>
                <w:sz w:val="22"/>
                <w:szCs w:val="22"/>
              </w:rPr>
              <w:lastRenderedPageBreak/>
              <w:t xml:space="preserve">antibodies </w:t>
            </w:r>
            <w:r>
              <w:rPr>
                <w:rFonts w:eastAsia="Times New Roman Uni" w:hint="eastAsia"/>
                <w:sz w:val="22"/>
                <w:szCs w:val="22"/>
              </w:rPr>
              <w:t>may</w:t>
            </w:r>
            <w:r>
              <w:rPr>
                <w:rFonts w:eastAsia="Times New Roman Uni"/>
                <w:sz w:val="22"/>
                <w:szCs w:val="22"/>
              </w:rPr>
              <w:t xml:space="preserve"> be related to endothelial dysfunction </w:t>
            </w:r>
            <w:r w:rsidR="00AE6B1B">
              <w:rPr>
                <w:rFonts w:eastAsia="Times New Roman Uni"/>
                <w:sz w:val="22"/>
                <w:szCs w:val="22"/>
              </w:rPr>
              <w:t>and subsequent microalbuminuria</w:t>
            </w:r>
            <w:r>
              <w:rPr>
                <w:rFonts w:eastAsia="Times New Roman Uni"/>
                <w:sz w:val="22"/>
                <w:szCs w:val="22"/>
              </w:rPr>
              <w:t xml:space="preserve">. Third, the study population </w:t>
            </w:r>
            <w:r w:rsidRPr="00D03EA7">
              <w:rPr>
                <w:rFonts w:eastAsia="Times New Roman Uni"/>
                <w:sz w:val="22"/>
                <w:szCs w:val="22"/>
              </w:rPr>
              <w:t xml:space="preserve">consisted of </w:t>
            </w:r>
            <w:r>
              <w:rPr>
                <w:rFonts w:eastAsia="Times New Roman Uni"/>
                <w:sz w:val="22"/>
                <w:szCs w:val="22"/>
              </w:rPr>
              <w:t xml:space="preserve">hospitalized patients with type 2 diabetes, hence, the results </w:t>
            </w:r>
            <w:r>
              <w:rPr>
                <w:rFonts w:eastAsia="Times New Roman Uni" w:hint="eastAsia"/>
                <w:sz w:val="22"/>
                <w:szCs w:val="22"/>
              </w:rPr>
              <w:t>co</w:t>
            </w:r>
            <w:r>
              <w:rPr>
                <w:rFonts w:eastAsia="Times New Roman Uni"/>
                <w:sz w:val="22"/>
                <w:szCs w:val="22"/>
              </w:rPr>
              <w:t xml:space="preserve">uld not </w:t>
            </w:r>
            <w:r w:rsidRPr="00D03EA7">
              <w:rPr>
                <w:rFonts w:eastAsia="Times New Roman Uni"/>
                <w:sz w:val="22"/>
                <w:szCs w:val="22"/>
              </w:rPr>
              <w:t>represent</w:t>
            </w:r>
            <w:r>
              <w:rPr>
                <w:rFonts w:eastAsia="Times New Roman Uni"/>
                <w:sz w:val="22"/>
                <w:szCs w:val="22"/>
              </w:rPr>
              <w:t xml:space="preserve"> the overall population.</w:t>
            </w:r>
          </w:p>
        </w:tc>
      </w:tr>
      <w:tr w:rsidR="0018617D" w:rsidRPr="00BF0ED2" w14:paraId="2C2A4501" w14:textId="77777777" w:rsidTr="0018617D">
        <w:trPr>
          <w:trHeight w:val="254"/>
        </w:trPr>
        <w:tc>
          <w:tcPr>
            <w:tcW w:w="2161" w:type="dxa"/>
          </w:tcPr>
          <w:p w14:paraId="72EE4535" w14:textId="77777777" w:rsidR="00700EBF" w:rsidRPr="00BF0ED2" w:rsidRDefault="00700EBF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lastRenderedPageBreak/>
              <w:t>Interpretation</w:t>
            </w:r>
          </w:p>
        </w:tc>
        <w:tc>
          <w:tcPr>
            <w:tcW w:w="708" w:type="dxa"/>
          </w:tcPr>
          <w:p w14:paraId="39E1F4F8" w14:textId="77777777" w:rsidR="00700EBF" w:rsidRPr="00BF0ED2" w:rsidRDefault="00700EBF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20</w:t>
            </w:r>
          </w:p>
        </w:tc>
        <w:tc>
          <w:tcPr>
            <w:tcW w:w="7371" w:type="dxa"/>
          </w:tcPr>
          <w:p w14:paraId="2C7FAB88" w14:textId="0076C59F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136" w:type="dxa"/>
          </w:tcPr>
          <w:p w14:paraId="38E4474A" w14:textId="715E3EA6" w:rsidR="00700EBF" w:rsidRPr="00BF0ED2" w:rsidRDefault="00084DFF" w:rsidP="00084DFF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15 and</w:t>
            </w:r>
            <w:r w:rsidR="00700EBF" w:rsidRPr="00BF0ED2">
              <w:rPr>
                <w:sz w:val="22"/>
                <w:szCs w:val="22"/>
                <w:lang w:eastAsia="zh-CN"/>
              </w:rPr>
              <w:t xml:space="preserve"> 1</w:t>
            </w:r>
            <w:r w:rsidR="00AE6B1B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544" w:type="dxa"/>
          </w:tcPr>
          <w:p w14:paraId="288FB548" w14:textId="03805357" w:rsidR="00E84B3D" w:rsidRPr="00AE6B1B" w:rsidRDefault="00E84B3D" w:rsidP="00E84B3D">
            <w:pPr>
              <w:spacing w:line="276" w:lineRule="auto"/>
              <w:rPr>
                <w:rFonts w:eastAsia="Times New Roman Uni"/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 xml:space="preserve">The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role </w:t>
            </w:r>
            <w:r>
              <w:rPr>
                <w:rFonts w:eastAsia="Times New Roman Uni"/>
                <w:sz w:val="22"/>
                <w:szCs w:val="22"/>
              </w:rPr>
              <w:t>of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in diabetic nephropathy progression is unclear. However, there are some hypotheses. Firstly, endothelial dysfunction and podocyte disease play a key role in the pathogenesis and development of DKD. Microalbuminuria is a sign of systemic endothelial dysfunction and vascular damage, and thyroid hormones can affect vasodilation, regulate endothelial function and homeostatic signal transduction processes. Experimental models ha</w:t>
            </w:r>
            <w:r>
              <w:rPr>
                <w:rFonts w:eastAsia="Times New Roman Uni" w:hint="eastAsia"/>
                <w:sz w:val="22"/>
                <w:szCs w:val="22"/>
              </w:rPr>
              <w:t>ve</w:t>
            </w:r>
            <w:r>
              <w:rPr>
                <w:rFonts w:eastAsia="Times New Roman Uni"/>
                <w:sz w:val="22"/>
                <w:szCs w:val="22"/>
              </w:rPr>
              <w:t xml:space="preserve"> confirmed that 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c</w:t>
            </w:r>
            <w:r>
              <w:rPr>
                <w:rFonts w:eastAsia="Times New Roman Uni" w:hint="eastAsia"/>
                <w:sz w:val="22"/>
                <w:szCs w:val="22"/>
              </w:rPr>
              <w:t>an</w:t>
            </w:r>
            <w:r>
              <w:rPr>
                <w:rFonts w:eastAsia="Times New Roman Uni"/>
                <w:sz w:val="22"/>
                <w:szCs w:val="22"/>
              </w:rPr>
              <w:t xml:space="preserve"> directly or indirectly relax vascular smooth muscle cells, thereby affecting endothelial function. </w:t>
            </w:r>
            <w:r>
              <w:rPr>
                <w:rFonts w:eastAsia="Times New Roman Uni" w:hint="eastAsia"/>
                <w:sz w:val="22"/>
                <w:szCs w:val="22"/>
              </w:rPr>
              <w:t>I</w:t>
            </w:r>
            <w:r>
              <w:rPr>
                <w:rFonts w:eastAsia="Times New Roman Uni"/>
                <w:sz w:val="22"/>
                <w:szCs w:val="22"/>
              </w:rPr>
              <w:t xml:space="preserve">n patients with stage 3–4 CKD without diabetes, </w:t>
            </w:r>
            <w:r>
              <w:rPr>
                <w:rFonts w:eastAsia="Times New Roman Uni" w:hint="eastAsia"/>
                <w:sz w:val="22"/>
                <w:szCs w:val="22"/>
              </w:rPr>
              <w:t>it was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also </w:t>
            </w:r>
            <w:r>
              <w:rPr>
                <w:rFonts w:eastAsia="Times New Roman Uni"/>
                <w:sz w:val="22"/>
                <w:szCs w:val="22"/>
              </w:rPr>
              <w:t>proven that low serum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level </w:t>
            </w:r>
            <w:r>
              <w:rPr>
                <w:rFonts w:eastAsia="Times New Roman Uni" w:hint="eastAsia"/>
                <w:sz w:val="22"/>
                <w:szCs w:val="22"/>
              </w:rPr>
              <w:t>was</w:t>
            </w:r>
            <w:r>
              <w:rPr>
                <w:rFonts w:eastAsia="Times New Roman Uni"/>
                <w:sz w:val="22"/>
                <w:szCs w:val="22"/>
              </w:rPr>
              <w:t xml:space="preserve"> related to endothelial dysfunction assessed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by </w:t>
            </w:r>
            <w:r>
              <w:rPr>
                <w:rFonts w:eastAsia="Times New Roman Uni"/>
                <w:sz w:val="22"/>
                <w:szCs w:val="22"/>
              </w:rPr>
              <w:t>the blood flow-mediated expansion method</w:t>
            </w:r>
            <w:r w:rsidRPr="0060717C">
              <w:rPr>
                <w:rFonts w:eastAsia="Times New Roman Uni"/>
                <w:sz w:val="22"/>
                <w:szCs w:val="22"/>
              </w:rPr>
              <w:t>.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>O</w:t>
            </w:r>
            <w:r>
              <w:rPr>
                <w:rFonts w:eastAsia="Times New Roman Uni"/>
                <w:sz w:val="22"/>
                <w:szCs w:val="22"/>
              </w:rPr>
              <w:t xml:space="preserve">n the contrary, </w:t>
            </w:r>
            <w:r>
              <w:rPr>
                <w:rFonts w:eastAsia="Times New Roman Uni" w:hint="eastAsia"/>
                <w:sz w:val="22"/>
                <w:szCs w:val="22"/>
              </w:rPr>
              <w:t>s</w:t>
            </w:r>
            <w:r>
              <w:rPr>
                <w:rFonts w:eastAsia="Times New Roman Uni"/>
                <w:sz w:val="22"/>
                <w:szCs w:val="22"/>
              </w:rPr>
              <w:t>ufficient 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can promote podocyte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redifferentiation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, reduce hypertrophy, and improve the kidney structure. Secondly,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lastRenderedPageBreak/>
              <w:t>hyperglycemia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can lead to an increase of renal cell cytoplasmic glucose concentration, which leads to the activation of various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signaling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pathways and oxidative stress. </w:t>
            </w:r>
            <w:r>
              <w:rPr>
                <w:rFonts w:eastAsia="Times New Roman Uni" w:hint="eastAsia"/>
                <w:sz w:val="22"/>
                <w:szCs w:val="22"/>
              </w:rPr>
              <w:t>H</w:t>
            </w:r>
            <w:r>
              <w:rPr>
                <w:rFonts w:eastAsia="Times New Roman Uni"/>
                <w:sz w:val="22"/>
                <w:szCs w:val="22"/>
              </w:rPr>
              <w:t>owever, 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can reduce renal cortex collagen accumulation and glomerular matrix expansion in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db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db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mice, improve kidney damage in diabetic mice, increase renal PI3K activity, and reduce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hyperglycemia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. </w:t>
            </w:r>
            <w:r>
              <w:rPr>
                <w:rFonts w:eastAsia="Times New Roman Uni" w:hint="eastAsia"/>
                <w:sz w:val="22"/>
                <w:szCs w:val="22"/>
              </w:rPr>
              <w:t>Besides</w:t>
            </w:r>
            <w:r>
              <w:rPr>
                <w:rFonts w:eastAsia="Times New Roman Uni"/>
                <w:sz w:val="22"/>
                <w:szCs w:val="22"/>
              </w:rPr>
              <w:t>, 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can reduce renal transforming growth factor-β1 expression, promote insulin synthesis and release, enhance insulin signal transduction, and improve insulin resistance. Therefore, low T</w:t>
            </w:r>
            <w:r w:rsidRPr="002A72C5"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levels may indirectly aggravate DKD progression by concomitant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hyperglycemia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>. Thirdly, it was confirmed in an animal study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that overexpressed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sirtuin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1 (SIRT1) in podocytes and renal tubular cells can reduce albuminuria and kidney damage. 3,5-diiodothyronine,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t</w:t>
            </w:r>
            <w:r>
              <w:rPr>
                <w:rFonts w:eastAsia="Times New Roman Uni"/>
                <w:sz w:val="22"/>
                <w:szCs w:val="22"/>
              </w:rPr>
              <w:t>he natural metabolite of 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in the 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deiodination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pathway, can prevent a significant decrease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in </w:t>
            </w:r>
            <w:r>
              <w:rPr>
                <w:rFonts w:eastAsia="Times New Roman Uni"/>
                <w:sz w:val="22"/>
                <w:szCs w:val="22"/>
              </w:rPr>
              <w:t>the activity of SIRT1 in the kidneys of diabetic rats, and can inhibit renal tubular epithelium cell nuclear factor-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κB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acetylation and c-Jun N-terminal kinase phosphorylation, which</w:t>
            </w:r>
            <w:r w:rsidRPr="00DA2D68">
              <w:rPr>
                <w:rFonts w:eastAsia="Times New Roman Uni"/>
                <w:sz w:val="22"/>
                <w:szCs w:val="22"/>
              </w:rPr>
              <w:t xml:space="preserve"> </w:t>
            </w:r>
            <w:r w:rsidRPr="00DA2D68">
              <w:rPr>
                <w:rFonts w:eastAsia="Times New Roman Uni"/>
                <w:sz w:val="22"/>
                <w:szCs w:val="22"/>
              </w:rPr>
              <w:lastRenderedPageBreak/>
              <w:t>ultimately play a role in protecting the kidney</w:t>
            </w:r>
            <w:r>
              <w:rPr>
                <w:rFonts w:eastAsia="Times New Roman Uni" w:hint="eastAsia"/>
                <w:sz w:val="22"/>
                <w:szCs w:val="22"/>
              </w:rPr>
              <w:t>s</w:t>
            </w:r>
            <w:r w:rsidRPr="00DA2D68">
              <w:rPr>
                <w:rFonts w:eastAsia="Times New Roman Uni"/>
                <w:sz w:val="22"/>
                <w:szCs w:val="22"/>
              </w:rPr>
              <w:t>.</w:t>
            </w:r>
            <w:r>
              <w:rPr>
                <w:rFonts w:eastAsia="Times New Roman Uni"/>
                <w:sz w:val="22"/>
                <w:szCs w:val="22"/>
              </w:rPr>
              <w:t xml:space="preserve"> Fourthly, inflammation seriously interferes with the thyroid function </w:t>
            </w:r>
            <w:r>
              <w:rPr>
                <w:rFonts w:eastAsia="Times New Roman Uni" w:hint="eastAsia"/>
                <w:sz w:val="22"/>
                <w:szCs w:val="22"/>
              </w:rPr>
              <w:t>in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>sub</w:t>
            </w:r>
            <w:r>
              <w:rPr>
                <w:rFonts w:eastAsia="Times New Roman Uni"/>
                <w:sz w:val="22"/>
                <w:szCs w:val="22"/>
              </w:rPr>
              <w:t xml:space="preserve">jects with </w:t>
            </w:r>
            <w:r>
              <w:rPr>
                <w:rFonts w:eastAsia="Times New Roman Uni" w:hint="eastAsia"/>
                <w:sz w:val="22"/>
                <w:szCs w:val="22"/>
              </w:rPr>
              <w:t>CKD</w:t>
            </w:r>
            <w:r>
              <w:rPr>
                <w:rFonts w:eastAsia="Times New Roman Uni"/>
                <w:sz w:val="22"/>
                <w:szCs w:val="22"/>
              </w:rPr>
              <w:t xml:space="preserve">. In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these </w:t>
            </w:r>
            <w:r>
              <w:rPr>
                <w:rFonts w:eastAsia="Times New Roman Uni"/>
                <w:sz w:val="22"/>
                <w:szCs w:val="22"/>
              </w:rPr>
              <w:t>patients, an independent negative correlation between inflammatory cytokines (</w:t>
            </w:r>
            <w:proofErr w:type="spellStart"/>
            <w:r>
              <w:rPr>
                <w:rFonts w:eastAsia="Times New Roman Uni"/>
                <w:sz w:val="22"/>
                <w:szCs w:val="22"/>
              </w:rPr>
              <w:t>tumor</w:t>
            </w:r>
            <w:proofErr w:type="spellEnd"/>
            <w:r>
              <w:rPr>
                <w:rFonts w:eastAsia="Times New Roman Uni"/>
                <w:sz w:val="22"/>
                <w:szCs w:val="22"/>
              </w:rPr>
              <w:t xml:space="preserve"> necrosis factor-α, interleukin-6, and C-reactive protein) and FT</w:t>
            </w:r>
            <w:r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 w:hint="eastAsia"/>
                <w:sz w:val="22"/>
                <w:szCs w:val="22"/>
              </w:rPr>
              <w:t>was o</w:t>
            </w:r>
            <w:r>
              <w:rPr>
                <w:rFonts w:eastAsia="Times New Roman Uni"/>
                <w:sz w:val="22"/>
                <w:szCs w:val="22"/>
              </w:rPr>
              <w:t>bserved.</w:t>
            </w:r>
          </w:p>
        </w:tc>
      </w:tr>
      <w:tr w:rsidR="0018617D" w:rsidRPr="00BF0ED2" w14:paraId="557D3399" w14:textId="77777777" w:rsidTr="0018617D">
        <w:trPr>
          <w:trHeight w:val="254"/>
        </w:trPr>
        <w:tc>
          <w:tcPr>
            <w:tcW w:w="2161" w:type="dxa"/>
          </w:tcPr>
          <w:p w14:paraId="6CA5F387" w14:textId="77777777" w:rsidR="00700EBF" w:rsidRPr="00BF0ED2" w:rsidRDefault="00700EBF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lastRenderedPageBreak/>
              <w:t>Generalisability</w:t>
            </w:r>
          </w:p>
        </w:tc>
        <w:tc>
          <w:tcPr>
            <w:tcW w:w="708" w:type="dxa"/>
          </w:tcPr>
          <w:p w14:paraId="357C7CC7" w14:textId="77777777" w:rsidR="00700EBF" w:rsidRPr="00BF0ED2" w:rsidRDefault="00700EBF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21</w:t>
            </w:r>
          </w:p>
        </w:tc>
        <w:tc>
          <w:tcPr>
            <w:tcW w:w="7371" w:type="dxa"/>
          </w:tcPr>
          <w:p w14:paraId="03CBA627" w14:textId="3C445DF8" w:rsidR="00700EBF" w:rsidRPr="00BF0ED2" w:rsidRDefault="00700EBF" w:rsidP="00BC3F97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Discuss the generalisability (external validity) of the study results</w:t>
            </w:r>
          </w:p>
        </w:tc>
        <w:tc>
          <w:tcPr>
            <w:tcW w:w="1136" w:type="dxa"/>
          </w:tcPr>
          <w:p w14:paraId="36B1E110" w14:textId="1602BA10" w:rsidR="00700EBF" w:rsidRPr="00BF0ED2" w:rsidRDefault="00700EBF" w:rsidP="00BC3F97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 w:rsidRPr="00BF0ED2">
              <w:rPr>
                <w:sz w:val="22"/>
                <w:szCs w:val="22"/>
                <w:lang w:eastAsia="zh-CN"/>
              </w:rPr>
              <w:t>1</w:t>
            </w:r>
            <w:r w:rsidR="00BC3F9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544" w:type="dxa"/>
          </w:tcPr>
          <w:p w14:paraId="6113F3CF" w14:textId="1D4D1451" w:rsidR="00BC3F97" w:rsidRPr="00BC3F97" w:rsidRDefault="00E84B3D" w:rsidP="00BC3F97">
            <w:pPr>
              <w:tabs>
                <w:tab w:val="left" w:pos="5400"/>
              </w:tabs>
              <w:rPr>
                <w:sz w:val="22"/>
                <w:szCs w:val="22"/>
              </w:rPr>
            </w:pPr>
            <w:r>
              <w:rPr>
                <w:rFonts w:eastAsia="Times New Roman Uni"/>
                <w:sz w:val="22"/>
                <w:szCs w:val="22"/>
              </w:rPr>
              <w:t>B</w:t>
            </w:r>
            <w:r w:rsidRPr="00B5397E">
              <w:rPr>
                <w:rFonts w:eastAsia="Times New Roman Uni"/>
                <w:sz w:val="22"/>
                <w:szCs w:val="22"/>
              </w:rPr>
              <w:t>eyond doubt</w:t>
            </w:r>
            <w:r>
              <w:rPr>
                <w:rFonts w:eastAsia="Times New Roman Uni"/>
                <w:sz w:val="22"/>
                <w:szCs w:val="22"/>
              </w:rPr>
              <w:t xml:space="preserve">,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similar </w:t>
            </w:r>
            <w:r w:rsidRPr="006D4450">
              <w:rPr>
                <w:rFonts w:eastAsia="Times New Roman Uni"/>
                <w:sz w:val="22"/>
                <w:szCs w:val="22"/>
              </w:rPr>
              <w:t xml:space="preserve">results were obtained in </w:t>
            </w:r>
            <w:r>
              <w:rPr>
                <w:rFonts w:eastAsia="Times New Roman Uni" w:hint="eastAsia"/>
                <w:sz w:val="22"/>
                <w:szCs w:val="22"/>
              </w:rPr>
              <w:t>both</w:t>
            </w:r>
            <w:r w:rsidRPr="006D4450">
              <w:rPr>
                <w:rFonts w:eastAsia="Times New Roman Uni"/>
                <w:sz w:val="22"/>
                <w:szCs w:val="22"/>
              </w:rPr>
              <w:t xml:space="preserve"> men </w:t>
            </w:r>
            <w:r>
              <w:rPr>
                <w:rFonts w:eastAsia="Times New Roman Uni" w:hint="eastAsia"/>
                <w:sz w:val="22"/>
                <w:szCs w:val="22"/>
              </w:rPr>
              <w:t>and</w:t>
            </w:r>
            <w:r w:rsidRPr="006D4450">
              <w:rPr>
                <w:rFonts w:eastAsia="Times New Roman Uni"/>
                <w:sz w:val="22"/>
                <w:szCs w:val="22"/>
              </w:rPr>
              <w:t xml:space="preserve"> women</w:t>
            </w:r>
            <w:r w:rsidRPr="006D4450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>in the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s</w:t>
            </w:r>
            <w:r w:rsidRPr="00FC4CDF">
              <w:rPr>
                <w:rFonts w:eastAsia="Times New Roman Uni"/>
                <w:sz w:val="22"/>
                <w:szCs w:val="22"/>
              </w:rPr>
              <w:t>ubgroup analys</w:t>
            </w:r>
            <w:r>
              <w:rPr>
                <w:rFonts w:eastAsia="Times New Roman Uni"/>
                <w:sz w:val="22"/>
                <w:szCs w:val="22"/>
              </w:rPr>
              <w:t xml:space="preserve">es. </w:t>
            </w:r>
            <w:r w:rsidRPr="00B1286D">
              <w:rPr>
                <w:rFonts w:eastAsia="Times New Roman Uni"/>
                <w:sz w:val="22"/>
                <w:szCs w:val="22"/>
              </w:rPr>
              <w:t xml:space="preserve">More </w:t>
            </w:r>
            <w:r w:rsidRPr="00012D1B">
              <w:rPr>
                <w:rFonts w:eastAsia="Times New Roman Uni"/>
                <w:sz w:val="22"/>
                <w:szCs w:val="22"/>
              </w:rPr>
              <w:t>seriously</w:t>
            </w:r>
            <w:r w:rsidRPr="00B1286D">
              <w:rPr>
                <w:rFonts w:eastAsia="Times New Roman Uni"/>
                <w:sz w:val="22"/>
                <w:szCs w:val="22"/>
              </w:rPr>
              <w:t xml:space="preserve">, </w:t>
            </w:r>
            <w:r>
              <w:rPr>
                <w:rFonts w:eastAsia="Times New Roman Uni" w:hint="eastAsia"/>
                <w:sz w:val="22"/>
                <w:szCs w:val="22"/>
              </w:rPr>
              <w:t>w</w:t>
            </w:r>
            <w:r w:rsidRPr="00FD2E97">
              <w:rPr>
                <w:rFonts w:eastAsia="Times New Roman Uni"/>
                <w:sz w:val="22"/>
                <w:szCs w:val="22"/>
              </w:rPr>
              <w:t xml:space="preserve">omen with 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a </w:t>
            </w:r>
            <w:r w:rsidRPr="00FD2E97">
              <w:rPr>
                <w:rFonts w:eastAsia="Times New Roman Uni"/>
                <w:sz w:val="22"/>
                <w:szCs w:val="22"/>
              </w:rPr>
              <w:t>low FT</w:t>
            </w:r>
            <w:r w:rsidRPr="00FD2E97"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Pr="00FD2E97">
              <w:rPr>
                <w:rFonts w:eastAsia="Times New Roman Uni"/>
                <w:sz w:val="22"/>
                <w:szCs w:val="22"/>
              </w:rPr>
              <w:t xml:space="preserve"> </w:t>
            </w:r>
            <w:r>
              <w:rPr>
                <w:rFonts w:eastAsia="Times New Roman Uni"/>
                <w:sz w:val="22"/>
                <w:szCs w:val="22"/>
              </w:rPr>
              <w:t xml:space="preserve">level </w:t>
            </w:r>
            <w:r w:rsidRPr="00FD2E97">
              <w:rPr>
                <w:rFonts w:eastAsia="Times New Roman Uni"/>
                <w:sz w:val="22"/>
                <w:szCs w:val="22"/>
              </w:rPr>
              <w:t xml:space="preserve">had </w:t>
            </w:r>
            <w:r w:rsidRPr="0057438F">
              <w:rPr>
                <w:rFonts w:eastAsia="Times New Roman Uni"/>
                <w:sz w:val="22"/>
                <w:szCs w:val="22"/>
              </w:rPr>
              <w:t>a maxi</w:t>
            </w:r>
            <w:r>
              <w:rPr>
                <w:rFonts w:eastAsia="Times New Roman Uni"/>
                <w:sz w:val="22"/>
                <w:szCs w:val="22"/>
              </w:rPr>
              <w:t>mum risk of DKD progression by 7</w:t>
            </w:r>
            <w:r w:rsidRPr="0057438F">
              <w:rPr>
                <w:rFonts w:eastAsia="Times New Roman Uni"/>
                <w:sz w:val="22"/>
                <w:szCs w:val="22"/>
              </w:rPr>
              <w:t>.23 times</w:t>
            </w:r>
            <w:r w:rsidRPr="00FD2E97">
              <w:rPr>
                <w:rFonts w:eastAsia="Times New Roman Uni"/>
                <w:sz w:val="22"/>
                <w:szCs w:val="22"/>
              </w:rPr>
              <w:t>.</w:t>
            </w:r>
            <w:r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BC3F97">
              <w:rPr>
                <w:rFonts w:hint="eastAsia"/>
              </w:rPr>
              <w:t xml:space="preserve">The </w:t>
            </w:r>
            <w:r w:rsidR="00BC3F97" w:rsidRPr="00A67B08">
              <w:rPr>
                <w:rFonts w:eastAsia="Times New Roman Uni"/>
                <w:sz w:val="22"/>
                <w:szCs w:val="22"/>
              </w:rPr>
              <w:t xml:space="preserve">clinical </w:t>
            </w:r>
            <w:r w:rsidR="00BC3F97" w:rsidRPr="00EE50D0">
              <w:rPr>
                <w:rFonts w:eastAsia="Times New Roman Uni"/>
                <w:sz w:val="22"/>
                <w:szCs w:val="22"/>
              </w:rPr>
              <w:t>significance</w:t>
            </w:r>
            <w:r w:rsidR="00BC3F97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BC3F97">
              <w:rPr>
                <w:rFonts w:eastAsia="Times New Roman Uni"/>
                <w:sz w:val="22"/>
                <w:szCs w:val="22"/>
              </w:rPr>
              <w:t>of the results was</w:t>
            </w:r>
            <w:r w:rsidR="00BC3F97" w:rsidRPr="00501576">
              <w:t xml:space="preserve"> </w:t>
            </w:r>
            <w:r w:rsidR="00BC3F97" w:rsidRPr="00501576">
              <w:rPr>
                <w:rFonts w:eastAsia="Times New Roman Uni"/>
                <w:sz w:val="22"/>
                <w:szCs w:val="22"/>
              </w:rPr>
              <w:t>to set the low FT</w:t>
            </w:r>
            <w:r w:rsidR="00BC3F97" w:rsidRPr="00501576">
              <w:rPr>
                <w:rFonts w:eastAsia="Times New Roman Uni"/>
                <w:sz w:val="22"/>
                <w:szCs w:val="22"/>
                <w:vertAlign w:val="subscript"/>
              </w:rPr>
              <w:t>3</w:t>
            </w:r>
            <w:r w:rsidR="00BC3F97" w:rsidRPr="00501576">
              <w:rPr>
                <w:rFonts w:eastAsia="Times New Roman Uni"/>
                <w:sz w:val="22"/>
                <w:szCs w:val="22"/>
              </w:rPr>
              <w:t xml:space="preserve"> threshold</w:t>
            </w:r>
            <w:r w:rsidR="00BC3F97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BC3F97">
              <w:rPr>
                <w:rFonts w:eastAsia="Times New Roman Uni"/>
                <w:sz w:val="22"/>
                <w:szCs w:val="22"/>
              </w:rPr>
              <w:t>to predict the</w:t>
            </w:r>
            <w:r w:rsidR="00BC3F97" w:rsidRPr="000E683C">
              <w:rPr>
                <w:rFonts w:eastAsia="Times New Roman Uni"/>
                <w:sz w:val="22"/>
                <w:szCs w:val="22"/>
              </w:rPr>
              <w:t xml:space="preserve"> </w:t>
            </w:r>
            <w:r w:rsidR="00BC3F97" w:rsidRPr="004F1F9C">
              <w:rPr>
                <w:rFonts w:eastAsia="Times New Roman Uni"/>
                <w:kern w:val="2"/>
                <w:sz w:val="22"/>
                <w:szCs w:val="22"/>
              </w:rPr>
              <w:t>prognosis of chronic kidney disease</w:t>
            </w:r>
            <w:r w:rsidR="00BC3F97">
              <w:rPr>
                <w:rFonts w:eastAsia="Times New Roman Uni"/>
                <w:kern w:val="2"/>
                <w:sz w:val="22"/>
                <w:szCs w:val="22"/>
              </w:rPr>
              <w:t xml:space="preserve">, </w:t>
            </w:r>
            <w:r w:rsidR="00BC3F97">
              <w:rPr>
                <w:rFonts w:eastAsia="Times New Roman Uni"/>
                <w:sz w:val="22"/>
                <w:szCs w:val="22"/>
              </w:rPr>
              <w:t xml:space="preserve">which were </w:t>
            </w:r>
            <w:r w:rsidR="00BC3F97">
              <w:rPr>
                <w:sz w:val="22"/>
                <w:szCs w:val="22"/>
              </w:rPr>
              <w:t xml:space="preserve">less than </w:t>
            </w:r>
            <w:r w:rsidR="00BC3F97" w:rsidRPr="005236FC">
              <w:rPr>
                <w:sz w:val="22"/>
                <w:szCs w:val="22"/>
              </w:rPr>
              <w:t>4.30</w:t>
            </w:r>
            <w:r w:rsidR="00BC3F97" w:rsidRPr="00F62C28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3F97">
              <w:rPr>
                <w:rFonts w:eastAsia="Times New Roman Uni"/>
                <w:color w:val="000000" w:themeColor="text1"/>
                <w:sz w:val="22"/>
                <w:szCs w:val="22"/>
              </w:rPr>
              <w:t>pmol</w:t>
            </w:r>
            <w:proofErr w:type="spellEnd"/>
            <w:r w:rsidR="00BC3F97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/L </w:t>
            </w:r>
            <w:r w:rsidR="00BC3F97">
              <w:rPr>
                <w:rFonts w:eastAsia="Times New Roman Uni" w:hint="eastAsia"/>
                <w:color w:val="000000" w:themeColor="text1"/>
                <w:sz w:val="22"/>
                <w:szCs w:val="22"/>
              </w:rPr>
              <w:t>for</w:t>
            </w:r>
            <w:r w:rsidR="00BC3F97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r w:rsidR="00BC3F97">
              <w:rPr>
                <w:rFonts w:eastAsia="Times New Roman Uni"/>
                <w:sz w:val="22"/>
                <w:szCs w:val="22"/>
              </w:rPr>
              <w:t xml:space="preserve">men and </w:t>
            </w:r>
            <w:r w:rsidR="00BC3F97">
              <w:rPr>
                <w:sz w:val="22"/>
                <w:szCs w:val="22"/>
              </w:rPr>
              <w:t xml:space="preserve">less than </w:t>
            </w:r>
            <w:r w:rsidR="00BC3F97" w:rsidRPr="005236FC">
              <w:rPr>
                <w:sz w:val="22"/>
                <w:szCs w:val="22"/>
              </w:rPr>
              <w:t>3.99</w:t>
            </w:r>
            <w:r w:rsidR="00BC3F97" w:rsidRPr="00F62C28">
              <w:rPr>
                <w:rFonts w:eastAsia="Times New Roman Un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3F97">
              <w:rPr>
                <w:rFonts w:eastAsia="Times New Roman Uni"/>
                <w:color w:val="000000" w:themeColor="text1"/>
                <w:sz w:val="22"/>
                <w:szCs w:val="22"/>
              </w:rPr>
              <w:t>pmol</w:t>
            </w:r>
            <w:proofErr w:type="spellEnd"/>
            <w:r w:rsidR="00BC3F97">
              <w:rPr>
                <w:rFonts w:eastAsia="Times New Roman Uni"/>
                <w:color w:val="000000" w:themeColor="text1"/>
                <w:sz w:val="22"/>
                <w:szCs w:val="22"/>
              </w:rPr>
              <w:t>/L</w:t>
            </w:r>
            <w:r w:rsidR="00BC3F97" w:rsidRPr="00F62C28">
              <w:rPr>
                <w:rFonts w:eastAsia="Times New Roman Uni" w:hint="eastAsia"/>
                <w:sz w:val="22"/>
                <w:szCs w:val="22"/>
              </w:rPr>
              <w:t xml:space="preserve"> </w:t>
            </w:r>
            <w:r w:rsidR="00BC3F97">
              <w:rPr>
                <w:rFonts w:eastAsia="Times New Roman Uni" w:hint="eastAsia"/>
                <w:sz w:val="22"/>
                <w:szCs w:val="22"/>
              </w:rPr>
              <w:t>for</w:t>
            </w:r>
            <w:r w:rsidR="00BC3F97">
              <w:rPr>
                <w:rFonts w:eastAsia="Times New Roman Uni"/>
                <w:sz w:val="22"/>
                <w:szCs w:val="22"/>
              </w:rPr>
              <w:t xml:space="preserve"> w</w:t>
            </w:r>
            <w:r w:rsidR="00BC3F97">
              <w:rPr>
                <w:rFonts w:eastAsia="Times New Roman Uni" w:hint="eastAsia"/>
                <w:sz w:val="22"/>
                <w:szCs w:val="22"/>
              </w:rPr>
              <w:t>o</w:t>
            </w:r>
            <w:r w:rsidR="00BC3F97">
              <w:rPr>
                <w:rFonts w:eastAsia="Times New Roman Uni"/>
                <w:sz w:val="22"/>
                <w:szCs w:val="22"/>
              </w:rPr>
              <w:t>men, respectively.</w:t>
            </w:r>
          </w:p>
        </w:tc>
      </w:tr>
      <w:tr w:rsidR="0018617D" w:rsidRPr="00BF0ED2" w14:paraId="74D1BB2D" w14:textId="77777777" w:rsidTr="0018617D">
        <w:trPr>
          <w:trHeight w:val="254"/>
        </w:trPr>
        <w:tc>
          <w:tcPr>
            <w:tcW w:w="2161" w:type="dxa"/>
          </w:tcPr>
          <w:p w14:paraId="3F3167E6" w14:textId="77777777" w:rsidR="00700EBF" w:rsidRPr="00BF0ED2" w:rsidRDefault="00700EBF" w:rsidP="007B75AB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Other information</w:t>
            </w:r>
          </w:p>
        </w:tc>
        <w:tc>
          <w:tcPr>
            <w:tcW w:w="708" w:type="dxa"/>
          </w:tcPr>
          <w:p w14:paraId="656BAAEF" w14:textId="77777777" w:rsidR="00700EBF" w:rsidRPr="00BF0ED2" w:rsidRDefault="00700EBF" w:rsidP="007B75AB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6E897E7E" w14:textId="77777777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2BC6A8A7" w14:textId="77777777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</w:tcPr>
          <w:p w14:paraId="7F40D253" w14:textId="77777777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  <w:lang w:eastAsia="zh-CN"/>
              </w:rPr>
            </w:pPr>
          </w:p>
        </w:tc>
      </w:tr>
      <w:tr w:rsidR="0018617D" w:rsidRPr="00BF0ED2" w14:paraId="0EDD9DCC" w14:textId="77777777" w:rsidTr="0018617D">
        <w:trPr>
          <w:trHeight w:val="254"/>
        </w:trPr>
        <w:tc>
          <w:tcPr>
            <w:tcW w:w="2161" w:type="dxa"/>
          </w:tcPr>
          <w:p w14:paraId="2D06A576" w14:textId="77777777" w:rsidR="00700EBF" w:rsidRPr="00BF0ED2" w:rsidRDefault="00700EBF" w:rsidP="007B75AB">
            <w:pPr>
              <w:tabs>
                <w:tab w:val="left" w:pos="5400"/>
              </w:tabs>
              <w:rPr>
                <w:bCs/>
                <w:sz w:val="22"/>
                <w:szCs w:val="22"/>
              </w:rPr>
            </w:pPr>
            <w:r w:rsidRPr="00BF0ED2">
              <w:rPr>
                <w:bCs/>
                <w:sz w:val="22"/>
                <w:szCs w:val="22"/>
              </w:rPr>
              <w:t>Funding</w:t>
            </w:r>
          </w:p>
        </w:tc>
        <w:tc>
          <w:tcPr>
            <w:tcW w:w="708" w:type="dxa"/>
          </w:tcPr>
          <w:p w14:paraId="730659EF" w14:textId="77777777" w:rsidR="00700EBF" w:rsidRPr="00BF0ED2" w:rsidRDefault="00700EBF" w:rsidP="007B75AB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22</w:t>
            </w:r>
          </w:p>
        </w:tc>
        <w:tc>
          <w:tcPr>
            <w:tcW w:w="7371" w:type="dxa"/>
          </w:tcPr>
          <w:p w14:paraId="55B51D42" w14:textId="77777777" w:rsidR="00700EBF" w:rsidRPr="00BF0ED2" w:rsidRDefault="00700EBF" w:rsidP="007B75AB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BF0ED2">
              <w:rPr>
                <w:sz w:val="22"/>
                <w:szCs w:val="22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136" w:type="dxa"/>
          </w:tcPr>
          <w:p w14:paraId="20305B80" w14:textId="664DD79A" w:rsidR="00700EBF" w:rsidRPr="00BF0ED2" w:rsidRDefault="0018617D" w:rsidP="0018617D">
            <w:pPr>
              <w:tabs>
                <w:tab w:val="left" w:pos="5400"/>
              </w:tabs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  <w:r w:rsidR="00E32D66">
              <w:rPr>
                <w:rFonts w:hint="eastAsia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544" w:type="dxa"/>
          </w:tcPr>
          <w:p w14:paraId="7A32EDE7" w14:textId="20E9C80E" w:rsidR="00E32D66" w:rsidRPr="00E32D66" w:rsidRDefault="00E32D66" w:rsidP="00E32D66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165A92">
              <w:rPr>
                <w:rFonts w:eastAsia="Times New Roman Uni"/>
                <w:bCs/>
                <w:sz w:val="22"/>
                <w:szCs w:val="22"/>
              </w:rPr>
              <w:t>This work was supported b</w:t>
            </w:r>
            <w:r w:rsidRPr="00165A92">
              <w:rPr>
                <w:rFonts w:eastAsia="Times New Roman Uni"/>
                <w:sz w:val="22"/>
                <w:szCs w:val="22"/>
              </w:rPr>
              <w:t xml:space="preserve">y the National Natural Science Foundation of China [grant number 81760153, Recipient: Peng </w:t>
            </w:r>
            <w:proofErr w:type="spellStart"/>
            <w:r w:rsidRPr="00165A92">
              <w:rPr>
                <w:rFonts w:eastAsia="Times New Roman Uni"/>
                <w:sz w:val="22"/>
                <w:szCs w:val="22"/>
              </w:rPr>
              <w:t>Duan</w:t>
            </w:r>
            <w:proofErr w:type="spellEnd"/>
            <w:r w:rsidRPr="00165A92">
              <w:rPr>
                <w:rFonts w:eastAsia="Times New Roman Uni"/>
                <w:sz w:val="22"/>
                <w:szCs w:val="22"/>
              </w:rPr>
              <w:t xml:space="preserve">], the Key Research and Development Programs by Science and Technology Department of </w:t>
            </w:r>
            <w:proofErr w:type="spellStart"/>
            <w:r w:rsidRPr="00165A92">
              <w:rPr>
                <w:rFonts w:eastAsia="Times New Roman Uni"/>
                <w:sz w:val="22"/>
                <w:szCs w:val="22"/>
              </w:rPr>
              <w:t>JiangXi</w:t>
            </w:r>
            <w:proofErr w:type="spellEnd"/>
            <w:r w:rsidRPr="00165A92">
              <w:rPr>
                <w:rFonts w:eastAsia="Times New Roman Uni"/>
                <w:sz w:val="22"/>
                <w:szCs w:val="22"/>
              </w:rPr>
              <w:t xml:space="preserve"> Province [grant numbers 20171BBG70058, 20171ACH80002 and </w:t>
            </w:r>
            <w:r w:rsidRPr="00165A92">
              <w:rPr>
                <w:rFonts w:eastAsia="Times New Roman Uni"/>
                <w:sz w:val="22"/>
                <w:szCs w:val="22"/>
              </w:rPr>
              <w:lastRenderedPageBreak/>
              <w:t xml:space="preserve">20181BBG70014, Recipient: </w:t>
            </w:r>
            <w:proofErr w:type="spellStart"/>
            <w:r w:rsidRPr="00165A92">
              <w:rPr>
                <w:rFonts w:eastAsia="Times New Roman Uni"/>
                <w:sz w:val="22"/>
                <w:szCs w:val="22"/>
              </w:rPr>
              <w:t>Zhi</w:t>
            </w:r>
            <w:proofErr w:type="spellEnd"/>
            <w:r w:rsidRPr="00165A92">
              <w:rPr>
                <w:rFonts w:eastAsia="Times New Roman Uni"/>
                <w:sz w:val="22"/>
                <w:szCs w:val="22"/>
              </w:rPr>
              <w:t xml:space="preserve"> Yang, Ping </w:t>
            </w:r>
            <w:proofErr w:type="spellStart"/>
            <w:r w:rsidRPr="00165A92">
              <w:rPr>
                <w:rFonts w:eastAsia="Times New Roman Uni"/>
                <w:sz w:val="22"/>
                <w:szCs w:val="22"/>
              </w:rPr>
              <w:t>Tu</w:t>
            </w:r>
            <w:proofErr w:type="spellEnd"/>
            <w:r w:rsidRPr="00165A92">
              <w:rPr>
                <w:rFonts w:eastAsia="Times New Roman Uni"/>
                <w:sz w:val="22"/>
                <w:szCs w:val="22"/>
              </w:rPr>
              <w:t xml:space="preserve"> </w:t>
            </w:r>
            <w:r w:rsidRPr="00165A92">
              <w:rPr>
                <w:rFonts w:eastAsia="Times New Roman Uni" w:hint="eastAsia"/>
                <w:sz w:val="22"/>
                <w:szCs w:val="22"/>
              </w:rPr>
              <w:t xml:space="preserve">and </w:t>
            </w:r>
            <w:r w:rsidRPr="00165A92">
              <w:rPr>
                <w:rFonts w:eastAsia="Times New Roman Uni"/>
                <w:sz w:val="22"/>
                <w:szCs w:val="22"/>
              </w:rPr>
              <w:t xml:space="preserve">Jiang Liu], the Science and Technology Support Project by Science and Technology Department of </w:t>
            </w:r>
            <w:proofErr w:type="spellStart"/>
            <w:r w:rsidRPr="00165A92">
              <w:rPr>
                <w:rFonts w:eastAsia="Times New Roman Uni"/>
                <w:sz w:val="22"/>
                <w:szCs w:val="22"/>
              </w:rPr>
              <w:t>Nangchang</w:t>
            </w:r>
            <w:proofErr w:type="spellEnd"/>
            <w:r w:rsidRPr="00165A92">
              <w:rPr>
                <w:rFonts w:eastAsia="Times New Roman Uni"/>
                <w:sz w:val="22"/>
                <w:szCs w:val="22"/>
              </w:rPr>
              <w:t xml:space="preserve"> City [grant number [2020]133, Recipient: Peng </w:t>
            </w:r>
            <w:proofErr w:type="spellStart"/>
            <w:r w:rsidRPr="00165A92">
              <w:rPr>
                <w:rFonts w:eastAsia="Times New Roman Uni"/>
                <w:sz w:val="22"/>
                <w:szCs w:val="22"/>
              </w:rPr>
              <w:t>Duan</w:t>
            </w:r>
            <w:proofErr w:type="spellEnd"/>
            <w:r w:rsidRPr="00165A92">
              <w:rPr>
                <w:rFonts w:eastAsia="Times New Roman Uni"/>
                <w:sz w:val="22"/>
                <w:szCs w:val="22"/>
              </w:rPr>
              <w:t>].</w:t>
            </w:r>
          </w:p>
        </w:tc>
      </w:tr>
    </w:tbl>
    <w:p w14:paraId="66FB5DB8" w14:textId="77777777" w:rsidR="00700EBF" w:rsidRPr="0022554A" w:rsidRDefault="00182E19" w:rsidP="00700EBF">
      <w:pPr>
        <w:pStyle w:val="TableNote"/>
        <w:tabs>
          <w:tab w:val="left" w:pos="5400"/>
        </w:tabs>
        <w:rPr>
          <w:sz w:val="20"/>
        </w:rPr>
      </w:pPr>
      <w:bookmarkStart w:id="44" w:name="italic43"/>
      <w:bookmarkStart w:id="45" w:name="bold44"/>
      <w:bookmarkEnd w:id="40"/>
      <w:bookmarkEnd w:id="41"/>
      <w:r w:rsidRPr="00CE4480">
        <w:rPr>
          <w:b/>
          <w:sz w:val="20"/>
        </w:rPr>
        <w:lastRenderedPageBreak/>
        <w:t>Note:</w:t>
      </w:r>
      <w:r w:rsidRPr="002602FB">
        <w:rPr>
          <w:sz w:val="20"/>
        </w:rPr>
        <w:t xml:space="preserve"> </w:t>
      </w:r>
      <w:r w:rsidR="00700EBF" w:rsidRPr="0022554A">
        <w:rPr>
          <w:bCs/>
          <w:sz w:val="20"/>
        </w:rPr>
        <w:t>*</w:t>
      </w:r>
      <w:r w:rsidR="00700EBF" w:rsidRPr="0022554A">
        <w:rPr>
          <w:sz w:val="20"/>
        </w:rPr>
        <w:t>Give information separately for exposed and unexposed groups.</w:t>
      </w:r>
    </w:p>
    <w:bookmarkEnd w:id="44"/>
    <w:bookmarkEnd w:id="45"/>
    <w:p w14:paraId="5447480A" w14:textId="77777777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191A23">
      <w:footerReference w:type="even" r:id="rId8"/>
      <w:footerReference w:type="default" r:id="rId9"/>
      <w:pgSz w:w="16834" w:h="11909" w:orient="landscape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3E2F4" w14:textId="77777777" w:rsidR="00BD42AF" w:rsidRDefault="00BD42AF">
      <w:r>
        <w:separator/>
      </w:r>
    </w:p>
  </w:endnote>
  <w:endnote w:type="continuationSeparator" w:id="0">
    <w:p w14:paraId="651B855B" w14:textId="77777777" w:rsidR="00BD42AF" w:rsidRDefault="00BD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 Uni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9AFEB" w14:textId="77777777" w:rsidR="00A13C96" w:rsidRDefault="00B6415B" w:rsidP="00A13C9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3C9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3EAD21" w14:textId="77777777" w:rsidR="00A13C96" w:rsidRDefault="00A13C96" w:rsidP="005D0CFC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9243" w14:textId="77777777" w:rsidR="00A13C96" w:rsidRDefault="00B6415B" w:rsidP="007F7F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13C9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7CD5">
      <w:rPr>
        <w:rStyle w:val="a8"/>
        <w:noProof/>
      </w:rPr>
      <w:t>1</w:t>
    </w:r>
    <w:r>
      <w:rPr>
        <w:rStyle w:val="a8"/>
      </w:rPr>
      <w:fldChar w:fldCharType="end"/>
    </w:r>
  </w:p>
  <w:p w14:paraId="44ABE8C9" w14:textId="77777777" w:rsidR="00A13C96" w:rsidRDefault="00A13C96" w:rsidP="005D0C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CFFFF" w14:textId="77777777" w:rsidR="00BD42AF" w:rsidRDefault="00BD42AF">
      <w:r>
        <w:separator/>
      </w:r>
    </w:p>
  </w:footnote>
  <w:footnote w:type="continuationSeparator" w:id="0">
    <w:p w14:paraId="3EE5EA29" w14:textId="77777777" w:rsidR="00BD42AF" w:rsidRDefault="00BD4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4361C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6C29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520D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04A8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1C95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1C6F3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AA2D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DEF25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DC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2819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ABE"/>
    <w:rsid w:val="00002974"/>
    <w:rsid w:val="00002BA1"/>
    <w:rsid w:val="00005F0F"/>
    <w:rsid w:val="00023515"/>
    <w:rsid w:val="00052537"/>
    <w:rsid w:val="00084DFF"/>
    <w:rsid w:val="00093E3A"/>
    <w:rsid w:val="000B6FD4"/>
    <w:rsid w:val="000E3193"/>
    <w:rsid w:val="000E691B"/>
    <w:rsid w:val="000E7B19"/>
    <w:rsid w:val="000F26ED"/>
    <w:rsid w:val="000F29D2"/>
    <w:rsid w:val="000F36D7"/>
    <w:rsid w:val="00110BFB"/>
    <w:rsid w:val="00134AAC"/>
    <w:rsid w:val="001615EC"/>
    <w:rsid w:val="00171379"/>
    <w:rsid w:val="001714B3"/>
    <w:rsid w:val="00182E19"/>
    <w:rsid w:val="001831EB"/>
    <w:rsid w:val="0018617D"/>
    <w:rsid w:val="00191A23"/>
    <w:rsid w:val="001A0517"/>
    <w:rsid w:val="001A495C"/>
    <w:rsid w:val="001A75E9"/>
    <w:rsid w:val="001C170F"/>
    <w:rsid w:val="001D7CD5"/>
    <w:rsid w:val="001E02AD"/>
    <w:rsid w:val="0020094D"/>
    <w:rsid w:val="0021265E"/>
    <w:rsid w:val="00215E03"/>
    <w:rsid w:val="00224268"/>
    <w:rsid w:val="0022554A"/>
    <w:rsid w:val="00226A29"/>
    <w:rsid w:val="002552FD"/>
    <w:rsid w:val="002602FB"/>
    <w:rsid w:val="002675AA"/>
    <w:rsid w:val="002A17EB"/>
    <w:rsid w:val="002B385C"/>
    <w:rsid w:val="002C23D1"/>
    <w:rsid w:val="002C731D"/>
    <w:rsid w:val="002D06D0"/>
    <w:rsid w:val="002D1ABE"/>
    <w:rsid w:val="002F1A87"/>
    <w:rsid w:val="002F66AA"/>
    <w:rsid w:val="003060E3"/>
    <w:rsid w:val="003119C9"/>
    <w:rsid w:val="003354B7"/>
    <w:rsid w:val="003508EF"/>
    <w:rsid w:val="00372129"/>
    <w:rsid w:val="00385050"/>
    <w:rsid w:val="003A3FDD"/>
    <w:rsid w:val="00404D2C"/>
    <w:rsid w:val="004060E6"/>
    <w:rsid w:val="00407BEA"/>
    <w:rsid w:val="004243C8"/>
    <w:rsid w:val="0044301B"/>
    <w:rsid w:val="0045419E"/>
    <w:rsid w:val="0045734B"/>
    <w:rsid w:val="00465542"/>
    <w:rsid w:val="00472B84"/>
    <w:rsid w:val="00472DF5"/>
    <w:rsid w:val="00487B57"/>
    <w:rsid w:val="00495204"/>
    <w:rsid w:val="004A31B3"/>
    <w:rsid w:val="004A32C8"/>
    <w:rsid w:val="004E1263"/>
    <w:rsid w:val="004E334E"/>
    <w:rsid w:val="004E7CE0"/>
    <w:rsid w:val="005044A6"/>
    <w:rsid w:val="00517788"/>
    <w:rsid w:val="005319B1"/>
    <w:rsid w:val="005732CA"/>
    <w:rsid w:val="005868BF"/>
    <w:rsid w:val="00590F64"/>
    <w:rsid w:val="005923E5"/>
    <w:rsid w:val="005B567D"/>
    <w:rsid w:val="005D0CFC"/>
    <w:rsid w:val="005D19F4"/>
    <w:rsid w:val="005F254A"/>
    <w:rsid w:val="005F645C"/>
    <w:rsid w:val="006149D3"/>
    <w:rsid w:val="00655D89"/>
    <w:rsid w:val="0065657F"/>
    <w:rsid w:val="00666336"/>
    <w:rsid w:val="00673717"/>
    <w:rsid w:val="00683E42"/>
    <w:rsid w:val="0069655A"/>
    <w:rsid w:val="006A2F18"/>
    <w:rsid w:val="006A387A"/>
    <w:rsid w:val="006A5DD9"/>
    <w:rsid w:val="006B2915"/>
    <w:rsid w:val="006B56D7"/>
    <w:rsid w:val="006C0B63"/>
    <w:rsid w:val="006C7601"/>
    <w:rsid w:val="006D16AA"/>
    <w:rsid w:val="006E13C3"/>
    <w:rsid w:val="006E2103"/>
    <w:rsid w:val="006F66AC"/>
    <w:rsid w:val="00700EBF"/>
    <w:rsid w:val="00700FE7"/>
    <w:rsid w:val="00701AC5"/>
    <w:rsid w:val="00711D81"/>
    <w:rsid w:val="0074576C"/>
    <w:rsid w:val="00746565"/>
    <w:rsid w:val="00754BA5"/>
    <w:rsid w:val="007562C3"/>
    <w:rsid w:val="007B55E0"/>
    <w:rsid w:val="007C72F6"/>
    <w:rsid w:val="007D72DF"/>
    <w:rsid w:val="007F7FA0"/>
    <w:rsid w:val="00816966"/>
    <w:rsid w:val="00817D26"/>
    <w:rsid w:val="00821CD4"/>
    <w:rsid w:val="0083347B"/>
    <w:rsid w:val="008423A7"/>
    <w:rsid w:val="008440CC"/>
    <w:rsid w:val="008761FA"/>
    <w:rsid w:val="0089107E"/>
    <w:rsid w:val="00891604"/>
    <w:rsid w:val="00897872"/>
    <w:rsid w:val="008D225B"/>
    <w:rsid w:val="00921BF8"/>
    <w:rsid w:val="009367F9"/>
    <w:rsid w:val="00937956"/>
    <w:rsid w:val="00944495"/>
    <w:rsid w:val="0095502A"/>
    <w:rsid w:val="009642BE"/>
    <w:rsid w:val="0096753B"/>
    <w:rsid w:val="00976EE1"/>
    <w:rsid w:val="009872CC"/>
    <w:rsid w:val="009B10F1"/>
    <w:rsid w:val="009B368D"/>
    <w:rsid w:val="009C24D4"/>
    <w:rsid w:val="009E0429"/>
    <w:rsid w:val="009F5211"/>
    <w:rsid w:val="009F58A3"/>
    <w:rsid w:val="009F70B2"/>
    <w:rsid w:val="00A13C96"/>
    <w:rsid w:val="00A37B32"/>
    <w:rsid w:val="00A42352"/>
    <w:rsid w:val="00A4345A"/>
    <w:rsid w:val="00A527E4"/>
    <w:rsid w:val="00A52A0F"/>
    <w:rsid w:val="00A5640D"/>
    <w:rsid w:val="00A729D6"/>
    <w:rsid w:val="00A938BF"/>
    <w:rsid w:val="00AB7BC4"/>
    <w:rsid w:val="00AC53E2"/>
    <w:rsid w:val="00AE23EB"/>
    <w:rsid w:val="00AE2C57"/>
    <w:rsid w:val="00AE6B1B"/>
    <w:rsid w:val="00AF4615"/>
    <w:rsid w:val="00AF7387"/>
    <w:rsid w:val="00B12A69"/>
    <w:rsid w:val="00B50DF8"/>
    <w:rsid w:val="00B54EA0"/>
    <w:rsid w:val="00B60EFB"/>
    <w:rsid w:val="00B6415B"/>
    <w:rsid w:val="00B65366"/>
    <w:rsid w:val="00B77807"/>
    <w:rsid w:val="00B940E9"/>
    <w:rsid w:val="00BA1206"/>
    <w:rsid w:val="00BA4317"/>
    <w:rsid w:val="00BC3F97"/>
    <w:rsid w:val="00BC7FE6"/>
    <w:rsid w:val="00BD236E"/>
    <w:rsid w:val="00BD42AF"/>
    <w:rsid w:val="00BD4D88"/>
    <w:rsid w:val="00BE3709"/>
    <w:rsid w:val="00BF0ED2"/>
    <w:rsid w:val="00C106FA"/>
    <w:rsid w:val="00C404FC"/>
    <w:rsid w:val="00C71E6D"/>
    <w:rsid w:val="00C87B25"/>
    <w:rsid w:val="00CA489B"/>
    <w:rsid w:val="00CB6CC8"/>
    <w:rsid w:val="00CC4C93"/>
    <w:rsid w:val="00CC7052"/>
    <w:rsid w:val="00D120D2"/>
    <w:rsid w:val="00D20D7C"/>
    <w:rsid w:val="00D26FCA"/>
    <w:rsid w:val="00D6407C"/>
    <w:rsid w:val="00D70A2B"/>
    <w:rsid w:val="00D87AF7"/>
    <w:rsid w:val="00DA120C"/>
    <w:rsid w:val="00DC28E6"/>
    <w:rsid w:val="00DC4BEF"/>
    <w:rsid w:val="00DC6A61"/>
    <w:rsid w:val="00E10628"/>
    <w:rsid w:val="00E11055"/>
    <w:rsid w:val="00E144CD"/>
    <w:rsid w:val="00E2292B"/>
    <w:rsid w:val="00E32D66"/>
    <w:rsid w:val="00E341E9"/>
    <w:rsid w:val="00E34A14"/>
    <w:rsid w:val="00E84B3D"/>
    <w:rsid w:val="00E9356C"/>
    <w:rsid w:val="00EA6E28"/>
    <w:rsid w:val="00EB758B"/>
    <w:rsid w:val="00ED44A1"/>
    <w:rsid w:val="00F0752A"/>
    <w:rsid w:val="00F14A4C"/>
    <w:rsid w:val="00F378D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9B1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1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1">
    <w:name w:val="heading 1"/>
    <w:basedOn w:val="a1"/>
    <w:next w:val="a1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0B6FD4"/>
    <w:pPr>
      <w:spacing w:after="120"/>
      <w:ind w:left="283"/>
    </w:pPr>
  </w:style>
  <w:style w:type="paragraph" w:styleId="a6">
    <w:name w:val="Balloon Text"/>
    <w:basedOn w:val="a1"/>
    <w:semiHidden/>
    <w:rsid w:val="008D225B"/>
    <w:rPr>
      <w:rFonts w:ascii="Tahoma" w:hAnsi="Tahoma" w:cs="Tahoma"/>
      <w:sz w:val="16"/>
      <w:szCs w:val="16"/>
    </w:rPr>
  </w:style>
  <w:style w:type="paragraph" w:styleId="a7">
    <w:name w:val="footer"/>
    <w:basedOn w:val="a1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a8">
    <w:name w:val="page number"/>
    <w:basedOn w:val="a2"/>
    <w:rsid w:val="000B6FD4"/>
  </w:style>
  <w:style w:type="paragraph" w:styleId="a9">
    <w:name w:val="header"/>
    <w:basedOn w:val="a1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a">
    <w:name w:val="footnote text"/>
    <w:basedOn w:val="a1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ab">
    <w:name w:val="Plain Text"/>
    <w:basedOn w:val="a1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a1"/>
    <w:rsid w:val="000B6FD4"/>
    <w:pPr>
      <w:spacing w:line="240" w:lineRule="auto"/>
    </w:pPr>
  </w:style>
  <w:style w:type="paragraph" w:customStyle="1" w:styleId="AbstractPara">
    <w:name w:val="AbstractPara"/>
    <w:basedOn w:val="a1"/>
    <w:rsid w:val="000B6FD4"/>
    <w:pPr>
      <w:spacing w:line="240" w:lineRule="auto"/>
    </w:pPr>
  </w:style>
  <w:style w:type="paragraph" w:customStyle="1" w:styleId="AbstractTitle">
    <w:name w:val="AbstractTitle"/>
    <w:basedOn w:val="a1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a1"/>
    <w:rsid w:val="000B6FD4"/>
    <w:pPr>
      <w:spacing w:before="120" w:line="240" w:lineRule="exact"/>
    </w:pPr>
  </w:style>
  <w:style w:type="paragraph" w:customStyle="1" w:styleId="Acknowledge">
    <w:name w:val="Acknowledge"/>
    <w:basedOn w:val="a1"/>
    <w:rsid w:val="000B6FD4"/>
    <w:pPr>
      <w:spacing w:line="240" w:lineRule="auto"/>
    </w:pPr>
  </w:style>
  <w:style w:type="paragraph" w:customStyle="1" w:styleId="Address">
    <w:name w:val="Address"/>
    <w:basedOn w:val="a1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a1"/>
    <w:next w:val="a1"/>
    <w:rsid w:val="000B6FD4"/>
    <w:pPr>
      <w:spacing w:before="80" w:line="240" w:lineRule="auto"/>
    </w:pPr>
  </w:style>
  <w:style w:type="paragraph" w:customStyle="1" w:styleId="AuthoredBy">
    <w:name w:val="AuthoredBy"/>
    <w:basedOn w:val="a1"/>
    <w:rsid w:val="000B6FD4"/>
    <w:pPr>
      <w:spacing w:line="240" w:lineRule="auto"/>
    </w:pPr>
  </w:style>
  <w:style w:type="paragraph" w:customStyle="1" w:styleId="Banner">
    <w:name w:val="Banner"/>
    <w:basedOn w:val="a1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a1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a1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ac">
    <w:name w:val="caption"/>
    <w:basedOn w:val="a1"/>
    <w:next w:val="a1"/>
    <w:qFormat/>
    <w:rsid w:val="000B6FD4"/>
    <w:pPr>
      <w:spacing w:before="120" w:after="120" w:line="240" w:lineRule="auto"/>
    </w:pPr>
    <w:rPr>
      <w:b/>
      <w:sz w:val="20"/>
    </w:rPr>
  </w:style>
  <w:style w:type="paragraph" w:styleId="ad">
    <w:name w:val="annotation text"/>
    <w:basedOn w:val="a1"/>
    <w:semiHidden/>
    <w:rsid w:val="000B6FD4"/>
    <w:pPr>
      <w:spacing w:line="240" w:lineRule="auto"/>
    </w:pPr>
    <w:rPr>
      <w:sz w:val="20"/>
    </w:rPr>
  </w:style>
  <w:style w:type="paragraph" w:styleId="ae">
    <w:name w:val="Block Text"/>
    <w:basedOn w:val="a1"/>
    <w:rsid w:val="000B6FD4"/>
    <w:pPr>
      <w:spacing w:after="120"/>
      <w:ind w:left="1440" w:right="1440"/>
    </w:pPr>
  </w:style>
  <w:style w:type="paragraph" w:customStyle="1" w:styleId="Conflict">
    <w:name w:val="Conflict"/>
    <w:basedOn w:val="a1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a1"/>
    <w:rsid w:val="000B6FD4"/>
    <w:pPr>
      <w:spacing w:line="240" w:lineRule="auto"/>
    </w:pPr>
  </w:style>
  <w:style w:type="paragraph" w:customStyle="1" w:styleId="Credit">
    <w:name w:val="Credit"/>
    <w:basedOn w:val="ac"/>
    <w:rsid w:val="000B6FD4"/>
    <w:rPr>
      <w:sz w:val="18"/>
    </w:rPr>
  </w:style>
  <w:style w:type="paragraph" w:styleId="af">
    <w:name w:val="Date"/>
    <w:basedOn w:val="a1"/>
    <w:next w:val="a1"/>
    <w:rsid w:val="000B6FD4"/>
    <w:pPr>
      <w:spacing w:line="240" w:lineRule="auto"/>
    </w:pPr>
  </w:style>
  <w:style w:type="paragraph" w:customStyle="1" w:styleId="Article">
    <w:name w:val="Article"/>
    <w:basedOn w:val="a1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a1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af0">
    <w:name w:val="Body Text"/>
    <w:basedOn w:val="a1"/>
    <w:rsid w:val="000B6FD4"/>
    <w:pPr>
      <w:spacing w:after="120"/>
    </w:pPr>
  </w:style>
  <w:style w:type="character" w:styleId="af1">
    <w:name w:val="endnote reference"/>
    <w:basedOn w:val="a2"/>
    <w:semiHidden/>
    <w:rsid w:val="000B6FD4"/>
    <w:rPr>
      <w:vertAlign w:val="superscript"/>
    </w:rPr>
  </w:style>
  <w:style w:type="paragraph" w:styleId="af2">
    <w:name w:val="endnote text"/>
    <w:basedOn w:val="a1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a1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a1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a1"/>
    <w:rsid w:val="000B6FD4"/>
    <w:pPr>
      <w:spacing w:line="240" w:lineRule="auto"/>
    </w:pPr>
  </w:style>
  <w:style w:type="paragraph" w:customStyle="1" w:styleId="Figure">
    <w:name w:val="Figure"/>
    <w:basedOn w:val="a1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a2"/>
    <w:rsid w:val="000B6FD4"/>
    <w:rPr>
      <w:color w:val="0000FF"/>
      <w:vertAlign w:val="superscript"/>
    </w:rPr>
  </w:style>
  <w:style w:type="character" w:customStyle="1" w:styleId="FnoteRef">
    <w:name w:val="FnoteRef"/>
    <w:basedOn w:val="a2"/>
    <w:rsid w:val="000B6FD4"/>
    <w:rPr>
      <w:color w:val="FF0000"/>
      <w:vertAlign w:val="superscript"/>
    </w:rPr>
  </w:style>
  <w:style w:type="paragraph" w:customStyle="1" w:styleId="Footnote">
    <w:name w:val="Footnote"/>
    <w:basedOn w:val="a1"/>
    <w:rsid w:val="000B6FD4"/>
    <w:pPr>
      <w:spacing w:line="240" w:lineRule="auto"/>
    </w:pPr>
  </w:style>
  <w:style w:type="character" w:styleId="af3">
    <w:name w:val="footnote reference"/>
    <w:basedOn w:val="a2"/>
    <w:semiHidden/>
    <w:rsid w:val="000B6FD4"/>
    <w:rPr>
      <w:vertAlign w:val="superscript"/>
    </w:rPr>
  </w:style>
  <w:style w:type="paragraph" w:customStyle="1" w:styleId="Funding">
    <w:name w:val="Funding"/>
    <w:basedOn w:val="a1"/>
    <w:rsid w:val="000B6FD4"/>
    <w:pPr>
      <w:spacing w:after="120" w:line="240" w:lineRule="auto"/>
    </w:pPr>
  </w:style>
  <w:style w:type="paragraph" w:customStyle="1" w:styleId="GroupTitle">
    <w:name w:val="GroupTitle"/>
    <w:basedOn w:val="af4"/>
    <w:next w:val="af4"/>
    <w:rsid w:val="000B6FD4"/>
  </w:style>
  <w:style w:type="paragraph" w:customStyle="1" w:styleId="HeadA">
    <w:name w:val="HeadA"/>
    <w:basedOn w:val="a1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a1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a1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22">
    <w:name w:val="Body Text 2"/>
    <w:basedOn w:val="a1"/>
    <w:rsid w:val="000B6FD4"/>
    <w:pPr>
      <w:spacing w:after="120" w:line="480" w:lineRule="auto"/>
    </w:pPr>
  </w:style>
  <w:style w:type="paragraph" w:customStyle="1" w:styleId="Keywords">
    <w:name w:val="Keywords"/>
    <w:basedOn w:val="a1"/>
    <w:rsid w:val="000B6FD4"/>
    <w:pPr>
      <w:spacing w:line="240" w:lineRule="auto"/>
    </w:pPr>
  </w:style>
  <w:style w:type="paragraph" w:styleId="a0">
    <w:name w:val="List Bullet"/>
    <w:basedOn w:val="a1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a1"/>
    <w:rsid w:val="000B6FD4"/>
    <w:pPr>
      <w:spacing w:before="40" w:after="120" w:line="240" w:lineRule="exact"/>
    </w:pPr>
  </w:style>
  <w:style w:type="paragraph" w:customStyle="1" w:styleId="List2">
    <w:name w:val="List2"/>
    <w:basedOn w:val="a1"/>
    <w:rsid w:val="000B6FD4"/>
    <w:pPr>
      <w:spacing w:before="40" w:line="240" w:lineRule="exact"/>
      <w:ind w:left="720"/>
    </w:pPr>
  </w:style>
  <w:style w:type="paragraph" w:styleId="32">
    <w:name w:val="Body Text 3"/>
    <w:basedOn w:val="a1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a1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a1"/>
    <w:rsid w:val="000B6FD4"/>
    <w:pPr>
      <w:spacing w:before="120" w:line="240" w:lineRule="exact"/>
    </w:pPr>
  </w:style>
  <w:style w:type="paragraph" w:customStyle="1" w:styleId="MoreInfo">
    <w:name w:val="MoreInfo"/>
    <w:basedOn w:val="a1"/>
    <w:rsid w:val="000B6FD4"/>
    <w:pPr>
      <w:spacing w:before="120" w:line="240" w:lineRule="auto"/>
    </w:pPr>
  </w:style>
  <w:style w:type="paragraph" w:customStyle="1" w:styleId="MoreInfoWeb">
    <w:name w:val="MoreInfoWeb"/>
    <w:basedOn w:val="a1"/>
    <w:rsid w:val="000B6FD4"/>
    <w:pPr>
      <w:spacing w:before="120" w:line="240" w:lineRule="exact"/>
    </w:pPr>
  </w:style>
  <w:style w:type="paragraph" w:styleId="af4">
    <w:name w:val="Title"/>
    <w:basedOn w:val="a1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a1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a1"/>
    <w:rsid w:val="000B6FD4"/>
    <w:pPr>
      <w:spacing w:before="120" w:after="120"/>
    </w:pPr>
  </w:style>
  <w:style w:type="character" w:styleId="af5">
    <w:name w:val="Emphasis"/>
    <w:basedOn w:val="a2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af6">
    <w:name w:val="annotation reference"/>
    <w:basedOn w:val="a2"/>
    <w:semiHidden/>
    <w:rsid w:val="000B6FD4"/>
    <w:rPr>
      <w:sz w:val="16"/>
    </w:rPr>
  </w:style>
  <w:style w:type="paragraph" w:customStyle="1" w:styleId="Position">
    <w:name w:val="Position"/>
    <w:basedOn w:val="a1"/>
    <w:next w:val="a1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af7">
    <w:name w:val="Body Text First Indent"/>
    <w:basedOn w:val="af0"/>
    <w:rsid w:val="000B6FD4"/>
    <w:pPr>
      <w:ind w:firstLine="210"/>
    </w:pPr>
  </w:style>
  <w:style w:type="paragraph" w:customStyle="1" w:styleId="QuoteRef">
    <w:name w:val="QuoteRef"/>
    <w:basedOn w:val="a1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a1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a1"/>
    <w:rsid w:val="000B6FD4"/>
  </w:style>
  <w:style w:type="paragraph" w:customStyle="1" w:styleId="RelatedToWeb">
    <w:name w:val="RelatedToWeb"/>
    <w:basedOn w:val="a1"/>
    <w:rsid w:val="000B6FD4"/>
  </w:style>
  <w:style w:type="paragraph" w:customStyle="1" w:styleId="Reviewed">
    <w:name w:val="Reviewed"/>
    <w:basedOn w:val="ParaCont"/>
    <w:rsid w:val="000B6FD4"/>
  </w:style>
  <w:style w:type="paragraph" w:styleId="af8">
    <w:name w:val="Salutation"/>
    <w:basedOn w:val="a1"/>
    <w:next w:val="a1"/>
    <w:rsid w:val="000B6FD4"/>
  </w:style>
  <w:style w:type="paragraph" w:customStyle="1" w:styleId="ShortAuthor">
    <w:name w:val="ShortAuthor"/>
    <w:basedOn w:val="a1"/>
    <w:rsid w:val="000B6FD4"/>
    <w:rPr>
      <w:i/>
    </w:rPr>
  </w:style>
  <w:style w:type="paragraph" w:customStyle="1" w:styleId="ShortTitle">
    <w:name w:val="ShortTitle"/>
    <w:basedOn w:val="a1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af9">
    <w:name w:val="Subtitle"/>
    <w:basedOn w:val="a1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af9"/>
    <w:rsid w:val="000B6FD4"/>
  </w:style>
  <w:style w:type="paragraph" w:customStyle="1" w:styleId="Table">
    <w:name w:val="Table"/>
    <w:basedOn w:val="a1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a1"/>
    <w:rsid w:val="000B6FD4"/>
  </w:style>
  <w:style w:type="character" w:customStyle="1" w:styleId="TableRef">
    <w:name w:val="TableRef"/>
    <w:basedOn w:val="a2"/>
    <w:rsid w:val="000B6FD4"/>
    <w:rPr>
      <w:color w:val="0000FF"/>
      <w:vertAlign w:val="superscript"/>
    </w:rPr>
  </w:style>
  <w:style w:type="paragraph" w:customStyle="1" w:styleId="TableTitle">
    <w:name w:val="TableTitle"/>
    <w:basedOn w:val="a1"/>
    <w:rsid w:val="000B6FD4"/>
  </w:style>
  <w:style w:type="paragraph" w:customStyle="1" w:styleId="Topic">
    <w:name w:val="Topic"/>
    <w:basedOn w:val="a1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a2"/>
    <w:rsid w:val="000B6FD4"/>
    <w:rPr>
      <w:color w:val="666699"/>
    </w:rPr>
  </w:style>
  <w:style w:type="paragraph" w:customStyle="1" w:styleId="WebRef">
    <w:name w:val="WebRef"/>
    <w:basedOn w:val="a1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a2"/>
    <w:rsid w:val="000B6FD4"/>
    <w:rPr>
      <w:color w:val="0000FF"/>
      <w:vertAlign w:val="superscript"/>
    </w:rPr>
  </w:style>
  <w:style w:type="paragraph" w:styleId="23">
    <w:name w:val="Body Text First Indent 2"/>
    <w:basedOn w:val="a5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a1"/>
    <w:rsid w:val="000B6FD4"/>
    <w:pPr>
      <w:outlineLvl w:val="4"/>
    </w:pPr>
    <w:rPr>
      <w:sz w:val="16"/>
    </w:rPr>
  </w:style>
  <w:style w:type="paragraph" w:styleId="24">
    <w:name w:val="Body Text Indent 2"/>
    <w:basedOn w:val="a1"/>
    <w:rsid w:val="000B6FD4"/>
    <w:pPr>
      <w:spacing w:after="120" w:line="480" w:lineRule="auto"/>
      <w:ind w:left="283"/>
    </w:pPr>
  </w:style>
  <w:style w:type="paragraph" w:styleId="33">
    <w:name w:val="Body Text Indent 3"/>
    <w:basedOn w:val="a1"/>
    <w:rsid w:val="000B6FD4"/>
    <w:pPr>
      <w:spacing w:after="120"/>
      <w:ind w:left="283"/>
    </w:pPr>
    <w:rPr>
      <w:sz w:val="16"/>
      <w:szCs w:val="16"/>
    </w:rPr>
  </w:style>
  <w:style w:type="paragraph" w:styleId="afa">
    <w:name w:val="Closing"/>
    <w:basedOn w:val="a1"/>
    <w:rsid w:val="000B6FD4"/>
    <w:pPr>
      <w:ind w:left="4252"/>
    </w:pPr>
  </w:style>
  <w:style w:type="paragraph" w:styleId="afb">
    <w:name w:val="Document Map"/>
    <w:basedOn w:val="a1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afc">
    <w:name w:val="E-mail Signature"/>
    <w:basedOn w:val="a1"/>
    <w:rsid w:val="000B6FD4"/>
  </w:style>
  <w:style w:type="paragraph" w:styleId="afd">
    <w:name w:val="envelope address"/>
    <w:basedOn w:val="a1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afe">
    <w:name w:val="envelope return"/>
    <w:basedOn w:val="a1"/>
    <w:rsid w:val="000B6FD4"/>
    <w:rPr>
      <w:rFonts w:ascii="Arial" w:hAnsi="Arial"/>
      <w:sz w:val="20"/>
    </w:rPr>
  </w:style>
  <w:style w:type="character" w:styleId="aff">
    <w:name w:val="FollowedHyperlink"/>
    <w:basedOn w:val="a2"/>
    <w:rsid w:val="000B6FD4"/>
    <w:rPr>
      <w:color w:val="800080"/>
      <w:u w:val="single"/>
    </w:rPr>
  </w:style>
  <w:style w:type="character" w:styleId="HTML">
    <w:name w:val="HTML Acronym"/>
    <w:basedOn w:val="a2"/>
    <w:rsid w:val="000B6FD4"/>
  </w:style>
  <w:style w:type="paragraph" w:styleId="HTML0">
    <w:name w:val="HTML Address"/>
    <w:basedOn w:val="a1"/>
    <w:rsid w:val="000B6FD4"/>
    <w:rPr>
      <w:i/>
      <w:iCs/>
    </w:rPr>
  </w:style>
  <w:style w:type="character" w:styleId="HTML1">
    <w:name w:val="HTML Cite"/>
    <w:basedOn w:val="a2"/>
    <w:rsid w:val="000B6FD4"/>
    <w:rPr>
      <w:i/>
      <w:iCs/>
    </w:rPr>
  </w:style>
  <w:style w:type="character" w:styleId="HTML2">
    <w:name w:val="HTML Code"/>
    <w:basedOn w:val="a2"/>
    <w:rsid w:val="000B6FD4"/>
    <w:rPr>
      <w:rFonts w:ascii="Courier New" w:hAnsi="Courier New"/>
      <w:sz w:val="20"/>
      <w:szCs w:val="20"/>
    </w:rPr>
  </w:style>
  <w:style w:type="character" w:styleId="HTML3">
    <w:name w:val="HTML Definition"/>
    <w:basedOn w:val="a2"/>
    <w:rsid w:val="000B6FD4"/>
    <w:rPr>
      <w:i/>
      <w:iCs/>
    </w:rPr>
  </w:style>
  <w:style w:type="character" w:styleId="HTML4">
    <w:name w:val="HTML Keyboard"/>
    <w:basedOn w:val="a2"/>
    <w:rsid w:val="000B6FD4"/>
    <w:rPr>
      <w:rFonts w:ascii="Courier New" w:hAnsi="Courier New"/>
      <w:sz w:val="20"/>
      <w:szCs w:val="20"/>
    </w:rPr>
  </w:style>
  <w:style w:type="paragraph" w:styleId="HTML5">
    <w:name w:val="HTML Preformatted"/>
    <w:basedOn w:val="a1"/>
    <w:rsid w:val="000B6FD4"/>
    <w:rPr>
      <w:rFonts w:ascii="Courier New" w:hAnsi="Courier New"/>
      <w:sz w:val="20"/>
    </w:rPr>
  </w:style>
  <w:style w:type="character" w:styleId="HTML6">
    <w:name w:val="HTML Sample"/>
    <w:basedOn w:val="a2"/>
    <w:rsid w:val="000B6FD4"/>
    <w:rPr>
      <w:rFonts w:ascii="Courier New" w:hAnsi="Courier New"/>
    </w:rPr>
  </w:style>
  <w:style w:type="character" w:styleId="HTML7">
    <w:name w:val="HTML Typewriter"/>
    <w:basedOn w:val="a2"/>
    <w:rsid w:val="000B6FD4"/>
    <w:rPr>
      <w:rFonts w:ascii="Courier New" w:hAnsi="Courier New"/>
      <w:sz w:val="20"/>
      <w:szCs w:val="20"/>
    </w:rPr>
  </w:style>
  <w:style w:type="character" w:styleId="HTML8">
    <w:name w:val="HTML Variable"/>
    <w:basedOn w:val="a2"/>
    <w:rsid w:val="000B6FD4"/>
    <w:rPr>
      <w:i/>
      <w:iCs/>
    </w:rPr>
  </w:style>
  <w:style w:type="character" w:styleId="aff0">
    <w:name w:val="Hyperlink"/>
    <w:basedOn w:val="a2"/>
    <w:rsid w:val="000B6FD4"/>
    <w:rPr>
      <w:color w:val="0000FF"/>
      <w:u w:val="single"/>
    </w:rPr>
  </w:style>
  <w:style w:type="paragraph" w:styleId="10">
    <w:name w:val="index 1"/>
    <w:basedOn w:val="a1"/>
    <w:next w:val="a1"/>
    <w:autoRedefine/>
    <w:semiHidden/>
    <w:rsid w:val="000B6FD4"/>
    <w:pPr>
      <w:ind w:left="240" w:hanging="240"/>
    </w:pPr>
  </w:style>
  <w:style w:type="paragraph" w:styleId="25">
    <w:name w:val="index 2"/>
    <w:basedOn w:val="a1"/>
    <w:next w:val="a1"/>
    <w:autoRedefine/>
    <w:semiHidden/>
    <w:rsid w:val="000B6FD4"/>
    <w:pPr>
      <w:ind w:left="480" w:hanging="240"/>
    </w:pPr>
  </w:style>
  <w:style w:type="paragraph" w:styleId="34">
    <w:name w:val="index 3"/>
    <w:basedOn w:val="a1"/>
    <w:next w:val="a1"/>
    <w:autoRedefine/>
    <w:semiHidden/>
    <w:rsid w:val="000B6FD4"/>
    <w:pPr>
      <w:ind w:left="720" w:hanging="240"/>
    </w:pPr>
  </w:style>
  <w:style w:type="paragraph" w:styleId="42">
    <w:name w:val="index 4"/>
    <w:basedOn w:val="a1"/>
    <w:next w:val="a1"/>
    <w:autoRedefine/>
    <w:semiHidden/>
    <w:rsid w:val="000B6FD4"/>
    <w:pPr>
      <w:ind w:left="960" w:hanging="240"/>
    </w:pPr>
  </w:style>
  <w:style w:type="paragraph" w:styleId="52">
    <w:name w:val="index 5"/>
    <w:basedOn w:val="a1"/>
    <w:next w:val="a1"/>
    <w:autoRedefine/>
    <w:semiHidden/>
    <w:rsid w:val="000B6FD4"/>
    <w:pPr>
      <w:ind w:left="1200" w:hanging="240"/>
    </w:pPr>
  </w:style>
  <w:style w:type="paragraph" w:styleId="60">
    <w:name w:val="index 6"/>
    <w:basedOn w:val="a1"/>
    <w:next w:val="a1"/>
    <w:autoRedefine/>
    <w:semiHidden/>
    <w:rsid w:val="000B6FD4"/>
    <w:pPr>
      <w:ind w:left="1440" w:hanging="240"/>
    </w:pPr>
  </w:style>
  <w:style w:type="paragraph" w:styleId="70">
    <w:name w:val="index 7"/>
    <w:basedOn w:val="a1"/>
    <w:next w:val="a1"/>
    <w:autoRedefine/>
    <w:semiHidden/>
    <w:rsid w:val="000B6FD4"/>
    <w:pPr>
      <w:ind w:left="1680" w:hanging="240"/>
    </w:pPr>
  </w:style>
  <w:style w:type="paragraph" w:styleId="80">
    <w:name w:val="index 8"/>
    <w:basedOn w:val="a1"/>
    <w:next w:val="a1"/>
    <w:autoRedefine/>
    <w:semiHidden/>
    <w:rsid w:val="000B6FD4"/>
    <w:pPr>
      <w:ind w:left="1920" w:hanging="240"/>
    </w:pPr>
  </w:style>
  <w:style w:type="paragraph" w:styleId="90">
    <w:name w:val="index 9"/>
    <w:basedOn w:val="a1"/>
    <w:next w:val="a1"/>
    <w:autoRedefine/>
    <w:semiHidden/>
    <w:rsid w:val="000B6FD4"/>
    <w:pPr>
      <w:ind w:left="2160" w:hanging="240"/>
    </w:pPr>
  </w:style>
  <w:style w:type="paragraph" w:styleId="aff1">
    <w:name w:val="index heading"/>
    <w:basedOn w:val="a1"/>
    <w:next w:val="10"/>
    <w:semiHidden/>
    <w:rsid w:val="000B6FD4"/>
    <w:rPr>
      <w:rFonts w:ascii="Arial" w:hAnsi="Arial"/>
      <w:b/>
      <w:bCs/>
    </w:rPr>
  </w:style>
  <w:style w:type="character" w:styleId="aff2">
    <w:name w:val="line number"/>
    <w:basedOn w:val="a2"/>
    <w:rsid w:val="000B6FD4"/>
  </w:style>
  <w:style w:type="paragraph" w:styleId="aff3">
    <w:name w:val="List"/>
    <w:basedOn w:val="a1"/>
    <w:rsid w:val="000B6FD4"/>
    <w:pPr>
      <w:ind w:left="283" w:hanging="283"/>
    </w:pPr>
  </w:style>
  <w:style w:type="paragraph" w:styleId="26">
    <w:name w:val="List 2"/>
    <w:basedOn w:val="a1"/>
    <w:rsid w:val="000B6FD4"/>
    <w:pPr>
      <w:ind w:left="566" w:hanging="283"/>
    </w:pPr>
  </w:style>
  <w:style w:type="paragraph" w:styleId="35">
    <w:name w:val="List 3"/>
    <w:basedOn w:val="a1"/>
    <w:rsid w:val="000B6FD4"/>
    <w:pPr>
      <w:ind w:left="849" w:hanging="283"/>
    </w:pPr>
  </w:style>
  <w:style w:type="paragraph" w:styleId="43">
    <w:name w:val="List 4"/>
    <w:basedOn w:val="a1"/>
    <w:rsid w:val="000B6FD4"/>
    <w:pPr>
      <w:ind w:left="1132" w:hanging="283"/>
    </w:pPr>
  </w:style>
  <w:style w:type="paragraph" w:styleId="53">
    <w:name w:val="List 5"/>
    <w:basedOn w:val="a1"/>
    <w:rsid w:val="000B6FD4"/>
    <w:pPr>
      <w:ind w:left="1415" w:hanging="283"/>
    </w:pPr>
  </w:style>
  <w:style w:type="paragraph" w:styleId="20">
    <w:name w:val="List Bullet 2"/>
    <w:basedOn w:val="a1"/>
    <w:autoRedefine/>
    <w:rsid w:val="000B6FD4"/>
    <w:pPr>
      <w:numPr>
        <w:numId w:val="11"/>
      </w:numPr>
    </w:pPr>
  </w:style>
  <w:style w:type="paragraph" w:styleId="30">
    <w:name w:val="List Bullet 3"/>
    <w:basedOn w:val="a1"/>
    <w:autoRedefine/>
    <w:rsid w:val="000B6FD4"/>
    <w:pPr>
      <w:numPr>
        <w:numId w:val="12"/>
      </w:numPr>
    </w:pPr>
  </w:style>
  <w:style w:type="paragraph" w:styleId="40">
    <w:name w:val="List Bullet 4"/>
    <w:basedOn w:val="a1"/>
    <w:autoRedefine/>
    <w:rsid w:val="000B6FD4"/>
    <w:pPr>
      <w:numPr>
        <w:numId w:val="13"/>
      </w:numPr>
    </w:pPr>
  </w:style>
  <w:style w:type="paragraph" w:styleId="50">
    <w:name w:val="List Bullet 5"/>
    <w:basedOn w:val="a1"/>
    <w:autoRedefine/>
    <w:rsid w:val="000B6FD4"/>
    <w:pPr>
      <w:numPr>
        <w:numId w:val="14"/>
      </w:numPr>
    </w:pPr>
  </w:style>
  <w:style w:type="paragraph" w:styleId="aff4">
    <w:name w:val="List Continue"/>
    <w:basedOn w:val="a1"/>
    <w:rsid w:val="000B6FD4"/>
    <w:pPr>
      <w:spacing w:after="120"/>
      <w:ind w:left="283"/>
    </w:pPr>
  </w:style>
  <w:style w:type="paragraph" w:styleId="27">
    <w:name w:val="List Continue 2"/>
    <w:basedOn w:val="a1"/>
    <w:rsid w:val="000B6FD4"/>
    <w:pPr>
      <w:spacing w:after="120"/>
      <w:ind w:left="566"/>
    </w:pPr>
  </w:style>
  <w:style w:type="paragraph" w:styleId="36">
    <w:name w:val="List Continue 3"/>
    <w:basedOn w:val="a1"/>
    <w:rsid w:val="000B6FD4"/>
    <w:pPr>
      <w:spacing w:after="120"/>
      <w:ind w:left="849"/>
    </w:pPr>
  </w:style>
  <w:style w:type="paragraph" w:styleId="44">
    <w:name w:val="List Continue 4"/>
    <w:basedOn w:val="a1"/>
    <w:rsid w:val="000B6FD4"/>
    <w:pPr>
      <w:spacing w:after="120"/>
      <w:ind w:left="1132"/>
    </w:pPr>
  </w:style>
  <w:style w:type="paragraph" w:styleId="54">
    <w:name w:val="List Continue 5"/>
    <w:basedOn w:val="a1"/>
    <w:rsid w:val="000B6FD4"/>
    <w:pPr>
      <w:spacing w:after="120"/>
      <w:ind w:left="1415"/>
    </w:pPr>
  </w:style>
  <w:style w:type="paragraph" w:styleId="a">
    <w:name w:val="List Number"/>
    <w:basedOn w:val="a1"/>
    <w:rsid w:val="000B6FD4"/>
    <w:pPr>
      <w:numPr>
        <w:numId w:val="15"/>
      </w:numPr>
    </w:pPr>
  </w:style>
  <w:style w:type="paragraph" w:styleId="2">
    <w:name w:val="List Number 2"/>
    <w:basedOn w:val="a1"/>
    <w:rsid w:val="000B6FD4"/>
    <w:pPr>
      <w:numPr>
        <w:numId w:val="16"/>
      </w:numPr>
    </w:pPr>
  </w:style>
  <w:style w:type="paragraph" w:styleId="3">
    <w:name w:val="List Number 3"/>
    <w:basedOn w:val="a1"/>
    <w:rsid w:val="000B6FD4"/>
    <w:pPr>
      <w:numPr>
        <w:numId w:val="17"/>
      </w:numPr>
    </w:pPr>
  </w:style>
  <w:style w:type="paragraph" w:styleId="4">
    <w:name w:val="List Number 4"/>
    <w:basedOn w:val="a1"/>
    <w:rsid w:val="000B6FD4"/>
    <w:pPr>
      <w:numPr>
        <w:numId w:val="18"/>
      </w:numPr>
    </w:pPr>
  </w:style>
  <w:style w:type="paragraph" w:styleId="5">
    <w:name w:val="List Number 5"/>
    <w:basedOn w:val="a1"/>
    <w:rsid w:val="000B6FD4"/>
    <w:pPr>
      <w:numPr>
        <w:numId w:val="19"/>
      </w:numPr>
    </w:pPr>
  </w:style>
  <w:style w:type="paragraph" w:styleId="aff5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aff6">
    <w:name w:val="Message Header"/>
    <w:basedOn w:val="a1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aff7">
    <w:name w:val="Normal (Web)"/>
    <w:basedOn w:val="a1"/>
    <w:rsid w:val="000B6FD4"/>
    <w:rPr>
      <w:szCs w:val="24"/>
    </w:rPr>
  </w:style>
  <w:style w:type="paragraph" w:styleId="aff8">
    <w:name w:val="Normal Indent"/>
    <w:basedOn w:val="a1"/>
    <w:rsid w:val="000B6FD4"/>
    <w:pPr>
      <w:ind w:left="720"/>
    </w:pPr>
  </w:style>
  <w:style w:type="paragraph" w:styleId="aff9">
    <w:name w:val="Note Heading"/>
    <w:basedOn w:val="a1"/>
    <w:next w:val="a1"/>
    <w:rsid w:val="000B6FD4"/>
  </w:style>
  <w:style w:type="character" w:customStyle="1" w:styleId="ParaHead">
    <w:name w:val="ParaHead"/>
    <w:basedOn w:val="a2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a1"/>
    <w:rsid w:val="000B6FD4"/>
    <w:pPr>
      <w:spacing w:before="120" w:line="240" w:lineRule="exact"/>
    </w:pPr>
  </w:style>
  <w:style w:type="paragraph" w:customStyle="1" w:styleId="SeriesInfo">
    <w:name w:val="SeriesInfo"/>
    <w:basedOn w:val="a1"/>
    <w:rsid w:val="000B6FD4"/>
    <w:pPr>
      <w:spacing w:before="120" w:line="240" w:lineRule="exact"/>
    </w:pPr>
  </w:style>
  <w:style w:type="paragraph" w:customStyle="1" w:styleId="Remark">
    <w:name w:val="Remark"/>
    <w:basedOn w:val="a1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affa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a1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a1"/>
    <w:autoRedefine/>
    <w:rsid w:val="00666336"/>
  </w:style>
  <w:style w:type="paragraph" w:customStyle="1" w:styleId="Weblogo">
    <w:name w:val="Web logo"/>
    <w:basedOn w:val="a1"/>
    <w:rsid w:val="00666336"/>
  </w:style>
  <w:style w:type="character" w:customStyle="1" w:styleId="Preformatted">
    <w:name w:val="Preformatted"/>
    <w:basedOn w:val="a2"/>
    <w:rsid w:val="00666336"/>
  </w:style>
  <w:style w:type="paragraph" w:customStyle="1" w:styleId="AuxillaryNumber">
    <w:name w:val="Auxillary Number"/>
    <w:basedOn w:val="a1"/>
    <w:autoRedefine/>
    <w:rsid w:val="00666336"/>
  </w:style>
  <w:style w:type="paragraph" w:customStyle="1" w:styleId="DOI">
    <w:name w:val="DOI"/>
    <w:basedOn w:val="a1"/>
    <w:autoRedefine/>
    <w:rsid w:val="00666336"/>
  </w:style>
  <w:style w:type="paragraph" w:customStyle="1" w:styleId="Unit-ID">
    <w:name w:val="Unit-ID"/>
    <w:basedOn w:val="a1"/>
    <w:autoRedefine/>
    <w:rsid w:val="00666336"/>
  </w:style>
  <w:style w:type="paragraph" w:customStyle="1" w:styleId="Abbreviation">
    <w:name w:val="Abbreviation"/>
    <w:basedOn w:val="a1"/>
    <w:rsid w:val="00666336"/>
  </w:style>
  <w:style w:type="paragraph" w:customStyle="1" w:styleId="Appendix">
    <w:name w:val="Appendix"/>
    <w:basedOn w:val="a1"/>
    <w:rsid w:val="00666336"/>
    <w:rPr>
      <w:b/>
    </w:rPr>
  </w:style>
  <w:style w:type="paragraph" w:customStyle="1" w:styleId="Authoredby0">
    <w:name w:val="Authored by"/>
    <w:basedOn w:val="a1"/>
    <w:rsid w:val="00666336"/>
    <w:rPr>
      <w:b/>
      <w:sz w:val="28"/>
    </w:rPr>
  </w:style>
  <w:style w:type="paragraph" w:customStyle="1" w:styleId="BookDetails">
    <w:name w:val="BookDetails"/>
    <w:basedOn w:val="a1"/>
    <w:rsid w:val="00666336"/>
  </w:style>
  <w:style w:type="paragraph" w:customStyle="1" w:styleId="BoxStart">
    <w:name w:val="BoxStart"/>
    <w:basedOn w:val="a1"/>
    <w:rsid w:val="00666336"/>
  </w:style>
  <w:style w:type="paragraph" w:customStyle="1" w:styleId="Citation">
    <w:name w:val="Citation"/>
    <w:basedOn w:val="a1"/>
    <w:autoRedefine/>
    <w:rsid w:val="00666336"/>
  </w:style>
  <w:style w:type="paragraph" w:customStyle="1" w:styleId="Correspondent">
    <w:name w:val="Correspondent"/>
    <w:basedOn w:val="a1"/>
    <w:autoRedefine/>
    <w:rsid w:val="00666336"/>
  </w:style>
  <w:style w:type="paragraph" w:customStyle="1" w:styleId="EquationText">
    <w:name w:val="EquationText"/>
    <w:basedOn w:val="a1"/>
    <w:autoRedefine/>
    <w:rsid w:val="00666336"/>
  </w:style>
  <w:style w:type="paragraph" w:customStyle="1" w:styleId="Footnotes">
    <w:name w:val="Footnotes"/>
    <w:basedOn w:val="a1"/>
    <w:rsid w:val="00666336"/>
  </w:style>
  <w:style w:type="paragraph" w:customStyle="1" w:styleId="KeyWords0">
    <w:name w:val="KeyWords"/>
    <w:basedOn w:val="a1"/>
    <w:autoRedefine/>
    <w:rsid w:val="00666336"/>
  </w:style>
  <w:style w:type="paragraph" w:customStyle="1" w:styleId="ListParaMore">
    <w:name w:val="ListParaMore"/>
    <w:basedOn w:val="a1"/>
    <w:autoRedefine/>
    <w:rsid w:val="00666336"/>
  </w:style>
  <w:style w:type="paragraph" w:customStyle="1" w:styleId="Onlinefirst">
    <w:name w:val="Onlinefirst"/>
    <w:basedOn w:val="a1"/>
    <w:rsid w:val="00666336"/>
  </w:style>
  <w:style w:type="paragraph" w:styleId="affb">
    <w:name w:val="Quote"/>
    <w:basedOn w:val="a1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a1"/>
    <w:autoRedefine/>
    <w:rsid w:val="00666336"/>
  </w:style>
  <w:style w:type="paragraph" w:customStyle="1" w:styleId="Related">
    <w:name w:val="Related"/>
    <w:basedOn w:val="a1"/>
    <w:rsid w:val="00666336"/>
    <w:rPr>
      <w:b/>
      <w:i/>
    </w:rPr>
  </w:style>
  <w:style w:type="paragraph" w:customStyle="1" w:styleId="RespTitle">
    <w:name w:val="RespTitle"/>
    <w:basedOn w:val="a1"/>
    <w:autoRedefine/>
    <w:rsid w:val="00666336"/>
    <w:rPr>
      <w:b/>
    </w:rPr>
  </w:style>
  <w:style w:type="paragraph" w:customStyle="1" w:styleId="ShortAuthors">
    <w:name w:val="ShortAuthors"/>
    <w:basedOn w:val="a1"/>
    <w:autoRedefine/>
    <w:rsid w:val="00666336"/>
  </w:style>
  <w:style w:type="paragraph" w:customStyle="1" w:styleId="TableFootnote">
    <w:name w:val="Table Footnote"/>
    <w:basedOn w:val="a1"/>
    <w:rsid w:val="00666336"/>
    <w:rPr>
      <w:rFonts w:ascii="Arial" w:hAnsi="Arial"/>
      <w:sz w:val="22"/>
    </w:rPr>
  </w:style>
  <w:style w:type="paragraph" w:customStyle="1" w:styleId="Topics">
    <w:name w:val="Topic(s)"/>
    <w:basedOn w:val="a1"/>
    <w:autoRedefine/>
    <w:rsid w:val="00666336"/>
    <w:rPr>
      <w:i/>
    </w:rPr>
  </w:style>
  <w:style w:type="paragraph" w:customStyle="1" w:styleId="Revised">
    <w:name w:val="Revised"/>
    <w:basedOn w:val="a1"/>
    <w:autoRedefine/>
    <w:rsid w:val="00666336"/>
  </w:style>
  <w:style w:type="paragraph" w:customStyle="1" w:styleId="TableWidth">
    <w:name w:val="Table Width"/>
    <w:basedOn w:val="a1"/>
    <w:rsid w:val="00666336"/>
  </w:style>
  <w:style w:type="paragraph" w:customStyle="1" w:styleId="TableFont">
    <w:name w:val="Table Font"/>
    <w:basedOn w:val="a1"/>
    <w:rsid w:val="00666336"/>
  </w:style>
  <w:style w:type="paragraph" w:customStyle="1" w:styleId="ArticleTitle">
    <w:name w:val="Article Title"/>
    <w:basedOn w:val="a1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a1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a1"/>
    <w:rsid w:val="00666336"/>
    <w:rPr>
      <w:rFonts w:ascii="Arial" w:hAnsi="Arial"/>
      <w:sz w:val="22"/>
    </w:rPr>
  </w:style>
  <w:style w:type="paragraph" w:customStyle="1" w:styleId="Paragraph">
    <w:name w:val="Paragraph"/>
    <w:basedOn w:val="a1"/>
    <w:rsid w:val="00666336"/>
    <w:rPr>
      <w:rFonts w:ascii="Arial" w:hAnsi="Arial"/>
      <w:sz w:val="22"/>
    </w:rPr>
  </w:style>
  <w:style w:type="paragraph" w:customStyle="1" w:styleId="TableHead">
    <w:name w:val="Table Head"/>
    <w:basedOn w:val="a1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a1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a1"/>
    <w:rsid w:val="00666336"/>
    <w:rPr>
      <w:rFonts w:ascii="Arial" w:hAnsi="Arial"/>
      <w:sz w:val="22"/>
    </w:rPr>
  </w:style>
  <w:style w:type="paragraph" w:customStyle="1" w:styleId="References">
    <w:name w:val="References"/>
    <w:basedOn w:val="a1"/>
    <w:rsid w:val="00666336"/>
    <w:rPr>
      <w:rFonts w:ascii="Arial" w:hAnsi="Arial"/>
      <w:sz w:val="20"/>
    </w:rPr>
  </w:style>
  <w:style w:type="paragraph" w:styleId="affc">
    <w:name w:val="annotation subject"/>
    <w:basedOn w:val="ad"/>
    <w:next w:val="ad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2FC7C-D3AA-7A48-9E4B-F30F4E6E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settings\jannis\application data\microsoft\templates\BMJ Templates\article.dot</Template>
  <TotalTime>652</TotalTime>
  <Pages>16</Pages>
  <Words>2863</Words>
  <Characters>16323</Characters>
  <Application>Microsoft Macintosh Word</Application>
  <DocSecurity>0</DocSecurity>
  <Lines>136</Lines>
  <Paragraphs>38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19148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Microsoft Office 用户</cp:lastModifiedBy>
  <cp:revision>19</cp:revision>
  <cp:lastPrinted>2014-09-01T08:36:00Z</cp:lastPrinted>
  <dcterms:created xsi:type="dcterms:W3CDTF">2016-11-20T14:24:00Z</dcterms:created>
  <dcterms:modified xsi:type="dcterms:W3CDTF">2021-12-22T04:20:00Z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512315745</vt:i4>
  </property>
  <property fmtid="{D5CDD505-2E9C-101B-9397-08002B2CF9AE}" pid="3" name="_EmailSubject">
    <vt:lpwstr>Message from BMJ</vt:lpwstr>
  </property>
  <property fmtid="{D5CDD505-2E9C-101B-9397-08002B2CF9AE}" pid="4" name="_AuthorEmail">
    <vt:lpwstr>robyn.tamblyn@mcgill.ca</vt:lpwstr>
  </property>
  <property fmtid="{D5CDD505-2E9C-101B-9397-08002B2CF9AE}" pid="5" name="_AuthorEmailDisplayName">
    <vt:lpwstr>Dr.Robyn Tamblyn</vt:lpwstr>
  </property>
  <property fmtid="{D5CDD505-2E9C-101B-9397-08002B2CF9AE}" pid="6" name="_ReviewingToolsShownOnce">
    <vt:lpwstr/>
  </property>
</Properties>
</file>