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lang w:val="en-US"/>
        </w:rPr>
      </w:pPr>
      <w:r>
        <w:rPr>
          <w:rFonts w:ascii="Arial" w:hAnsi="Arial" w:cs="AdvP6975"/>
          <w:b/>
          <w:bCs/>
          <w:lang w:val="en-US"/>
        </w:rPr>
        <w:t>SUPPLEMENTARY MATERIAL</w:t>
      </w: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/>
          <w:bCs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/>
          <w:bCs/>
          <w:lang w:val="en-US"/>
        </w:rPr>
      </w:pPr>
    </w:p>
    <w:tbl>
      <w:tblPr>
        <w:tblW w:w="6131" w:type="dxa"/>
        <w:tblInd w:w="17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31"/>
      </w:tblGrid>
      <w:tr w:rsidR="00692B6B"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2B6B" w:rsidRDefault="000D63B3">
            <w:pPr>
              <w:widowControl w:val="0"/>
              <w:rPr>
                <w:rFonts w:ascii="Arial" w:hAnsi="Arial"/>
              </w:rPr>
            </w:pPr>
            <w:r>
              <w:rPr>
                <w:noProof/>
                <w:lang w:eastAsia="es-ES" w:bidi="ar-SA"/>
              </w:rPr>
              <w:drawing>
                <wp:inline distT="0" distB="0" distL="0" distR="0">
                  <wp:extent cx="3779520" cy="406463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4177" r="21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406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Cs/>
          <w:color w:val="FF0000"/>
          <w:sz w:val="22"/>
          <w:szCs w:val="22"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Cs/>
          <w:color w:val="FF0000"/>
          <w:sz w:val="22"/>
          <w:szCs w:val="22"/>
          <w:lang w:val="en-US"/>
        </w:rPr>
      </w:pP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dvP6975"/>
          <w:b/>
          <w:bCs/>
          <w:sz w:val="22"/>
          <w:szCs w:val="22"/>
          <w:lang w:val="en-US"/>
        </w:rPr>
        <w:t xml:space="preserve">Figure S1 </w:t>
      </w:r>
      <w:r>
        <w:rPr>
          <w:rFonts w:ascii="Arial" w:hAnsi="Arial" w:cs="AdvP6975"/>
          <w:bCs/>
          <w:sz w:val="22"/>
          <w:szCs w:val="22"/>
          <w:lang w:val="en-US"/>
        </w:rPr>
        <w:t>Receiver operating characteristics curves demonstrating the ability of 5-STS test to predict 5-year all-cause mortality</w:t>
      </w:r>
      <w:r>
        <w:rPr>
          <w:rFonts w:ascii="Arial" w:hAnsi="Arial" w:cs="AdvP6975"/>
          <w:b/>
          <w:bCs/>
          <w:sz w:val="22"/>
          <w:szCs w:val="22"/>
          <w:lang w:val="en-US"/>
        </w:rPr>
        <w:t>.</w:t>
      </w:r>
      <w:r>
        <w:rPr>
          <w:rFonts w:ascii="Arial" w:hAnsi="Arial" w:cs="AdvP6975"/>
          <w:bCs/>
          <w:sz w:val="22"/>
          <w:szCs w:val="22"/>
          <w:lang w:val="en-US"/>
        </w:rPr>
        <w:t xml:space="preserve"> </w:t>
      </w: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lang w:val="en-US"/>
        </w:rPr>
      </w:pP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Notes: </w:t>
      </w:r>
      <w:r>
        <w:rPr>
          <w:rFonts w:ascii="Arial" w:hAnsi="Arial"/>
          <w:sz w:val="22"/>
          <w:szCs w:val="22"/>
          <w:lang w:val="en-US"/>
        </w:rPr>
        <w:t xml:space="preserve">*identifies the </w:t>
      </w:r>
      <w:proofErr w:type="spellStart"/>
      <w:r>
        <w:rPr>
          <w:rFonts w:ascii="Arial" w:hAnsi="Arial"/>
          <w:sz w:val="22"/>
          <w:szCs w:val="22"/>
          <w:lang w:val="en-US"/>
        </w:rPr>
        <w:t>Youden’s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index point and  •identifies the more specific point.</w:t>
      </w:r>
      <w:r>
        <w:rPr>
          <w:rFonts w:ascii="Arial" w:hAnsi="Arial"/>
          <w:b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To </w:t>
      </w:r>
      <w:r>
        <w:rPr>
          <w:rFonts w:ascii="Arial" w:hAnsi="Arial"/>
          <w:sz w:val="22"/>
          <w:szCs w:val="22"/>
          <w:lang w:val="en-US"/>
        </w:rPr>
        <w:t xml:space="preserve">define the four categories for the 5-STS, we first selected three cut-offs on this curve, of which the two extreme values were the maximum </w:t>
      </w:r>
      <w:proofErr w:type="spellStart"/>
      <w:r>
        <w:rPr>
          <w:rFonts w:ascii="Arial" w:hAnsi="Arial"/>
          <w:sz w:val="22"/>
          <w:szCs w:val="22"/>
          <w:lang w:val="en-US"/>
        </w:rPr>
        <w:t>Youden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index (16 s) and the highest specific value (22 s). The intermediate point was established at the middle (19 s</w:t>
      </w:r>
      <w:r>
        <w:rPr>
          <w:rFonts w:ascii="Arial" w:hAnsi="Arial"/>
          <w:sz w:val="22"/>
          <w:szCs w:val="22"/>
          <w:lang w:val="en-US"/>
        </w:rPr>
        <w:t>) in order to have the same number of seconds in each of two intermediate categories.</w:t>
      </w:r>
      <w:r>
        <w:rPr>
          <w:rFonts w:ascii="Arial" w:hAnsi="Arial"/>
          <w:lang w:val="en-US"/>
        </w:rPr>
        <w:t xml:space="preserve"> </w:t>
      </w: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Abbreviations: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5-STS, five-repetition sit-to-stand test; ROC, receiver-operating characteristics; CI, confidence interval; C statistics, concordance index.</w:t>
      </w: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cs="AdvP6975"/>
          <w:b/>
          <w:bCs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cs="AdvP6975"/>
          <w:b/>
          <w:bCs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cs="AdvP6975"/>
          <w:b/>
          <w:bCs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cs="AdvP6975"/>
          <w:b/>
          <w:bCs/>
          <w:lang w:val="en-US"/>
        </w:rPr>
      </w:pP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dvP6975"/>
          <w:b/>
          <w:bCs/>
          <w:sz w:val="22"/>
          <w:szCs w:val="22"/>
          <w:lang w:val="en-US"/>
        </w:rPr>
        <w:lastRenderedPageBreak/>
        <w:t xml:space="preserve">Table S1 </w:t>
      </w:r>
      <w:r>
        <w:rPr>
          <w:rFonts w:ascii="Arial" w:hAnsi="Arial" w:cs="AdvP6975"/>
          <w:bCs/>
          <w:sz w:val="22"/>
          <w:szCs w:val="22"/>
          <w:lang w:val="en-US"/>
        </w:rPr>
        <w:t>Regression coefficients and development of the point assignment system for the 5-STS test.</w:t>
      </w: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/>
          <w:bCs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 w:cs="AdvP6975"/>
          <w:b/>
          <w:bCs/>
          <w:lang w:val="en-US"/>
        </w:rPr>
      </w:pPr>
    </w:p>
    <w:tbl>
      <w:tblPr>
        <w:tblW w:w="10315" w:type="dxa"/>
        <w:tblInd w:w="-4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6"/>
        <w:gridCol w:w="2162"/>
        <w:gridCol w:w="1441"/>
        <w:gridCol w:w="1671"/>
        <w:gridCol w:w="1546"/>
        <w:gridCol w:w="2079"/>
      </w:tblGrid>
      <w:tr w:rsidR="00692B6B">
        <w:trPr>
          <w:trHeight w:val="398"/>
        </w:trPr>
        <w:tc>
          <w:tcPr>
            <w:tcW w:w="1031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B6B" w:rsidRDefault="00692B6B">
            <w:pPr>
              <w:pStyle w:val="Contenidodelatabla"/>
              <w:widowControl w:val="0"/>
              <w:rPr>
                <w:rFonts w:ascii="Arial" w:hAnsi="Arial"/>
                <w:lang w:val="en-US"/>
              </w:rPr>
            </w:pPr>
          </w:p>
        </w:tc>
      </w:tr>
      <w:tr w:rsidR="00692B6B">
        <w:tc>
          <w:tcPr>
            <w:tcW w:w="1415" w:type="dxa"/>
            <w:shd w:val="clear" w:color="auto" w:fill="auto"/>
          </w:tcPr>
          <w:p w:rsidR="00692B6B" w:rsidRDefault="00692B6B">
            <w:pPr>
              <w:pStyle w:val="Contenidodelatabla"/>
              <w:widowControl w:val="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62" w:type="dxa"/>
            <w:tcBorders>
              <w:bottom w:val="single" w:sz="4" w:space="0" w:color="000000"/>
            </w:tcBorders>
            <w:shd w:val="clear" w:color="auto" w:fill="auto"/>
          </w:tcPr>
          <w:p w:rsidR="00692B6B" w:rsidRDefault="000D63B3">
            <w:pPr>
              <w:pStyle w:val="Standard"/>
              <w:widowControl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Coefficients βs per unit increase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auto"/>
          </w:tcPr>
          <w:p w:rsidR="00692B6B" w:rsidRDefault="000D63B3">
            <w:pPr>
              <w:pStyle w:val="Standard"/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Category (j)†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auto"/>
          </w:tcPr>
          <w:p w:rsidR="00692B6B" w:rsidRDefault="000D63B3">
            <w:pPr>
              <w:pStyle w:val="Standard"/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 xml:space="preserve">Reference values </w:t>
            </w:r>
            <w:proofErr w:type="spellStart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Wij</w:t>
            </w:r>
            <w:proofErr w:type="spellEnd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 xml:space="preserve"> (midpoint)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shd w:val="clear" w:color="auto" w:fill="auto"/>
          </w:tcPr>
          <w:p w:rsidR="00692B6B" w:rsidRDefault="000D63B3">
            <w:pPr>
              <w:pStyle w:val="Standard"/>
              <w:widowControl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βs×(</w:t>
            </w:r>
            <w:proofErr w:type="spellStart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Wij</w:t>
            </w:r>
            <w:proofErr w:type="spellEnd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–Wi reference)</w:t>
            </w:r>
          </w:p>
        </w:tc>
        <w:tc>
          <w:tcPr>
            <w:tcW w:w="2079" w:type="dxa"/>
            <w:tcBorders>
              <w:bottom w:val="single" w:sz="4" w:space="0" w:color="000000"/>
            </w:tcBorders>
            <w:shd w:val="clear" w:color="auto" w:fill="auto"/>
          </w:tcPr>
          <w:p w:rsidR="00692B6B" w:rsidRDefault="000D63B3">
            <w:pPr>
              <w:pStyle w:val="Standard"/>
              <w:widowControl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Risk score (βs×[</w:t>
            </w:r>
            <w:proofErr w:type="spellStart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Wij</w:t>
            </w:r>
            <w:proofErr w:type="spellEnd"/>
            <w:r>
              <w:rPr>
                <w:rFonts w:ascii="Arial" w:hAnsi="Arial"/>
                <w:b/>
                <w:color w:val="231F20"/>
                <w:sz w:val="22"/>
                <w:szCs w:val="22"/>
                <w:lang w:val="en-US"/>
              </w:rPr>
              <w:t>–Wi reference]/B‡)</w:t>
            </w:r>
          </w:p>
        </w:tc>
      </w:tr>
      <w:tr w:rsidR="00692B6B">
        <w:tc>
          <w:tcPr>
            <w:tcW w:w="1415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5-STS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test, s</w:t>
            </w:r>
          </w:p>
        </w:tc>
        <w:tc>
          <w:tcPr>
            <w:tcW w:w="2162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         0.065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      (P=0.000)</w:t>
            </w:r>
          </w:p>
        </w:tc>
        <w:tc>
          <w:tcPr>
            <w:tcW w:w="1441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      &lt;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16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16–18.9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19–22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Liberation Serif" w:hAnsi="Arial" w:cs="Liberation Serif"/>
                <w:color w:val="000000"/>
                <w:sz w:val="22"/>
                <w:szCs w:val="22"/>
                <w:lang w:val="en-US"/>
              </w:rPr>
              <w:t xml:space="preserve">         ≥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671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12.5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17.5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20.5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27.0</w:t>
            </w:r>
          </w:p>
        </w:tc>
        <w:tc>
          <w:tcPr>
            <w:tcW w:w="1546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..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0.325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0.520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0.943</w:t>
            </w:r>
          </w:p>
        </w:tc>
        <w:tc>
          <w:tcPr>
            <w:tcW w:w="2079" w:type="dxa"/>
            <w:shd w:val="clear" w:color="auto" w:fill="auto"/>
          </w:tcPr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 0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 1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 2</w:t>
            </w:r>
          </w:p>
          <w:p w:rsidR="00692B6B" w:rsidRDefault="000D63B3">
            <w:pPr>
              <w:pStyle w:val="Contenidodelatabla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      3</w:t>
            </w:r>
          </w:p>
        </w:tc>
      </w:tr>
    </w:tbl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</w:p>
    <w:p w:rsidR="00692B6B" w:rsidRDefault="00692B6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 xml:space="preserve">Notes: </w:t>
      </w:r>
      <w:r>
        <w:rPr>
          <w:rFonts w:ascii="Arial" w:hAnsi="Arial"/>
          <w:sz w:val="22"/>
          <w:szCs w:val="22"/>
          <w:lang w:val="en-US"/>
        </w:rPr>
        <w:t>†Identified categories;</w:t>
      </w:r>
      <w:r>
        <w:rPr>
          <w:rFonts w:ascii="Arial" w:hAnsi="Arial"/>
          <w:color w:val="C9211E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‡Coefficient B=0.325 is the constant for the point system. Points rounded to the next integer. A Cox regression analysis, with 5-year mortality as the outcome variable and the 5-STS categories as predictor, was used to gen</w:t>
      </w:r>
      <w:r>
        <w:rPr>
          <w:rFonts w:ascii="Arial" w:hAnsi="Arial"/>
          <w:sz w:val="22"/>
          <w:szCs w:val="22"/>
          <w:lang w:val="en-US"/>
        </w:rPr>
        <w:t xml:space="preserve">erate the point assignment system to the four 5-STS. The strength of association determined the scores to these categories. </w:t>
      </w:r>
    </w:p>
    <w:p w:rsidR="00692B6B" w:rsidRDefault="000D63B3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Abbreviations: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5-STS, five-repetition sit-to-stand test; s, seconds.</w:t>
      </w:r>
    </w:p>
    <w:p w:rsidR="00692B6B" w:rsidRPr="00B916AB" w:rsidRDefault="00B916AB" w:rsidP="00B916AB">
      <w:pPr>
        <w:pStyle w:val="Standard"/>
        <w:suppressAutoHyphens w:val="0"/>
        <w:spacing w:line="360" w:lineRule="auto"/>
        <w:jc w:val="both"/>
        <w:textAlignment w:val="auto"/>
        <w:rPr>
          <w:rFonts w:ascii="Arial" w:hAnsi="Arial"/>
          <w:sz w:val="22"/>
          <w:szCs w:val="22"/>
          <w:lang w:val="en-US"/>
        </w:rPr>
      </w:pPr>
      <w:bookmarkStart w:id="0" w:name="_GoBack"/>
      <w:bookmarkEnd w:id="0"/>
      <w:r w:rsidRPr="00B916AB">
        <w:rPr>
          <w:rFonts w:ascii="Arial" w:hAnsi="Arial" w:hint="eastAsia"/>
          <w:sz w:val="22"/>
          <w:szCs w:val="22"/>
          <w:lang w:val="en-US"/>
        </w:rPr>
        <w:t>.</w:t>
      </w:r>
    </w:p>
    <w:sectPr w:rsidR="00692B6B" w:rsidRPr="00B916AB">
      <w:footerReference w:type="default" r:id="rId8"/>
      <w:pgSz w:w="11906" w:h="16838"/>
      <w:pgMar w:top="1134" w:right="1134" w:bottom="1134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B3" w:rsidRDefault="000D63B3">
      <w:r>
        <w:separator/>
      </w:r>
    </w:p>
  </w:endnote>
  <w:endnote w:type="continuationSeparator" w:id="0">
    <w:p w:rsidR="000D63B3" w:rsidRDefault="000D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P6975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6B" w:rsidRDefault="000D63B3">
    <w:pPr>
      <w:pStyle w:val="Piedepgina1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B3" w:rsidRDefault="000D63B3">
      <w:r>
        <w:separator/>
      </w:r>
    </w:p>
  </w:footnote>
  <w:footnote w:type="continuationSeparator" w:id="0">
    <w:p w:rsidR="000D63B3" w:rsidRDefault="000D6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6B"/>
    <w:rsid w:val="000D63B3"/>
    <w:rsid w:val="00692B6B"/>
    <w:rsid w:val="00B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A730"/>
  <w15:docId w15:val="{5E357F28-910C-4062-B3BB-6A197EEB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37"/>
    <w:pPr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sid w:val="00317237"/>
    <w:rPr>
      <w:rFonts w:ascii="Tahoma" w:hAnsi="Tahoma" w:cs="Mangal"/>
      <w:sz w:val="16"/>
      <w:szCs w:val="14"/>
    </w:rPr>
  </w:style>
  <w:style w:type="character" w:styleId="Refdecomentario">
    <w:name w:val="annotation reference"/>
    <w:basedOn w:val="Fuentedeprrafopredeter"/>
    <w:qFormat/>
    <w:rsid w:val="00317237"/>
    <w:rPr>
      <w:sz w:val="16"/>
      <w:szCs w:val="16"/>
    </w:rPr>
  </w:style>
  <w:style w:type="character" w:customStyle="1" w:styleId="TextocomentarioCar">
    <w:name w:val="Texto comentario Car"/>
    <w:basedOn w:val="Fuentedeprrafopredeter"/>
    <w:qFormat/>
    <w:rsid w:val="00317237"/>
    <w:rPr>
      <w:rFonts w:cs="Mangal"/>
      <w:sz w:val="20"/>
      <w:szCs w:val="18"/>
    </w:rPr>
  </w:style>
  <w:style w:type="character" w:customStyle="1" w:styleId="AsuntodelcomentarioCar">
    <w:name w:val="Asunto del comentario Car"/>
    <w:basedOn w:val="TextocomentarioCar"/>
    <w:qFormat/>
    <w:rsid w:val="00317237"/>
    <w:rPr>
      <w:rFonts w:cs="Mangal"/>
      <w:b/>
      <w:bCs/>
      <w:sz w:val="20"/>
      <w:szCs w:val="18"/>
    </w:rPr>
  </w:style>
  <w:style w:type="character" w:customStyle="1" w:styleId="Smbolosdenumeracin">
    <w:name w:val="Símbolos de numeración"/>
    <w:qFormat/>
    <w:rsid w:val="00317237"/>
  </w:style>
  <w:style w:type="character" w:customStyle="1" w:styleId="Hipervnculo1">
    <w:name w:val="Hipervínculo1"/>
    <w:qFormat/>
    <w:rsid w:val="00317237"/>
    <w:rPr>
      <w:color w:val="000080"/>
      <w:u w:val="single"/>
    </w:rPr>
  </w:style>
  <w:style w:type="character" w:customStyle="1" w:styleId="PiedepginaCar">
    <w:name w:val="Pie de página Car"/>
    <w:basedOn w:val="Fuentedeprrafopredeter"/>
    <w:qFormat/>
    <w:rsid w:val="00317237"/>
    <w:rPr>
      <w:rFonts w:cs="Mangal"/>
      <w:szCs w:val="21"/>
    </w:rPr>
  </w:style>
  <w:style w:type="character" w:customStyle="1" w:styleId="EncabezadoCar">
    <w:name w:val="Encabezado Car"/>
    <w:basedOn w:val="Fuentedeprrafopredeter"/>
    <w:qFormat/>
    <w:rsid w:val="00317237"/>
    <w:rPr>
      <w:rFonts w:cs="Mangal"/>
      <w:szCs w:val="21"/>
    </w:rPr>
  </w:style>
  <w:style w:type="character" w:customStyle="1" w:styleId="EnlacedeInternet">
    <w:name w:val="Enlace de Internet"/>
    <w:rsid w:val="00317237"/>
    <w:rPr>
      <w:color w:val="000080"/>
      <w:u w:val="single"/>
    </w:rPr>
  </w:style>
  <w:style w:type="paragraph" w:styleId="Ttulo">
    <w:name w:val="Title"/>
    <w:basedOn w:val="Normal"/>
    <w:next w:val="Textoindependiente"/>
    <w:qFormat/>
    <w:rsid w:val="003172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317237"/>
    <w:pPr>
      <w:spacing w:after="140" w:line="276" w:lineRule="auto"/>
    </w:pPr>
  </w:style>
  <w:style w:type="paragraph" w:styleId="Lista">
    <w:name w:val="List"/>
    <w:rsid w:val="00317237"/>
    <w:rPr>
      <w:sz w:val="24"/>
    </w:rPr>
  </w:style>
  <w:style w:type="paragraph" w:styleId="Descripcin">
    <w:name w:val="caption"/>
    <w:basedOn w:val="Normal"/>
    <w:qFormat/>
    <w:rsid w:val="00D25CD7"/>
    <w:pPr>
      <w:suppressLineNumbers/>
      <w:spacing w:before="120" w:after="120"/>
    </w:pPr>
    <w:rPr>
      <w:i/>
      <w:iCs/>
    </w:rPr>
  </w:style>
  <w:style w:type="paragraph" w:customStyle="1" w:styleId="ndice">
    <w:name w:val="Índice"/>
    <w:qFormat/>
    <w:rsid w:val="00317237"/>
    <w:pPr>
      <w:suppressLineNumbers/>
    </w:pPr>
    <w:rPr>
      <w:sz w:val="24"/>
    </w:rPr>
  </w:style>
  <w:style w:type="paragraph" w:customStyle="1" w:styleId="Epgrafe1">
    <w:name w:val="Epígrafe1"/>
    <w:basedOn w:val="Normal"/>
    <w:qFormat/>
    <w:rsid w:val="00317237"/>
    <w:pPr>
      <w:suppressLineNumbers/>
      <w:spacing w:before="120" w:after="120"/>
    </w:pPr>
    <w:rPr>
      <w:i/>
      <w:iCs/>
    </w:rPr>
  </w:style>
  <w:style w:type="paragraph" w:customStyle="1" w:styleId="Ttulo11">
    <w:name w:val="Título 11"/>
    <w:next w:val="Textoindependiente"/>
    <w:qFormat/>
    <w:rsid w:val="00317237"/>
    <w:pPr>
      <w:outlineLvl w:val="0"/>
    </w:pPr>
    <w:rPr>
      <w:b/>
      <w:bCs/>
      <w:sz w:val="48"/>
      <w:szCs w:val="48"/>
    </w:rPr>
  </w:style>
  <w:style w:type="paragraph" w:customStyle="1" w:styleId="Epgrafe11">
    <w:name w:val="Epígrafe11"/>
    <w:qFormat/>
    <w:rsid w:val="00317237"/>
    <w:pPr>
      <w:suppressLineNumbers/>
      <w:spacing w:before="120" w:after="120"/>
    </w:pPr>
    <w:rPr>
      <w:i/>
      <w:iCs/>
      <w:sz w:val="24"/>
    </w:rPr>
  </w:style>
  <w:style w:type="paragraph" w:customStyle="1" w:styleId="Ttulo1">
    <w:name w:val="Título1"/>
    <w:next w:val="Textbody"/>
    <w:qFormat/>
    <w:rsid w:val="0031723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317237"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317237"/>
    <w:pPr>
      <w:spacing w:after="140" w:line="276" w:lineRule="auto"/>
    </w:pPr>
  </w:style>
  <w:style w:type="paragraph" w:styleId="Sinespaciado">
    <w:name w:val="No Spacing"/>
    <w:qFormat/>
    <w:rsid w:val="00317237"/>
    <w:pPr>
      <w:textAlignment w:val="baseline"/>
    </w:pPr>
    <w:rPr>
      <w:rFonts w:ascii="Times New Roman" w:eastAsia="F" w:hAnsi="Times New Roman" w:cs="Times New Roman"/>
      <w:sz w:val="24"/>
      <w:lang w:eastAsia="zh-TW"/>
    </w:rPr>
  </w:style>
  <w:style w:type="paragraph" w:customStyle="1" w:styleId="Contenidodelatabla">
    <w:name w:val="Contenido de la tabla"/>
    <w:basedOn w:val="Standard"/>
    <w:qFormat/>
    <w:rsid w:val="00317237"/>
    <w:pPr>
      <w:suppressLineNumbers/>
    </w:pPr>
  </w:style>
  <w:style w:type="paragraph" w:customStyle="1" w:styleId="Ttulodelatabla">
    <w:name w:val="Título de la tabla"/>
    <w:basedOn w:val="Contenidodelatabla"/>
    <w:qFormat/>
    <w:rsid w:val="00317237"/>
    <w:pPr>
      <w:jc w:val="center"/>
    </w:pPr>
    <w:rPr>
      <w:b/>
      <w:bCs/>
    </w:rPr>
  </w:style>
  <w:style w:type="paragraph" w:styleId="Textodeglobo">
    <w:name w:val="Balloon Text"/>
    <w:basedOn w:val="Normal"/>
    <w:qFormat/>
    <w:rsid w:val="00317237"/>
    <w:rPr>
      <w:rFonts w:ascii="Tahoma" w:hAnsi="Tahoma" w:cs="Mangal"/>
      <w:sz w:val="16"/>
      <w:szCs w:val="14"/>
    </w:rPr>
  </w:style>
  <w:style w:type="paragraph" w:styleId="Textocomentario">
    <w:name w:val="annotation text"/>
    <w:basedOn w:val="Normal"/>
    <w:qFormat/>
    <w:rsid w:val="000F4563"/>
    <w:rPr>
      <w:rFonts w:cs="Mangal"/>
      <w:szCs w:val="18"/>
    </w:rPr>
  </w:style>
  <w:style w:type="paragraph" w:styleId="Asuntodelcomentario">
    <w:name w:val="annotation subject"/>
    <w:basedOn w:val="Textocomentario"/>
    <w:next w:val="Textocomentario"/>
    <w:qFormat/>
    <w:rsid w:val="00317237"/>
    <w:rPr>
      <w:b/>
      <w:bCs/>
    </w:rPr>
  </w:style>
  <w:style w:type="paragraph" w:styleId="Prrafodelista">
    <w:name w:val="List Paragraph"/>
    <w:basedOn w:val="Normal"/>
    <w:qFormat/>
    <w:rsid w:val="00317237"/>
    <w:pPr>
      <w:ind w:left="720"/>
    </w:pPr>
    <w:rPr>
      <w:rFonts w:cs="Mangal"/>
      <w:szCs w:val="21"/>
    </w:rPr>
  </w:style>
  <w:style w:type="paragraph" w:customStyle="1" w:styleId="Figura">
    <w:name w:val="Figura"/>
    <w:basedOn w:val="Epgrafe11"/>
    <w:qFormat/>
    <w:rsid w:val="00317237"/>
  </w:style>
  <w:style w:type="paragraph" w:customStyle="1" w:styleId="Contenidodelmarco">
    <w:name w:val="Contenido del marco"/>
    <w:basedOn w:val="Standard"/>
    <w:qFormat/>
    <w:rsid w:val="00317237"/>
  </w:style>
  <w:style w:type="paragraph" w:customStyle="1" w:styleId="Piedepgina1">
    <w:name w:val="Pie de página1"/>
    <w:basedOn w:val="Normal"/>
    <w:qFormat/>
    <w:rsid w:val="00317237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ncabezado1">
    <w:name w:val="Encabezado1"/>
    <w:basedOn w:val="Normal"/>
    <w:qFormat/>
    <w:rsid w:val="00317237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MDPI41tablecaption">
    <w:name w:val="MDPI_4.1_table_caption"/>
    <w:basedOn w:val="Normal"/>
    <w:qFormat/>
    <w:rsid w:val="00317237"/>
    <w:pPr>
      <w:suppressAutoHyphens w:val="0"/>
      <w:snapToGrid w:val="0"/>
      <w:spacing w:before="240" w:after="120" w:line="260" w:lineRule="atLeast"/>
      <w:ind w:left="425" w:right="425"/>
      <w:jc w:val="both"/>
      <w:textAlignment w:val="auto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317237"/>
    <w:pPr>
      <w:snapToGrid w:val="0"/>
      <w:spacing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4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317237"/>
    <w:pPr>
      <w:spacing w:before="0"/>
      <w:ind w:left="0" w:right="0"/>
      <w:jc w:val="center"/>
    </w:pPr>
    <w:rPr>
      <w:lang w:val="en-GB"/>
    </w:rPr>
  </w:style>
  <w:style w:type="paragraph" w:customStyle="1" w:styleId="Piedepgina2">
    <w:name w:val="Pie de página2"/>
    <w:basedOn w:val="Normal"/>
    <w:qFormat/>
    <w:rsid w:val="00317237"/>
  </w:style>
  <w:style w:type="paragraph" w:styleId="Revisin">
    <w:name w:val="Revision"/>
    <w:uiPriority w:val="99"/>
    <w:semiHidden/>
    <w:qFormat/>
    <w:rsid w:val="007D0A68"/>
    <w:rPr>
      <w:sz w:val="24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rsid w:val="00D2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ED5D-77F5-4861-96D5-753041A4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mirapeix</dc:creator>
  <dc:description/>
  <cp:lastModifiedBy>ROBERTO</cp:lastModifiedBy>
  <cp:revision>2</cp:revision>
  <cp:lastPrinted>2022-02-16T11:02:00Z</cp:lastPrinted>
  <dcterms:created xsi:type="dcterms:W3CDTF">2022-02-19T10:09:00Z</dcterms:created>
  <dcterms:modified xsi:type="dcterms:W3CDTF">2022-02-19T10:09:00Z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