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Supplementary Material</w:t>
      </w:r>
    </w:p>
    <w:p/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72405" cy="3822065"/>
            <wp:effectExtent l="0" t="0" r="10795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037965"/>
            <wp:effectExtent l="0" t="0" r="0" b="635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4218940"/>
            <wp:effectExtent l="0" t="0" r="1905" b="1016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eastAsia="zh-CN"/>
        </w:rPr>
      </w:pPr>
    </w:p>
    <w:p>
      <w:pPr>
        <w:spacing w:line="480" w:lineRule="auto"/>
        <w:jc w:val="both"/>
        <w:rPr>
          <w:lang w:eastAsia="zh-CN"/>
        </w:rPr>
      </w:pPr>
      <w:r>
        <w:rPr>
          <w:rFonts w:ascii="Arial" w:hAnsi="Arial" w:cs="Arial"/>
          <w:b/>
          <w:bCs/>
          <w:color w:val="0E101A"/>
        </w:rPr>
        <w:t>Supplementary Figure 1:</w:t>
      </w:r>
      <w:r>
        <w:rPr>
          <w:lang w:eastAsia="zh-CN"/>
        </w:rPr>
        <w:t xml:space="preserve"> </w:t>
      </w:r>
      <w:r>
        <w:rPr>
          <w:rFonts w:ascii="Arial" w:hAnsi="Arial" w:cs="Arial"/>
          <w:color w:val="0E101A"/>
          <w:lang w:eastAsia="zh-CN"/>
        </w:rPr>
        <w:t xml:space="preserve">Demographic </w:t>
      </w:r>
      <w:r>
        <w:rPr>
          <w:lang w:eastAsia="zh-CN"/>
        </w:rPr>
        <w:t>and clinical feature selection using the LASSO. (A) The minimum criterion of 10-fold cross-validation selects the optimal parameter (λ) in the LASSO model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(B) LASSO coefficient profiles of the 20 features. The coefficient profiles are drawn as a function of log(λ)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(C) Visualization of PRAE data correlation coefficients. A:gender; B:age; C:obesity; D:ASA; E:asthma; F:eczema; G:allergy; H:smoking; I:CSAS; J:time of upper respiratory tract infection; K:fever; L:stuffy nose; M:runny nose; N:coughing; O: anesthetist experience; P: premedication; Q: anesthesia method; R: anesthesia maintenance; S: anesthesia time; T: operation time; PRAE: perioperative respiratory adverse events </w:t>
      </w:r>
    </w:p>
    <w:p>
      <w:pPr>
        <w:rPr>
          <w:lang w:eastAsia="zh-CN"/>
        </w:rPr>
      </w:pPr>
      <w:r>
        <w:rPr>
          <w:lang w:eastAsia="zh-CN"/>
        </w:rPr>
        <w:t>Figure 3 Forest plot of odds ratio (OR) with confidence intervals</w:t>
      </w:r>
      <w:r>
        <w:rPr>
          <w:rFonts w:hint="eastAsia"/>
          <w:lang w:eastAsia="zh-CN"/>
        </w:rPr>
        <w:t>.</w:t>
      </w:r>
    </w:p>
    <w:p>
      <w:pPr>
        <w:rPr>
          <w:lang w:eastAsia="zh-CN"/>
        </w:rPr>
      </w:pPr>
    </w:p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8595" cy="4321810"/>
            <wp:effectExtent l="0" t="0" r="1905" b="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290060"/>
            <wp:effectExtent l="0" t="0" r="1270" b="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70500" cy="3416300"/>
            <wp:effectExtent l="0" t="0" r="0" b="0"/>
            <wp:docPr id="8" name="图片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319780"/>
            <wp:effectExtent l="0" t="0" r="12065" b="0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675" cy="3678555"/>
            <wp:effectExtent l="0" t="0" r="0" b="0"/>
            <wp:docPr id="10" name="图片 1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042920"/>
            <wp:effectExtent l="0" t="0" r="0" b="0"/>
            <wp:docPr id="11" name="图片 1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line="480" w:lineRule="auto"/>
        <w:jc w:val="both"/>
        <w:rPr>
          <w:lang w:eastAsia="zh-CN"/>
        </w:rPr>
      </w:pPr>
      <w:r>
        <w:rPr>
          <w:rFonts w:ascii="Arial" w:hAnsi="Arial" w:cs="Arial"/>
          <w:b/>
          <w:bCs/>
          <w:color w:val="0E101A"/>
        </w:rPr>
        <w:t xml:space="preserve">Supplementary Figure </w:t>
      </w:r>
      <w:r>
        <w:rPr>
          <w:rFonts w:hint="eastAsia" w:ascii="Arial" w:hAnsi="Arial" w:eastAsia="宋体" w:cs="Arial"/>
          <w:b/>
          <w:bCs/>
          <w:color w:val="0E101A"/>
          <w:lang w:val="en-US" w:eastAsia="zh-CN"/>
        </w:rPr>
        <w:t>2:</w:t>
      </w:r>
      <w:r>
        <w:rPr>
          <w:lang w:eastAsia="zh-CN"/>
        </w:rPr>
        <w:t xml:space="preserve"> ROC curve of the nomogram for predicting PRAE in Children undergoing Airway Surgery. (A) ROC curve in the training cohort;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(B) ROC curve in the validation cohort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Calibration curve of the nomogram for the training cohort (C) and the validation cohort (D)</w:t>
      </w:r>
      <w:r>
        <w:rPr>
          <w:rFonts w:hint="eastAsia"/>
          <w:lang w:eastAsia="zh-CN"/>
        </w:rPr>
        <w:t>,t</w:t>
      </w:r>
      <w:r>
        <w:rPr>
          <w:lang w:eastAsia="zh-CN"/>
        </w:rPr>
        <w:t>he X-axis represents the overall predicted probability of PRAE and the Y-axis represents the actual probability. Model calibration is indicated by the degree of fitting of the curve and the diagonal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Decision curve analysis for the training cohort (E) and the validation cohort (F). A horizontal line indicates that all samples are negative and no PRAE, with a net benefit of zero. An oblique line indicates that all samples are positive. The net benefit has a negative slope.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2FEF"/>
    <w:rsid w:val="4C4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2021-12-08T12:30:00Z</dcterms:created>
  <dc:creator>xiaomayi</dc:creator>
  <cp:lastModifiedBy>QAQ琴</cp:lastModifiedBy>
  <dcterms:modified xsi:type="dcterms:W3CDTF">2021-12-09T08:06:42Z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