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1839" w14:textId="21DE2355" w:rsidR="006A0585" w:rsidRPr="00B25CC8" w:rsidRDefault="006A0585" w:rsidP="00B25CC8">
      <w:pPr>
        <w:spacing w:line="360" w:lineRule="auto"/>
        <w:rPr>
          <w:rFonts w:ascii="Times New Roman" w:eastAsia="宋体" w:hAnsi="Times New Roman" w:cs="Times New Roman"/>
          <w:sz w:val="20"/>
          <w:szCs w:val="20"/>
        </w:rPr>
      </w:pPr>
      <w:r w:rsidRPr="00B25CC8">
        <w:rPr>
          <w:rFonts w:ascii="Times New Roman" w:eastAsia="宋体" w:hAnsi="Times New Roman" w:cs="Times New Roman"/>
          <w:b/>
          <w:bCs/>
          <w:sz w:val="20"/>
          <w:szCs w:val="20"/>
        </w:rPr>
        <w:t>Supplementary table 1.</w:t>
      </w:r>
      <w:r w:rsidRPr="00B25CC8">
        <w:rPr>
          <w:rFonts w:ascii="Times New Roman" w:eastAsia="宋体" w:hAnsi="Times New Roman" w:cs="Times New Roman" w:hint="eastAsia"/>
          <w:sz w:val="20"/>
          <w:szCs w:val="20"/>
        </w:rPr>
        <w:t xml:space="preserve"> Sen</w:t>
      </w:r>
      <w:r w:rsidRPr="00B25CC8">
        <w:rPr>
          <w:rFonts w:ascii="Times New Roman" w:eastAsia="宋体" w:hAnsi="Times New Roman" w:cs="Times New Roman"/>
          <w:sz w:val="20"/>
          <w:szCs w:val="20"/>
        </w:rPr>
        <w:t xml:space="preserve">sitivity analysis for the associations between various outcomes and age-adjusted elevation of </w:t>
      </w:r>
      <w:r w:rsidRPr="00B25CC8">
        <w:rPr>
          <w:rFonts w:ascii="Times New Roman" w:eastAsia="宋体" w:hAnsi="Times New Roman" w:cs="Times New Roman" w:hint="eastAsia"/>
          <w:sz w:val="20"/>
          <w:szCs w:val="20"/>
        </w:rPr>
        <w:t>D-</w:t>
      </w:r>
      <w:r w:rsidRPr="00B25CC8">
        <w:rPr>
          <w:rFonts w:ascii="Times New Roman" w:eastAsia="宋体" w:hAnsi="Times New Roman" w:cs="Times New Roman"/>
          <w:sz w:val="20"/>
          <w:szCs w:val="20"/>
        </w:rPr>
        <w:t>dimer</w:t>
      </w:r>
      <w:r w:rsidR="00293388" w:rsidRPr="00B25CC8">
        <w:rPr>
          <w:rFonts w:ascii="Times New Roman" w:eastAsia="宋体" w:hAnsi="Times New Roman" w:cs="Times New Roman"/>
          <w:sz w:val="20"/>
          <w:szCs w:val="20"/>
        </w:rPr>
        <w:t xml:space="preserve"> </w:t>
      </w:r>
      <w:bookmarkStart w:id="0" w:name="_Hlk85485967"/>
      <w:r w:rsidR="00293388" w:rsidRPr="00B25CC8">
        <w:rPr>
          <w:rFonts w:ascii="Times New Roman" w:eastAsia="宋体" w:hAnsi="Times New Roman" w:cs="Times New Roman"/>
          <w:sz w:val="20"/>
          <w:szCs w:val="20"/>
        </w:rPr>
        <w:t>with multiple adjustments for established risk factors.</w:t>
      </w:r>
      <w:bookmarkEnd w:id="0"/>
    </w:p>
    <w:tbl>
      <w:tblPr>
        <w:tblW w:w="907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755"/>
        <w:gridCol w:w="837"/>
        <w:gridCol w:w="1519"/>
        <w:gridCol w:w="838"/>
        <w:gridCol w:w="1519"/>
        <w:gridCol w:w="1007"/>
      </w:tblGrid>
      <w:tr w:rsidR="006A0585" w:rsidRPr="00B25CC8" w14:paraId="203B5BC8" w14:textId="77777777" w:rsidTr="00AA4691">
        <w:trPr>
          <w:trHeight w:val="249"/>
          <w:jc w:val="center"/>
        </w:trPr>
        <w:tc>
          <w:tcPr>
            <w:tcW w:w="1603" w:type="dxa"/>
            <w:tcBorders>
              <w:bottom w:val="single" w:sz="4" w:space="0" w:color="auto"/>
              <w:right w:val="nil"/>
            </w:tcBorders>
          </w:tcPr>
          <w:p w14:paraId="00A0016D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 xml:space="preserve">Level of </w:t>
            </w:r>
          </w:p>
          <w:p w14:paraId="1563675A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D-dimer</w:t>
            </w:r>
          </w:p>
        </w:tc>
        <w:tc>
          <w:tcPr>
            <w:tcW w:w="1755" w:type="dxa"/>
            <w:tcBorders>
              <w:left w:val="nil"/>
              <w:bottom w:val="single" w:sz="4" w:space="0" w:color="auto"/>
              <w:right w:val="nil"/>
            </w:tcBorders>
          </w:tcPr>
          <w:p w14:paraId="21809661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A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ll-cause death</w:t>
            </w:r>
          </w:p>
          <w:p w14:paraId="5D15CC6F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HR (95% CI)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nil"/>
            </w:tcBorders>
          </w:tcPr>
          <w:p w14:paraId="2850A192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P-value</w:t>
            </w: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nil"/>
            </w:tcBorders>
          </w:tcPr>
          <w:p w14:paraId="385314BD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Cardiac death</w:t>
            </w:r>
          </w:p>
          <w:p w14:paraId="664F6110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HR (95% CI)</w:t>
            </w: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nil"/>
            </w:tcBorders>
          </w:tcPr>
          <w:p w14:paraId="0E4B8AD1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P-value</w:t>
            </w:r>
          </w:p>
        </w:tc>
        <w:tc>
          <w:tcPr>
            <w:tcW w:w="1519" w:type="dxa"/>
            <w:tcBorders>
              <w:left w:val="nil"/>
              <w:bottom w:val="single" w:sz="4" w:space="0" w:color="auto"/>
              <w:right w:val="nil"/>
            </w:tcBorders>
          </w:tcPr>
          <w:p w14:paraId="03192BE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MACE</w:t>
            </w:r>
          </w:p>
          <w:p w14:paraId="77B5E454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HR (95% CI)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18055931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P-value</w:t>
            </w:r>
          </w:p>
        </w:tc>
      </w:tr>
      <w:tr w:rsidR="006A0585" w:rsidRPr="00B25CC8" w14:paraId="59FFBE2E" w14:textId="77777777" w:rsidTr="00AA4691">
        <w:trPr>
          <w:trHeight w:val="249"/>
          <w:jc w:val="center"/>
        </w:trPr>
        <w:tc>
          <w:tcPr>
            <w:tcW w:w="9078" w:type="dxa"/>
            <w:gridSpan w:val="7"/>
            <w:tcBorders>
              <w:bottom w:val="single" w:sz="4" w:space="0" w:color="auto"/>
              <w:right w:val="nil"/>
            </w:tcBorders>
          </w:tcPr>
          <w:p w14:paraId="203CDD3A" w14:textId="77777777" w:rsidR="006A0585" w:rsidRPr="00B25CC8" w:rsidRDefault="006A0585" w:rsidP="00B25CC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Patients with liver disease excluded</w:t>
            </w:r>
          </w:p>
        </w:tc>
      </w:tr>
      <w:tr w:rsidR="006A0585" w:rsidRPr="00B25CC8" w14:paraId="2C805097" w14:textId="77777777" w:rsidTr="00AA4691">
        <w:trPr>
          <w:trHeight w:val="249"/>
          <w:jc w:val="center"/>
        </w:trPr>
        <w:tc>
          <w:tcPr>
            <w:tcW w:w="1603" w:type="dxa"/>
            <w:tcBorders>
              <w:bottom w:val="nil"/>
              <w:right w:val="nil"/>
            </w:tcBorders>
          </w:tcPr>
          <w:p w14:paraId="432FC8D2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Low D-dimer</w:t>
            </w:r>
          </w:p>
        </w:tc>
        <w:tc>
          <w:tcPr>
            <w:tcW w:w="1755" w:type="dxa"/>
            <w:tcBorders>
              <w:left w:val="nil"/>
              <w:bottom w:val="nil"/>
              <w:right w:val="nil"/>
            </w:tcBorders>
          </w:tcPr>
          <w:p w14:paraId="1B37FF8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4E528C59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4FDF15E9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</w:tcPr>
          <w:p w14:paraId="3C5874D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28875D35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6C0F92D1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A0585" w:rsidRPr="00B25CC8" w14:paraId="6226FD3C" w14:textId="77777777" w:rsidTr="00AA4691">
        <w:trPr>
          <w:trHeight w:val="249"/>
          <w:jc w:val="center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51A083A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 xml:space="preserve">High D-dimer 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15E76C7F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.69 (1.27-2.28)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A39FAE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&lt;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0.001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4D5B8E04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.71 (1.19-2.46)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641355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.003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646829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.45 (1.16-1.82)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A0CA51C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.001</w:t>
            </w:r>
          </w:p>
        </w:tc>
      </w:tr>
      <w:tr w:rsidR="006A0585" w:rsidRPr="00B25CC8" w14:paraId="4E4CA8E7" w14:textId="77777777" w:rsidTr="00AA4691">
        <w:trPr>
          <w:trHeight w:val="249"/>
          <w:jc w:val="center"/>
        </w:trPr>
        <w:tc>
          <w:tcPr>
            <w:tcW w:w="9078" w:type="dxa"/>
            <w:gridSpan w:val="7"/>
            <w:tcBorders>
              <w:bottom w:val="single" w:sz="4" w:space="0" w:color="auto"/>
              <w:right w:val="nil"/>
            </w:tcBorders>
          </w:tcPr>
          <w:p w14:paraId="0CCDCD61" w14:textId="77777777" w:rsidR="006A0585" w:rsidRPr="00B25CC8" w:rsidRDefault="006A0585" w:rsidP="00B25CC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Patients with tumor disease excluded</w:t>
            </w:r>
          </w:p>
        </w:tc>
      </w:tr>
      <w:tr w:rsidR="006A0585" w:rsidRPr="00B25CC8" w14:paraId="0FE6A279" w14:textId="77777777" w:rsidTr="00AA4691">
        <w:trPr>
          <w:trHeight w:val="249"/>
          <w:jc w:val="center"/>
        </w:trPr>
        <w:tc>
          <w:tcPr>
            <w:tcW w:w="1603" w:type="dxa"/>
            <w:tcBorders>
              <w:bottom w:val="nil"/>
              <w:right w:val="nil"/>
            </w:tcBorders>
          </w:tcPr>
          <w:p w14:paraId="6DF87544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Low D-dimer</w:t>
            </w:r>
          </w:p>
        </w:tc>
        <w:tc>
          <w:tcPr>
            <w:tcW w:w="1755" w:type="dxa"/>
            <w:tcBorders>
              <w:left w:val="nil"/>
              <w:bottom w:val="nil"/>
              <w:right w:val="nil"/>
            </w:tcBorders>
          </w:tcPr>
          <w:p w14:paraId="6FB79940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717F2DA6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37072DD2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</w:tcPr>
          <w:p w14:paraId="29759626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1F0E06E0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782A7565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A0585" w:rsidRPr="00B25CC8" w14:paraId="6F190148" w14:textId="77777777" w:rsidTr="00AA4691">
        <w:trPr>
          <w:trHeight w:val="249"/>
          <w:jc w:val="center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1DF3BC53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 xml:space="preserve">High D-dimer 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2A8C70C1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.65 (1.23-2.20)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8CE633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50C143A5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.79 (1.26-2.55)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14CE4CA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1DF1D6AD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.43 (1.15-1.78)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1C574A6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.001</w:t>
            </w:r>
          </w:p>
        </w:tc>
      </w:tr>
      <w:tr w:rsidR="006A0585" w:rsidRPr="00B25CC8" w14:paraId="69F747B8" w14:textId="77777777" w:rsidTr="00AA4691">
        <w:trPr>
          <w:trHeight w:val="249"/>
          <w:jc w:val="center"/>
        </w:trPr>
        <w:tc>
          <w:tcPr>
            <w:tcW w:w="9078" w:type="dxa"/>
            <w:gridSpan w:val="7"/>
            <w:tcBorders>
              <w:bottom w:val="single" w:sz="4" w:space="0" w:color="auto"/>
              <w:right w:val="nil"/>
            </w:tcBorders>
          </w:tcPr>
          <w:p w14:paraId="2D532676" w14:textId="77777777" w:rsidR="006A0585" w:rsidRPr="00B25CC8" w:rsidRDefault="006A0585" w:rsidP="00B25CC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Patients with cardiac arrest excluded</w:t>
            </w:r>
          </w:p>
        </w:tc>
      </w:tr>
      <w:tr w:rsidR="006A0585" w:rsidRPr="00B25CC8" w14:paraId="098B7921" w14:textId="77777777" w:rsidTr="00AA4691">
        <w:trPr>
          <w:trHeight w:val="249"/>
          <w:jc w:val="center"/>
        </w:trPr>
        <w:tc>
          <w:tcPr>
            <w:tcW w:w="1603" w:type="dxa"/>
            <w:tcBorders>
              <w:bottom w:val="nil"/>
              <w:right w:val="nil"/>
            </w:tcBorders>
          </w:tcPr>
          <w:p w14:paraId="4E87494A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Low D-dimer</w:t>
            </w:r>
          </w:p>
        </w:tc>
        <w:tc>
          <w:tcPr>
            <w:tcW w:w="1755" w:type="dxa"/>
            <w:tcBorders>
              <w:left w:val="nil"/>
              <w:bottom w:val="nil"/>
              <w:right w:val="nil"/>
            </w:tcBorders>
          </w:tcPr>
          <w:p w14:paraId="371387DB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034FAC96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229CA9AC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</w:tcPr>
          <w:p w14:paraId="6F25E14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1B408809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15AF84EF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A0585" w:rsidRPr="00B25CC8" w14:paraId="4E0544A0" w14:textId="77777777" w:rsidTr="00AA4691">
        <w:trPr>
          <w:trHeight w:val="249"/>
          <w:jc w:val="center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46B29239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 xml:space="preserve">High D-dimer 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4BA06721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.77 (1.32-2.38)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3A12F55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&lt;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0.001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9A1C19F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.94 (1.34-2.80)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D8DC044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&lt;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0.001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1215997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.45 (1.16-1.82)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1AD3CE0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.001</w:t>
            </w:r>
          </w:p>
        </w:tc>
      </w:tr>
      <w:tr w:rsidR="006A0585" w:rsidRPr="00B25CC8" w14:paraId="51F58C7C" w14:textId="77777777" w:rsidTr="00AA4691">
        <w:trPr>
          <w:trHeight w:val="249"/>
          <w:jc w:val="center"/>
        </w:trPr>
        <w:tc>
          <w:tcPr>
            <w:tcW w:w="9078" w:type="dxa"/>
            <w:gridSpan w:val="7"/>
            <w:tcBorders>
              <w:bottom w:val="single" w:sz="4" w:space="0" w:color="auto"/>
              <w:right w:val="nil"/>
            </w:tcBorders>
          </w:tcPr>
          <w:p w14:paraId="3B269381" w14:textId="77777777" w:rsidR="006A0585" w:rsidRPr="00B25CC8" w:rsidRDefault="006A0585" w:rsidP="00B25CC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Patients with cerebrovascular diseases excluded</w:t>
            </w:r>
          </w:p>
        </w:tc>
      </w:tr>
      <w:tr w:rsidR="006A0585" w:rsidRPr="00B25CC8" w14:paraId="52BF617E" w14:textId="77777777" w:rsidTr="00AA4691">
        <w:trPr>
          <w:trHeight w:val="249"/>
          <w:jc w:val="center"/>
        </w:trPr>
        <w:tc>
          <w:tcPr>
            <w:tcW w:w="1603" w:type="dxa"/>
            <w:tcBorders>
              <w:bottom w:val="nil"/>
              <w:right w:val="nil"/>
            </w:tcBorders>
          </w:tcPr>
          <w:p w14:paraId="541B5BF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Low D-dimer</w:t>
            </w:r>
          </w:p>
        </w:tc>
        <w:tc>
          <w:tcPr>
            <w:tcW w:w="1755" w:type="dxa"/>
            <w:tcBorders>
              <w:left w:val="nil"/>
              <w:bottom w:val="nil"/>
              <w:right w:val="nil"/>
            </w:tcBorders>
          </w:tcPr>
          <w:p w14:paraId="38A41AA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</w:tcPr>
          <w:p w14:paraId="0A9F3F2E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1A477844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8" w:type="dxa"/>
            <w:tcBorders>
              <w:left w:val="nil"/>
              <w:bottom w:val="nil"/>
              <w:right w:val="nil"/>
            </w:tcBorders>
          </w:tcPr>
          <w:p w14:paraId="42DD972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</w:tcPr>
          <w:p w14:paraId="49FC93D3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</w:tcPr>
          <w:p w14:paraId="79BFEBA0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A0585" w:rsidRPr="00B25CC8" w14:paraId="0582AA4B" w14:textId="77777777" w:rsidTr="00AA4691">
        <w:trPr>
          <w:trHeight w:val="249"/>
          <w:jc w:val="center"/>
        </w:trPr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14:paraId="130C0F1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 xml:space="preserve">High D-dimer  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14:paraId="50ABC9E9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.70 (1.23-2.38)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96DC05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3278BB7F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.90 (1.27-2.84)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BDD492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.002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7990D24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.42 (1.11-1.82</w:t>
            </w: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3E00DEA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.006</w:t>
            </w:r>
          </w:p>
        </w:tc>
      </w:tr>
      <w:tr w:rsidR="006A0585" w:rsidRPr="00B25CC8" w14:paraId="23ECF9DA" w14:textId="77777777" w:rsidTr="00AA4691">
        <w:trPr>
          <w:trHeight w:val="249"/>
          <w:jc w:val="center"/>
        </w:trPr>
        <w:tc>
          <w:tcPr>
            <w:tcW w:w="9078" w:type="dxa"/>
            <w:gridSpan w:val="7"/>
            <w:tcBorders>
              <w:bottom w:val="single" w:sz="4" w:space="0" w:color="auto"/>
              <w:right w:val="nil"/>
            </w:tcBorders>
          </w:tcPr>
          <w:p w14:paraId="00CBC263" w14:textId="77777777" w:rsidR="006A0585" w:rsidRPr="00B25CC8" w:rsidRDefault="006A0585" w:rsidP="00B25CC8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 xml:space="preserve">Patients with acute MACE events during the acute phase </w:t>
            </w: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(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≤ 14 days)</w:t>
            </w:r>
          </w:p>
        </w:tc>
      </w:tr>
      <w:tr w:rsidR="006A0585" w:rsidRPr="00B25CC8" w14:paraId="24FE9967" w14:textId="77777777" w:rsidTr="00AA4691">
        <w:trPr>
          <w:trHeight w:val="249"/>
          <w:jc w:val="center"/>
        </w:trPr>
        <w:tc>
          <w:tcPr>
            <w:tcW w:w="1603" w:type="dxa"/>
            <w:tcBorders>
              <w:top w:val="single" w:sz="4" w:space="0" w:color="auto"/>
              <w:bottom w:val="nil"/>
              <w:right w:val="nil"/>
            </w:tcBorders>
          </w:tcPr>
          <w:p w14:paraId="5539E84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Low D-dimer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0C718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2B70A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4D3DF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0F8A9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065C1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1 (reference)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C686B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A0585" w:rsidRPr="00B25CC8" w14:paraId="79B05595" w14:textId="77777777" w:rsidTr="00AA4691">
        <w:trPr>
          <w:trHeight w:val="249"/>
          <w:jc w:val="center"/>
        </w:trPr>
        <w:tc>
          <w:tcPr>
            <w:tcW w:w="1603" w:type="dxa"/>
            <w:tcBorders>
              <w:top w:val="nil"/>
              <w:bottom w:val="single" w:sz="4" w:space="0" w:color="auto"/>
              <w:right w:val="nil"/>
            </w:tcBorders>
          </w:tcPr>
          <w:p w14:paraId="564FD7AA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 xml:space="preserve">High D-dimer 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1670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.43 (1.04-1.96)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A6251" w14:textId="55140AF6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.030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A910D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.39 (0.92-2.11)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B481D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.121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A3057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1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.27 (1.00-1.61)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D4F19" w14:textId="77777777" w:rsidR="006A0585" w:rsidRPr="00B25CC8" w:rsidRDefault="006A0585" w:rsidP="00B25C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B25CC8">
              <w:rPr>
                <w:rFonts w:ascii="Times New Roman" w:eastAsia="宋体" w:hAnsi="Times New Roman" w:cs="Times New Roman" w:hint="eastAsia"/>
                <w:bCs/>
                <w:sz w:val="20"/>
                <w:szCs w:val="20"/>
              </w:rPr>
              <w:t>0</w:t>
            </w:r>
            <w:r w:rsidRPr="00B25CC8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.045</w:t>
            </w:r>
          </w:p>
        </w:tc>
      </w:tr>
    </w:tbl>
    <w:p w14:paraId="72832ECF" w14:textId="77777777" w:rsidR="00DD05C2" w:rsidRDefault="00B25CC8" w:rsidP="00B25CC8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DD05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sz w:val="20"/>
          <w:szCs w:val="20"/>
        </w:rPr>
        <w:t>E</w:t>
      </w:r>
      <w:r w:rsidRPr="00B25CC8">
        <w:rPr>
          <w:rFonts w:ascii="Times New Roman" w:hAnsi="Times New Roman" w:cs="Times New Roman"/>
          <w:sz w:val="20"/>
          <w:szCs w:val="20"/>
        </w:rPr>
        <w:t>stablished risk factors includ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B25CC8">
        <w:rPr>
          <w:rFonts w:ascii="Times New Roman" w:hAnsi="Times New Roman" w:cs="Times New Roman"/>
          <w:sz w:val="20"/>
          <w:szCs w:val="20"/>
        </w:rPr>
        <w:t xml:space="preserve"> age, sex, diabetes, hypertension, peripheral artery diseases, diagnosis of ST-segment elevation myocardial infarction, atrial fibrillation, old myocardial infarction, history of stroke, incidence of cardiac arrest, ejection fraction, creatinine, peak value of cardiac troponin I, low-density lipoprotein cholesterol, high-sensitivity C-reactive protein, culprit lesion, multivessel disease, pre- and post-procedure TIMI flow, door-to-balloon tim</w:t>
      </w:r>
      <w:r>
        <w:rPr>
          <w:rFonts w:ascii="Times New Roman" w:hAnsi="Times New Roman" w:cs="Times New Roman"/>
          <w:sz w:val="20"/>
          <w:szCs w:val="20"/>
        </w:rPr>
        <w:t xml:space="preserve">e. </w:t>
      </w:r>
      <w:r w:rsidRPr="00B25CC8">
        <w:rPr>
          <w:rFonts w:ascii="Times New Roman" w:hAnsi="Times New Roman" w:cs="Times New Roman"/>
          <w:sz w:val="20"/>
          <w:szCs w:val="20"/>
        </w:rPr>
        <w:t>HR = hazard ratio, MACE = major adverse cardiovascular events, TIMI grade flow = Thrombolysis In Myocardial Infarction grade flow.</w:t>
      </w:r>
    </w:p>
    <w:p w14:paraId="2DA7BC87" w14:textId="77777777" w:rsidR="00DD05C2" w:rsidRDefault="00DD05C2" w:rsidP="00DD05C2">
      <w:pPr>
        <w:pStyle w:val="a7"/>
        <w:spacing w:after="0" w:line="360" w:lineRule="auto"/>
        <w:ind w:left="720" w:firstLineChars="0" w:firstLine="0"/>
        <w:rPr>
          <w:rFonts w:ascii="Times New Roman" w:hAnsi="Times New Roman" w:cs="Times New Roman"/>
        </w:rPr>
      </w:pPr>
      <w:r w:rsidRPr="004470D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EE0AFD8" wp14:editId="1CC6E370">
            <wp:extent cx="5506508" cy="4004733"/>
            <wp:effectExtent l="0" t="0" r="0" b="0"/>
            <wp:docPr id="5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04821C75-96E4-46CF-913F-DAA772B94F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04821C75-96E4-46CF-913F-DAA772B94F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7363" cy="40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53D39" w14:textId="67E4F190" w:rsidR="00381046" w:rsidRPr="00397062" w:rsidRDefault="00DD05C2" w:rsidP="00397062">
      <w:pPr>
        <w:pStyle w:val="a7"/>
        <w:spacing w:after="0" w:line="360" w:lineRule="auto"/>
        <w:ind w:left="720" w:firstLineChars="0" w:firstLine="0"/>
        <w:rPr>
          <w:rFonts w:ascii="Times New Roman" w:hAnsi="Times New Roman" w:cs="Times New Roman" w:hint="eastAsia"/>
        </w:rPr>
      </w:pPr>
      <w:r w:rsidRPr="000F04D7">
        <w:rPr>
          <w:rFonts w:ascii="Times New Roman" w:hAnsi="Times New Roman" w:cs="Times New Roman"/>
          <w:b/>
          <w:bCs/>
        </w:rPr>
        <w:t>Supplementary figure 1</w:t>
      </w:r>
      <w:r>
        <w:rPr>
          <w:rFonts w:ascii="Times New Roman" w:hAnsi="Times New Roman" w:cs="Times New Roman"/>
        </w:rPr>
        <w:t xml:space="preserve">. Required sample size to detect </w:t>
      </w:r>
      <w:bookmarkStart w:id="1" w:name="_Hlk91665862"/>
      <w:r>
        <w:rPr>
          <w:rFonts w:ascii="Times New Roman" w:hAnsi="Times New Roman" w:cs="Times New Roman"/>
        </w:rPr>
        <w:t>a hazard increase</w:t>
      </w:r>
      <w:bookmarkEnd w:id="1"/>
      <w:r>
        <w:rPr>
          <w:rFonts w:ascii="Times New Roman" w:hAnsi="Times New Roman" w:cs="Times New Roman"/>
        </w:rPr>
        <w:t xml:space="preserve"> at </w:t>
      </w:r>
      <w:bookmarkStart w:id="2" w:name="_Hlk91665847"/>
      <w:r w:rsidRPr="00120F55">
        <w:rPr>
          <w:rFonts w:ascii="Times New Roman" w:hAnsi="Times New Roman" w:cs="Times New Roman"/>
        </w:rPr>
        <w:t>a power of 80% of a two-sided log-rank test with α = 0.05</w:t>
      </w:r>
      <w:bookmarkEnd w:id="2"/>
      <w:r>
        <w:rPr>
          <w:rFonts w:ascii="Times New Roman" w:hAnsi="Times New Roman" w:cs="Times New Roman"/>
        </w:rPr>
        <w:t xml:space="preserve">. N = sample size for the whole cohort, N1 = sample size for low D-dimer group, N2 = sample size for high D-dimer group. </w:t>
      </w:r>
      <w:r w:rsidRPr="00120F55">
        <w:rPr>
          <w:rFonts w:ascii="Times New Roman" w:hAnsi="Times New Roman" w:cs="Times New Roman"/>
        </w:rPr>
        <w:t>Based on the current cohort, the ratio of patients in high and low D-dimer group</w:t>
      </w:r>
      <w:r w:rsidR="00397062">
        <w:rPr>
          <w:rFonts w:ascii="Times New Roman" w:hAnsi="Times New Roman" w:cs="Times New Roman"/>
        </w:rPr>
        <w:t xml:space="preserve"> (N2/N1)</w:t>
      </w:r>
      <w:r w:rsidRPr="00120F55">
        <w:rPr>
          <w:rFonts w:ascii="Times New Roman" w:hAnsi="Times New Roman" w:cs="Times New Roman"/>
        </w:rPr>
        <w:t xml:space="preserve"> was </w:t>
      </w:r>
      <w:r>
        <w:rPr>
          <w:rFonts w:ascii="Times New Roman" w:hAnsi="Times New Roman" w:cs="Times New Roman"/>
        </w:rPr>
        <w:t>set as</w:t>
      </w:r>
      <w:r w:rsidRPr="00120F55">
        <w:rPr>
          <w:rFonts w:ascii="Times New Roman" w:hAnsi="Times New Roman" w:cs="Times New Roman"/>
        </w:rPr>
        <w:t xml:space="preserve"> 0.3. The observed survival probability in the low D-dimer group (equivalent as the control group) was 0.987, 0.980 </w:t>
      </w:r>
      <w:r w:rsidRPr="00120F55">
        <w:rPr>
          <w:rFonts w:ascii="Times New Roman" w:hAnsi="Times New Roman" w:cs="Times New Roman" w:hint="eastAsia"/>
          <w:lang w:eastAsia="zh-CN"/>
        </w:rPr>
        <w:t>,</w:t>
      </w:r>
      <w:r w:rsidRPr="00120F55">
        <w:rPr>
          <w:rFonts w:ascii="Times New Roman" w:hAnsi="Times New Roman" w:cs="Times New Roman"/>
        </w:rPr>
        <w:t>0.974</w:t>
      </w:r>
      <w:r w:rsidRPr="00120F55">
        <w:rPr>
          <w:rFonts w:ascii="Times New Roman" w:hAnsi="Times New Roman" w:cs="Times New Roman" w:hint="eastAsia"/>
          <w:lang w:eastAsia="zh-CN"/>
        </w:rPr>
        <w:t>,</w:t>
      </w:r>
      <w:r w:rsidRPr="00120F55">
        <w:rPr>
          <w:rFonts w:ascii="Times New Roman" w:hAnsi="Times New Roman" w:cs="Times New Roman"/>
          <w:lang w:eastAsia="zh-CN"/>
        </w:rPr>
        <w:t xml:space="preserve"> </w:t>
      </w:r>
      <w:r w:rsidRPr="00120F55">
        <w:rPr>
          <w:rFonts w:ascii="Times New Roman" w:hAnsi="Times New Roman" w:cs="Times New Roman"/>
        </w:rPr>
        <w:t>0.959</w:t>
      </w:r>
      <w:r w:rsidRPr="00120F55">
        <w:rPr>
          <w:rFonts w:ascii="Times New Roman" w:hAnsi="Times New Roman" w:cs="Times New Roman" w:hint="eastAsia"/>
          <w:lang w:eastAsia="zh-CN"/>
        </w:rPr>
        <w:t>,</w:t>
      </w:r>
      <w:r w:rsidRPr="00120F55">
        <w:rPr>
          <w:rFonts w:ascii="Times New Roman" w:hAnsi="Times New Roman" w:cs="Times New Roman"/>
          <w:lang w:eastAsia="zh-CN"/>
        </w:rPr>
        <w:t xml:space="preserve"> </w:t>
      </w:r>
      <w:r w:rsidRPr="00120F55">
        <w:rPr>
          <w:rFonts w:ascii="Times New Roman" w:hAnsi="Times New Roman" w:cs="Times New Roman"/>
        </w:rPr>
        <w:t xml:space="preserve">0.951, 0.928, 0.919, </w:t>
      </w:r>
      <w:r w:rsidRPr="00120F55">
        <w:rPr>
          <w:rFonts w:ascii="Times New Roman" w:hAnsi="Times New Roman" w:cs="Times New Roman" w:hint="eastAsia"/>
          <w:lang w:eastAsia="zh-CN"/>
        </w:rPr>
        <w:t>a</w:t>
      </w:r>
      <w:r w:rsidRPr="00120F55">
        <w:rPr>
          <w:rFonts w:ascii="Times New Roman" w:hAnsi="Times New Roman" w:cs="Times New Roman"/>
          <w:lang w:eastAsia="zh-CN"/>
        </w:rPr>
        <w:t xml:space="preserve">nd </w:t>
      </w:r>
      <w:r w:rsidRPr="00120F55">
        <w:rPr>
          <w:rFonts w:ascii="Times New Roman" w:hAnsi="Times New Roman" w:cs="Times New Roman"/>
        </w:rPr>
        <w:t xml:space="preserve">0.893 by the end of </w:t>
      </w:r>
      <w:r w:rsidR="00397062">
        <w:rPr>
          <w:rFonts w:ascii="Times New Roman" w:hAnsi="Times New Roman" w:cs="Times New Roman"/>
        </w:rPr>
        <w:t>first to eighth</w:t>
      </w:r>
      <w:r w:rsidRPr="00120F55">
        <w:rPr>
          <w:rFonts w:ascii="Times New Roman" w:hAnsi="Times New Roman" w:cs="Times New Roman"/>
        </w:rPr>
        <w:t xml:space="preserve"> years. To detect a 61 % increase in</w:t>
      </w:r>
      <w:r w:rsidRPr="00120F55">
        <w:rPr>
          <w:rFonts w:ascii="Times New Roman" w:hAnsi="Times New Roman" w:cs="Times New Roman" w:hint="eastAsia"/>
          <w:lang w:eastAsia="zh-CN"/>
        </w:rPr>
        <w:t xml:space="preserve"> </w:t>
      </w:r>
      <w:r w:rsidRPr="00120F55">
        <w:rPr>
          <w:rFonts w:ascii="Times New Roman" w:hAnsi="Times New Roman" w:cs="Times New Roman"/>
        </w:rPr>
        <w:t>the hazard (</w:t>
      </w:r>
      <w:r>
        <w:rPr>
          <w:rFonts w:ascii="Times New Roman" w:hAnsi="Times New Roman" w:cs="Times New Roman"/>
        </w:rPr>
        <w:t>hazard ratio</w:t>
      </w:r>
      <w:r w:rsidRPr="00120F55">
        <w:rPr>
          <w:rFonts w:ascii="Times New Roman" w:hAnsi="Times New Roman" w:cs="Times New Roman"/>
        </w:rPr>
        <w:t>: 1.61) of the high D-dimer group</w:t>
      </w:r>
      <w:r>
        <w:rPr>
          <w:rFonts w:ascii="Times New Roman" w:hAnsi="Times New Roman" w:cs="Times New Roman"/>
        </w:rPr>
        <w:t>, as shown in the Cox regression with multiple adjustments</w:t>
      </w:r>
      <w:r w:rsidRPr="00120F55">
        <w:rPr>
          <w:rFonts w:ascii="Times New Roman" w:hAnsi="Times New Roman" w:cs="Times New Roman"/>
        </w:rPr>
        <w:t>, a total of 2743 patients needs to be recruited, namely 2110 patients in low D-dimer group and 633 patients in high D-dimer group.</w:t>
      </w:r>
    </w:p>
    <w:sectPr w:rsidR="00381046" w:rsidRPr="00397062" w:rsidSect="00DD05C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C799" w14:textId="77777777" w:rsidR="00192679" w:rsidRDefault="00192679" w:rsidP="00DD05C2">
      <w:r>
        <w:separator/>
      </w:r>
    </w:p>
  </w:endnote>
  <w:endnote w:type="continuationSeparator" w:id="0">
    <w:p w14:paraId="0EE06FE6" w14:textId="77777777" w:rsidR="00192679" w:rsidRDefault="00192679" w:rsidP="00DD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A795" w14:textId="77777777" w:rsidR="00192679" w:rsidRDefault="00192679" w:rsidP="00DD05C2">
      <w:r>
        <w:separator/>
      </w:r>
    </w:p>
  </w:footnote>
  <w:footnote w:type="continuationSeparator" w:id="0">
    <w:p w14:paraId="437BE9F0" w14:textId="77777777" w:rsidR="00192679" w:rsidRDefault="00192679" w:rsidP="00DD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85"/>
    <w:rsid w:val="00071158"/>
    <w:rsid w:val="00192679"/>
    <w:rsid w:val="00293388"/>
    <w:rsid w:val="00381046"/>
    <w:rsid w:val="00397062"/>
    <w:rsid w:val="006A0585"/>
    <w:rsid w:val="009F2CF9"/>
    <w:rsid w:val="00B25CC8"/>
    <w:rsid w:val="00DD05C2"/>
    <w:rsid w:val="00E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F4A1E"/>
  <w15:chartTrackingRefBased/>
  <w15:docId w15:val="{3B068145-5AC8-4207-9786-1E882031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5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5C2"/>
    <w:rPr>
      <w:sz w:val="18"/>
      <w:szCs w:val="18"/>
    </w:rPr>
  </w:style>
  <w:style w:type="paragraph" w:styleId="a7">
    <w:name w:val="List Paragraph"/>
    <w:basedOn w:val="a"/>
    <w:uiPriority w:val="34"/>
    <w:qFormat/>
    <w:rsid w:val="00DD05C2"/>
    <w:pPr>
      <w:widowControl/>
      <w:spacing w:after="160" w:line="259" w:lineRule="auto"/>
      <w:ind w:firstLineChars="200" w:firstLine="420"/>
      <w:jc w:val="left"/>
    </w:pPr>
    <w:rPr>
      <w:kern w:val="0"/>
      <w:sz w:val="22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润真</dc:creator>
  <cp:keywords/>
  <dc:description/>
  <cp:lastModifiedBy>陈 润真</cp:lastModifiedBy>
  <cp:revision>4</cp:revision>
  <dcterms:created xsi:type="dcterms:W3CDTF">2021-10-18T09:33:00Z</dcterms:created>
  <dcterms:modified xsi:type="dcterms:W3CDTF">2022-01-03T08:40:00Z</dcterms:modified>
</cp:coreProperties>
</file>