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36DEB" w14:textId="77777777" w:rsidR="00C87215" w:rsidRPr="00632DFB" w:rsidRDefault="00C87215" w:rsidP="00C87215">
      <w:pPr>
        <w:jc w:val="center"/>
        <w:rPr>
          <w:b/>
          <w:sz w:val="28"/>
          <w:szCs w:val="24"/>
        </w:rPr>
      </w:pPr>
      <w:r w:rsidRPr="0013062E">
        <w:rPr>
          <w:b/>
          <w:sz w:val="28"/>
          <w:szCs w:val="24"/>
        </w:rPr>
        <w:t xml:space="preserve">Frequency and severity of exacerbations of COPD associated with future </w:t>
      </w:r>
      <w:r w:rsidRPr="00632DFB">
        <w:rPr>
          <w:b/>
          <w:sz w:val="28"/>
          <w:szCs w:val="24"/>
        </w:rPr>
        <w:t>risk of exacerbations and mortality</w:t>
      </w:r>
    </w:p>
    <w:p w14:paraId="4455002C" w14:textId="59C77AA2" w:rsidR="00172E82" w:rsidRDefault="00C87215" w:rsidP="00C87215">
      <w:pPr>
        <w:pStyle w:val="Caption"/>
        <w:jc w:val="center"/>
      </w:pPr>
      <w:r>
        <w:t>Supplementary material</w:t>
      </w:r>
    </w:p>
    <w:p w14:paraId="3E350101" w14:textId="54B88F89" w:rsidR="00172E82" w:rsidRDefault="00172E82" w:rsidP="00172E82">
      <w:pPr>
        <w:pStyle w:val="Caption"/>
      </w:pPr>
    </w:p>
    <w:sdt>
      <w:sdtPr>
        <w:rPr>
          <w:rFonts w:eastAsia="Times New Roman"/>
          <w:b w:val="0"/>
          <w:bCs w:val="0"/>
          <w:sz w:val="22"/>
          <w:szCs w:val="20"/>
          <w:lang w:val="en-GB"/>
        </w:rPr>
        <w:id w:val="-10328059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1A13F1D" w14:textId="30845EE0" w:rsidR="00BB6BFF" w:rsidRDefault="00BB6BFF">
          <w:pPr>
            <w:pStyle w:val="TOCHeading"/>
          </w:pPr>
          <w:r>
            <w:t>Contents</w:t>
          </w:r>
        </w:p>
        <w:p w14:paraId="01B6837B" w14:textId="20D10BD0" w:rsidR="00656FE7" w:rsidRDefault="00BB6B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91197" w:history="1">
            <w:r w:rsidR="00656FE7" w:rsidRPr="0050351B">
              <w:rPr>
                <w:rStyle w:val="Hyperlink"/>
                <w:noProof/>
              </w:rPr>
              <w:t>Number of moderate events in patients with severe baseline exacerbations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_Toc90391197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2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51DEA7ED" w14:textId="36A26F3B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198" w:history="1">
            <w:r w:rsidR="00656FE7" w:rsidRPr="0050351B">
              <w:rPr>
                <w:rStyle w:val="Hyperlink"/>
                <w:noProof/>
              </w:rPr>
              <w:t>Table E1: Baseline study variables and covariates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_Toc90391198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3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65DD0950" w14:textId="1A9DF0DF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199" w:history="1">
            <w:r w:rsidR="00656FE7" w:rsidRPr="0050351B">
              <w:rPr>
                <w:rStyle w:val="Hyperlink"/>
                <w:noProof/>
              </w:rPr>
              <w:t xml:space="preserve">Table E2. Incidence rates of any (moderate or severe)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 xml:space="preserve"> during follow-up and incidence rate ratio (IRR) comparing patients (N=340,515) categorized by baseline frequency and severity of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_Toc90391199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5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6BBB2737" w14:textId="4E68E016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0" w:history="1">
            <w:r w:rsidR="00656FE7" w:rsidRPr="0050351B">
              <w:rPr>
                <w:rStyle w:val="Hyperlink"/>
                <w:noProof/>
              </w:rPr>
              <w:t xml:space="preserve">Table E3. Incidence rates of moderate </w:t>
            </w:r>
            <w:r w:rsidR="00656FE7" w:rsidRPr="0050351B">
              <w:rPr>
                <w:rStyle w:val="Hyperlink"/>
                <w:noProof/>
                <w:lang w:val="en-US"/>
              </w:rPr>
              <w:t xml:space="preserve">exacerbation </w:t>
            </w:r>
            <w:r w:rsidR="00656FE7" w:rsidRPr="0050351B">
              <w:rPr>
                <w:rStyle w:val="Hyperlink"/>
                <w:noProof/>
              </w:rPr>
              <w:t xml:space="preserve">during follow-up and incidence rate ratio (IRR) comparing patients (N=340,515) categorized by baseline frequency and severity of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_Toc90391200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6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05DC4B11" w14:textId="7CA0B690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1" w:history="1">
            <w:r w:rsidR="00656FE7" w:rsidRPr="0050351B">
              <w:rPr>
                <w:rStyle w:val="Hyperlink"/>
                <w:noProof/>
              </w:rPr>
              <w:t xml:space="preserve">Table E4. Incidence rates of severe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 xml:space="preserve"> during follow-up and incidence rate ratio (IRR) comparing patients (N=340,515) categorized by baseline frequency and severity of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_Toc90391201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7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6F3875CF" w14:textId="0FB0BE36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2" w:history="1">
            <w:r w:rsidR="00656FE7" w:rsidRPr="0050351B">
              <w:rPr>
                <w:rStyle w:val="Hyperlink"/>
                <w:noProof/>
              </w:rPr>
              <w:t xml:space="preserve">Table E5. Incidence rates of all-cause mortality, COPD related mortality and cardiovascular related mortality during follow-up and incidence rate ratio (IRR) comparing patients categorized by baseline frequency and severity of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>.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_Toc90391202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8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640C6D99" w14:textId="7935052C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3" w:history="1">
            <w:r w:rsidR="00656FE7" w:rsidRPr="0050351B">
              <w:rPr>
                <w:rStyle w:val="Hyperlink"/>
                <w:noProof/>
              </w:rPr>
              <w:t xml:space="preserve">Table E6. Incidence rates of future moderate and/or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 xml:space="preserve"> during follow-up and incidence rate ratio (IRR) comparing patients categorized by baseline frequency and severity of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 xml:space="preserve"> in patients with anxiety disorder, depression, or GORD and for patients with current asthma.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_Toc90391203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9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4BD579E5" w14:textId="4E69FCCB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4" w:history="1">
            <w:r w:rsidR="00656FE7" w:rsidRPr="0050351B">
              <w:rPr>
                <w:rStyle w:val="Hyperlink"/>
                <w:noProof/>
              </w:rPr>
              <w:t xml:space="preserve">Table E7. Incidence rates of future moderate and/or severe </w:t>
            </w:r>
            <w:r w:rsidR="00656FE7" w:rsidRPr="0050351B">
              <w:rPr>
                <w:rStyle w:val="Hyperlink"/>
                <w:noProof/>
                <w:lang w:val="en-US"/>
              </w:rPr>
              <w:t xml:space="preserve">exacerbation </w:t>
            </w:r>
            <w:r w:rsidR="00656FE7" w:rsidRPr="0050351B">
              <w:rPr>
                <w:rStyle w:val="Hyperlink"/>
                <w:noProof/>
              </w:rPr>
              <w:t xml:space="preserve">during follow-up and incidence rate ratio (IRR) comparing patients categorized by baseline frequency and severity of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 xml:space="preserve"> in patients with EOS≥300 and in patients with cardiovascular disease.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_Toc90391204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10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57B234EF" w14:textId="1DEDF204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5" w:history="1">
            <w:r w:rsidR="00656FE7" w:rsidRPr="0050351B">
              <w:rPr>
                <w:rStyle w:val="Hyperlink"/>
                <w:noProof/>
              </w:rPr>
              <w:t>Figure E1. Flow diagram of COPD patients included in the study population.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_Toc90391205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11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6AA5A07E" w14:textId="6D775B29" w:rsidR="00656FE7" w:rsidRDefault="008563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90391206" w:history="1">
            <w:r w:rsidR="00656FE7" w:rsidRPr="0050351B">
              <w:rPr>
                <w:rStyle w:val="Hyperlink"/>
                <w:noProof/>
              </w:rPr>
              <w:t xml:space="preserve">Figure E2. </w:t>
            </w:r>
            <w:r w:rsidR="00656FE7" w:rsidRPr="0050351B">
              <w:rPr>
                <w:rStyle w:val="Hyperlink"/>
                <w:noProof/>
                <w:lang w:val="en-US"/>
              </w:rPr>
              <w:t>Exacerbation</w:t>
            </w:r>
            <w:r w:rsidR="00656FE7" w:rsidRPr="0050351B">
              <w:rPr>
                <w:rStyle w:val="Hyperlink"/>
                <w:noProof/>
              </w:rPr>
              <w:t xml:space="preserve"> frequency and severity in patients with active follow-up for each calendar year of follow-up.</w:t>
            </w:r>
            <w:r w:rsidR="00656FE7">
              <w:rPr>
                <w:noProof/>
                <w:webHidden/>
              </w:rPr>
              <w:tab/>
            </w:r>
            <w:r w:rsidR="00656FE7">
              <w:rPr>
                <w:noProof/>
                <w:webHidden/>
              </w:rPr>
              <w:fldChar w:fldCharType="begin"/>
            </w:r>
            <w:r w:rsidR="00656FE7">
              <w:rPr>
                <w:noProof/>
                <w:webHidden/>
              </w:rPr>
              <w:instrText xml:space="preserve"> PAGEREF _Toc90391206 \h </w:instrText>
            </w:r>
            <w:r w:rsidR="00656FE7">
              <w:rPr>
                <w:noProof/>
                <w:webHidden/>
              </w:rPr>
            </w:r>
            <w:r w:rsidR="00656FE7">
              <w:rPr>
                <w:noProof/>
                <w:webHidden/>
              </w:rPr>
              <w:fldChar w:fldCharType="separate"/>
            </w:r>
            <w:r w:rsidR="00656FE7">
              <w:rPr>
                <w:noProof/>
                <w:webHidden/>
              </w:rPr>
              <w:t>12</w:t>
            </w:r>
            <w:r w:rsidR="00656FE7">
              <w:rPr>
                <w:noProof/>
                <w:webHidden/>
              </w:rPr>
              <w:fldChar w:fldCharType="end"/>
            </w:r>
          </w:hyperlink>
        </w:p>
        <w:p w14:paraId="51FF1EF7" w14:textId="6F0B02A6" w:rsidR="00BB6BFF" w:rsidRDefault="00BB6BFF" w:rsidP="00BB6BFF">
          <w:r>
            <w:rPr>
              <w:b/>
              <w:bCs/>
              <w:noProof/>
            </w:rPr>
            <w:fldChar w:fldCharType="end"/>
          </w:r>
        </w:p>
      </w:sdtContent>
    </w:sdt>
    <w:p w14:paraId="252F95B5" w14:textId="3F21CCE9" w:rsidR="00C87215" w:rsidRDefault="00C87215"/>
    <w:p w14:paraId="4767702F" w14:textId="77777777" w:rsidR="00C87215" w:rsidRPr="00C87215" w:rsidRDefault="00C87215" w:rsidP="00C87215"/>
    <w:p w14:paraId="1211E921" w14:textId="77777777" w:rsidR="00172E82" w:rsidRDefault="00172E82" w:rsidP="00172E82">
      <w:pPr>
        <w:pStyle w:val="Caption"/>
      </w:pPr>
    </w:p>
    <w:p w14:paraId="522585DB" w14:textId="77777777" w:rsidR="00172E82" w:rsidRDefault="00172E82" w:rsidP="00172E82">
      <w:pPr>
        <w:pStyle w:val="Caption"/>
      </w:pPr>
    </w:p>
    <w:p w14:paraId="2F068EE0" w14:textId="2240332F" w:rsidR="00172E82" w:rsidRDefault="00172E82" w:rsidP="00172E82">
      <w:pPr>
        <w:pStyle w:val="Caption"/>
      </w:pPr>
    </w:p>
    <w:p w14:paraId="13F847E0" w14:textId="56E9BACD" w:rsidR="00656FE7" w:rsidRDefault="00656FE7" w:rsidP="00656FE7">
      <w:pPr>
        <w:pStyle w:val="Heading1"/>
      </w:pPr>
      <w:bookmarkStart w:id="0" w:name="_Toc90391197"/>
      <w:r>
        <w:t>Number of moderate events in patients with severe baseline exacerbations</w:t>
      </w:r>
      <w:bookmarkEnd w:id="0"/>
      <w:r>
        <w:t xml:space="preserve"> </w:t>
      </w:r>
    </w:p>
    <w:p w14:paraId="5FB0213D" w14:textId="78187CC7" w:rsidR="00656FE7" w:rsidRDefault="00656FE7" w:rsidP="00656FE7">
      <w:r>
        <w:t xml:space="preserve">The mean number of moderate events in patients with 1 severe baseline exacerbation was 2.8 (SD 2.5). The mean number of moderate events in patients with 2 severe baseline exacerbations was 3.2 (SD 2.7). The mean number of moderate events in patients with 3+ severe baseline exacerbations was 3.5 (SD 2.7). </w:t>
      </w:r>
    </w:p>
    <w:p w14:paraId="4ED61431" w14:textId="047FFEA5" w:rsidR="00656FE7" w:rsidRDefault="00656FE7" w:rsidP="00656FE7"/>
    <w:p w14:paraId="3D58A7CE" w14:textId="3B10C543" w:rsidR="00656FE7" w:rsidRDefault="00656FE7" w:rsidP="00656FE7"/>
    <w:p w14:paraId="0D6C6FDD" w14:textId="2797371B" w:rsidR="00656FE7" w:rsidRDefault="00656FE7" w:rsidP="00656FE7"/>
    <w:p w14:paraId="6F29C00D" w14:textId="0FA8E683" w:rsidR="00656FE7" w:rsidRDefault="00656FE7" w:rsidP="00656FE7"/>
    <w:p w14:paraId="5D9FF499" w14:textId="29AD50AA" w:rsidR="00656FE7" w:rsidRDefault="00656FE7" w:rsidP="00656FE7"/>
    <w:p w14:paraId="78FC452C" w14:textId="68FE8344" w:rsidR="00656FE7" w:rsidRDefault="00656FE7" w:rsidP="00656FE7"/>
    <w:p w14:paraId="06FEA94D" w14:textId="5D699D52" w:rsidR="00656FE7" w:rsidRDefault="00656FE7" w:rsidP="00656FE7"/>
    <w:p w14:paraId="37C538D8" w14:textId="662EF3CB" w:rsidR="00656FE7" w:rsidRDefault="00656FE7" w:rsidP="00656FE7"/>
    <w:p w14:paraId="324BA649" w14:textId="2A5DA015" w:rsidR="00656FE7" w:rsidRDefault="00656FE7" w:rsidP="00656FE7"/>
    <w:p w14:paraId="64D2FEB9" w14:textId="2D85B056" w:rsidR="00656FE7" w:rsidRDefault="00656FE7" w:rsidP="00656FE7"/>
    <w:p w14:paraId="7CCAA37D" w14:textId="1B87AACD" w:rsidR="00656FE7" w:rsidRDefault="00656FE7" w:rsidP="00656FE7"/>
    <w:p w14:paraId="3EB03465" w14:textId="126FEACA" w:rsidR="00656FE7" w:rsidRDefault="00656FE7" w:rsidP="00656FE7"/>
    <w:p w14:paraId="6A8EF0D1" w14:textId="785606B9" w:rsidR="00656FE7" w:rsidRDefault="00656FE7" w:rsidP="00656FE7"/>
    <w:p w14:paraId="174CE4DD" w14:textId="05268BA7" w:rsidR="00656FE7" w:rsidRDefault="00656FE7" w:rsidP="00656FE7"/>
    <w:p w14:paraId="32C83027" w14:textId="0A74A8FF" w:rsidR="00656FE7" w:rsidRDefault="00656FE7" w:rsidP="00656FE7"/>
    <w:p w14:paraId="3883E4A0" w14:textId="1E2639AC" w:rsidR="00656FE7" w:rsidRDefault="00656FE7" w:rsidP="00656FE7"/>
    <w:p w14:paraId="3B7F34F4" w14:textId="20F466A1" w:rsidR="00656FE7" w:rsidRDefault="00656FE7" w:rsidP="00656FE7"/>
    <w:p w14:paraId="5B11ED0D" w14:textId="50C2FB6F" w:rsidR="00656FE7" w:rsidRDefault="00656FE7" w:rsidP="00656FE7"/>
    <w:p w14:paraId="6334ACF6" w14:textId="46B2E85D" w:rsidR="00656FE7" w:rsidRDefault="00656FE7" w:rsidP="00656FE7"/>
    <w:p w14:paraId="588902CA" w14:textId="20798B94" w:rsidR="00656FE7" w:rsidRDefault="00656FE7" w:rsidP="00656FE7"/>
    <w:p w14:paraId="6BCCCCFC" w14:textId="72FD8465" w:rsidR="00656FE7" w:rsidRDefault="00656FE7" w:rsidP="00656FE7"/>
    <w:p w14:paraId="02CD194C" w14:textId="77777777" w:rsidR="00656FE7" w:rsidRPr="00656FE7" w:rsidRDefault="00656FE7" w:rsidP="00656FE7"/>
    <w:p w14:paraId="10432025" w14:textId="37AF9777" w:rsidR="00172E82" w:rsidRPr="00C87215" w:rsidRDefault="00DE5311" w:rsidP="00C87215">
      <w:pPr>
        <w:pStyle w:val="Heading1"/>
      </w:pPr>
      <w:bookmarkStart w:id="1" w:name="_Toc77089656"/>
      <w:bookmarkStart w:id="2" w:name="_Toc90391198"/>
      <w:r>
        <w:lastRenderedPageBreak/>
        <w:t>T</w:t>
      </w:r>
      <w:r w:rsidR="00172E82" w:rsidRPr="00C87215">
        <w:t>able E1: Baseline study variables and covariates</w:t>
      </w:r>
      <w:bookmarkEnd w:id="1"/>
      <w:bookmarkEnd w:id="2"/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371"/>
      </w:tblGrid>
      <w:tr w:rsidR="00172E82" w14:paraId="306046D2" w14:textId="77777777" w:rsidTr="00656FE7">
        <w:trPr>
          <w:trHeight w:val="21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4E00A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b/>
                <w:bCs/>
                <w:color w:val="000000"/>
                <w:sz w:val="20"/>
                <w:lang w:val="en-US"/>
              </w:rPr>
              <w:t>Variable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3CD1A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b/>
                <w:bCs/>
                <w:color w:val="000000"/>
                <w:sz w:val="20"/>
                <w:lang w:val="en-US"/>
              </w:rPr>
              <w:t>Parameterization</w:t>
            </w:r>
          </w:p>
        </w:tc>
      </w:tr>
      <w:tr w:rsidR="00172E82" w14:paraId="44072470" w14:textId="77777777" w:rsidTr="00656FE7">
        <w:trPr>
          <w:trHeight w:val="336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9C119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Age at Index date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1E1FA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Continuous variable, or as categorical</w:t>
            </w:r>
          </w:p>
        </w:tc>
      </w:tr>
      <w:tr w:rsidR="00172E82" w14:paraId="45E6C58B" w14:textId="77777777" w:rsidTr="00656FE7">
        <w:trPr>
          <w:trHeight w:val="21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DB6C0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Gender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8CA53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Male, Female </w:t>
            </w:r>
          </w:p>
        </w:tc>
      </w:tr>
      <w:tr w:rsidR="00172E82" w14:paraId="790DDCB4" w14:textId="77777777" w:rsidTr="00656FE7">
        <w:trPr>
          <w:trHeight w:val="943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534D8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Body Mass Index (BMI) in last five years of patient history (measurement closest to index date was selected)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92A05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Weight in kilograms divided by height in meters squared, will be utilized as either a continuous variable or a categorical variable using the following categories widely referenced as WHO classification: Underweight (Below 18.5), Normal (18.5 - 24.9), Overweight (25.0 - 29.9), and Obese (30.0 and greater).</w:t>
            </w:r>
          </w:p>
        </w:tc>
      </w:tr>
      <w:tr w:rsidR="00172E82" w14:paraId="20B228B9" w14:textId="77777777" w:rsidTr="00656FE7">
        <w:trPr>
          <w:trHeight w:val="56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8CBE5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Smoking status, most recent </w:t>
            </w:r>
            <w:proofErr w:type="gramStart"/>
            <w:r w:rsidRPr="0002323A">
              <w:rPr>
                <w:color w:val="000000"/>
                <w:sz w:val="20"/>
                <w:lang w:val="en-US"/>
              </w:rPr>
              <w:t>in patient</w:t>
            </w:r>
            <w:proofErr w:type="gramEnd"/>
            <w:r w:rsidRPr="0002323A">
              <w:rPr>
                <w:color w:val="000000"/>
                <w:sz w:val="20"/>
                <w:lang w:val="en-US"/>
              </w:rPr>
              <w:t xml:space="preserve"> history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2D640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Two</w:t>
            </w:r>
            <w:r w:rsidRPr="0002323A">
              <w:rPr>
                <w:color w:val="000000"/>
                <w:sz w:val="20"/>
                <w:lang w:val="en-US"/>
              </w:rPr>
              <w:t xml:space="preserve"> categories to be created: ex-smoker</w:t>
            </w:r>
            <w:r>
              <w:rPr>
                <w:color w:val="000000"/>
                <w:sz w:val="20"/>
                <w:lang w:val="en-US"/>
              </w:rPr>
              <w:t xml:space="preserve"> and</w:t>
            </w:r>
            <w:r w:rsidRPr="0002323A">
              <w:rPr>
                <w:color w:val="000000"/>
                <w:sz w:val="20"/>
                <w:lang w:val="en-US"/>
              </w:rPr>
              <w:t xml:space="preserve"> current smoker</w:t>
            </w:r>
          </w:p>
        </w:tc>
      </w:tr>
      <w:tr w:rsidR="00172E82" w14:paraId="5BD368A2" w14:textId="77777777" w:rsidTr="00656FE7">
        <w:trPr>
          <w:trHeight w:val="483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10204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Comorbidities</w:t>
            </w:r>
            <w:r>
              <w:rPr>
                <w:color w:val="000000"/>
                <w:sz w:val="20"/>
                <w:lang w:val="en-US"/>
              </w:rPr>
              <w:t>,</w:t>
            </w:r>
            <w:r w:rsidRPr="0002323A">
              <w:rPr>
                <w:color w:val="000000"/>
                <w:sz w:val="20"/>
                <w:lang w:val="en-US"/>
              </w:rPr>
              <w:t xml:space="preserve"> ever in patient history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7583B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Patients will be classified (separately for each comorbidity) as having a history of the following comorbidities </w:t>
            </w:r>
            <w:r w:rsidRPr="00903244">
              <w:rPr>
                <w:color w:val="000000"/>
                <w:sz w:val="20"/>
                <w:u w:val="single"/>
                <w:lang w:val="en-US"/>
              </w:rPr>
              <w:t>anytime</w:t>
            </w:r>
            <w:r w:rsidRPr="0002323A">
              <w:rPr>
                <w:color w:val="000000"/>
                <w:sz w:val="20"/>
                <w:lang w:val="en-US"/>
              </w:rPr>
              <w:t xml:space="preserve"> in CPRD history preceding the index date:</w:t>
            </w:r>
          </w:p>
          <w:p w14:paraId="7A107DD0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Depression</w:t>
            </w:r>
          </w:p>
          <w:p w14:paraId="65B77F1C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Anxiety</w:t>
            </w:r>
            <w:r>
              <w:rPr>
                <w:rStyle w:val="CommentReference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disorder</w:t>
            </w:r>
          </w:p>
          <w:p w14:paraId="4B943A66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GORD</w:t>
            </w:r>
          </w:p>
          <w:p w14:paraId="1091441B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Lung cancer</w:t>
            </w:r>
          </w:p>
          <w:p w14:paraId="2FEE8C9D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Acute myocardial infarction</w:t>
            </w:r>
          </w:p>
          <w:p w14:paraId="6D951D7A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Congestive heart failure</w:t>
            </w:r>
          </w:p>
          <w:p w14:paraId="0C98C53D" w14:textId="77777777" w:rsidR="00172E82" w:rsidRPr="0002323A" w:rsidRDefault="00172E82" w:rsidP="00172E8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Stroke</w:t>
            </w:r>
          </w:p>
        </w:tc>
      </w:tr>
      <w:tr w:rsidR="00172E82" w14:paraId="2D669EC9" w14:textId="77777777" w:rsidTr="00656FE7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206E3" w14:textId="77777777" w:rsidR="00172E82" w:rsidRPr="0002323A" w:rsidRDefault="00172E82" w:rsidP="00656FE7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Current asthma diagnosis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F0BDB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A diagnosis of asthma (=1) vs. no history of asthma (=0) in a period of 3 years before a 2-year period prior to COPD diagnosis. This is because asthma diagnoses made 2 years prior to a COPD diagnosis is likely to be misclassified COPD. Any asthma diagnosis made 3 years prior to this is therefore likely to be a current asthma diagnosis. </w:t>
            </w:r>
          </w:p>
        </w:tc>
      </w:tr>
      <w:tr w:rsidR="00172E82" w14:paraId="292BB02A" w14:textId="77777777" w:rsidTr="00656FE7">
        <w:trPr>
          <w:trHeight w:val="666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650C5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Overall Social Deprivation Scores for England</w:t>
            </w:r>
            <w:r>
              <w:rPr>
                <w:color w:val="000000"/>
                <w:sz w:val="20"/>
                <w:lang w:val="en-US"/>
              </w:rPr>
              <w:t xml:space="preserve"> (Index of Multiple Deprivation (IMD))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587E9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The </w:t>
            </w:r>
            <w:r>
              <w:rPr>
                <w:color w:val="000000"/>
                <w:sz w:val="20"/>
                <w:lang w:val="en-US"/>
              </w:rPr>
              <w:t xml:space="preserve">IMD </w:t>
            </w:r>
            <w:r w:rsidRPr="0002323A">
              <w:rPr>
                <w:color w:val="000000"/>
                <w:sz w:val="20"/>
                <w:lang w:val="en-US"/>
              </w:rPr>
              <w:t>deprivation score is derived for 32,482 areas in the UK, ranging from 1 (most deprived) to 32,482 (least deprived). CPRD links this deprivation score and can supply the scores that split the areas into 5 groups (</w:t>
            </w:r>
            <w:proofErr w:type="gramStart"/>
            <w:r w:rsidRPr="0002323A">
              <w:rPr>
                <w:color w:val="000000"/>
                <w:sz w:val="20"/>
                <w:lang w:val="en-US"/>
              </w:rPr>
              <w:t>i.e.</w:t>
            </w:r>
            <w:proofErr w:type="gramEnd"/>
            <w:r w:rsidRPr="0002323A">
              <w:rPr>
                <w:color w:val="000000"/>
                <w:sz w:val="20"/>
                <w:lang w:val="en-US"/>
              </w:rPr>
              <w:t xml:space="preserve"> quintiles) of decreasing deprivation.</w:t>
            </w:r>
            <w:r>
              <w:rPr>
                <w:color w:val="000000"/>
                <w:sz w:val="20"/>
                <w:lang w:val="en-US"/>
              </w:rPr>
              <w:t xml:space="preserve"> Briefly, </w:t>
            </w:r>
            <w:r w:rsidRPr="006F06ED">
              <w:rPr>
                <w:sz w:val="20"/>
              </w:rPr>
              <w:t>IMD data includes deprivation indices at the practice level, which is a weighted deprivation score based on factors such as income, employment, education, health deprivation, crime, housing and living environment</w:t>
            </w:r>
            <w:r>
              <w:rPr>
                <w:sz w:val="20"/>
              </w:rPr>
              <w:t xml:space="preserve">. </w:t>
            </w:r>
            <w:r w:rsidRPr="006F06ED">
              <w:rPr>
                <w:sz w:val="20"/>
              </w:rPr>
              <w:t>Deprivation scores are calculated for each small area in England and are ranked from the most deprived areas (decile 1) to the least deprived area (decile 10).</w:t>
            </w:r>
            <w:r>
              <w:t xml:space="preserve">  </w:t>
            </w:r>
          </w:p>
        </w:tc>
      </w:tr>
      <w:tr w:rsidR="00172E82" w14:paraId="281889DD" w14:textId="77777777" w:rsidTr="00656FE7">
        <w:trPr>
          <w:trHeight w:val="1698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20FC8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Medical Research Council (MRC) dyspnea scale measurement within the 24 month</w:t>
            </w:r>
            <w:r>
              <w:rPr>
                <w:color w:val="000000"/>
                <w:sz w:val="20"/>
                <w:lang w:val="en-US"/>
              </w:rPr>
              <w:t>s</w:t>
            </w:r>
            <w:r w:rsidRPr="0002323A">
              <w:rPr>
                <w:color w:val="000000"/>
                <w:sz w:val="20"/>
                <w:lang w:val="en-US"/>
              </w:rPr>
              <w:t xml:space="preserve"> prior to and up to 3 months following index date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41AF0" w14:textId="77777777" w:rsidR="00172E82" w:rsidRPr="0002323A" w:rsidRDefault="00172E82" w:rsidP="00172E8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Grade 1: No Dyspnea except on strenuous Exercise </w:t>
            </w:r>
          </w:p>
          <w:p w14:paraId="4EBA3444" w14:textId="77777777" w:rsidR="00172E82" w:rsidRPr="0002323A" w:rsidRDefault="00172E82" w:rsidP="00172E8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Grade 2: Short of breath when walking up a short hill</w:t>
            </w:r>
          </w:p>
          <w:p w14:paraId="5873EEB1" w14:textId="77777777" w:rsidR="00172E82" w:rsidRPr="0002323A" w:rsidRDefault="00172E82" w:rsidP="00172E8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Grade 3: Dyspnea limits walking pace (slower than others) and stops to catch breath</w:t>
            </w:r>
          </w:p>
          <w:p w14:paraId="7298DBE8" w14:textId="77777777" w:rsidR="00172E82" w:rsidRPr="0002323A" w:rsidRDefault="00172E82" w:rsidP="00172E8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Grade 4: Stops to catch breath after walking 100 meters (328 feet) on level ground</w:t>
            </w:r>
          </w:p>
          <w:p w14:paraId="6D394ACA" w14:textId="77777777" w:rsidR="00172E82" w:rsidRPr="0002323A" w:rsidRDefault="00172E82" w:rsidP="00172E8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Grade 5: Dyspnea prevents leaving house and performing Activities of Daily Living</w:t>
            </w:r>
          </w:p>
          <w:p w14:paraId="49F71CCC" w14:textId="77777777" w:rsidR="00172E82" w:rsidRPr="0002323A" w:rsidRDefault="00172E82" w:rsidP="00172E8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Unknown / Unavailable if no record available within the 24-month prior to and up to 3 months following index date</w:t>
            </w:r>
          </w:p>
        </w:tc>
      </w:tr>
      <w:tr w:rsidR="00172E82" w14:paraId="41F99A42" w14:textId="77777777" w:rsidTr="00656FE7">
        <w:trPr>
          <w:trHeight w:val="171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DAF43" w14:textId="77777777" w:rsidR="00172E82" w:rsidRPr="0002323A" w:rsidRDefault="00172E82" w:rsidP="00656FE7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COPD GOLD grade of airflow limitation measurement closest to index date within the window of 24 months prior and up to 3 months following the index date 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97E3A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Defined according to GOLD-defined lung </w:t>
            </w:r>
            <w:proofErr w:type="gramStart"/>
            <w:r w:rsidRPr="0002323A">
              <w:rPr>
                <w:color w:val="000000"/>
                <w:sz w:val="20"/>
                <w:lang w:val="en-US"/>
              </w:rPr>
              <w:t>obstruction based</w:t>
            </w:r>
            <w:proofErr w:type="gramEnd"/>
            <w:r w:rsidRPr="0002323A">
              <w:rPr>
                <w:color w:val="000000"/>
                <w:sz w:val="20"/>
                <w:lang w:val="en-US"/>
              </w:rPr>
              <w:t xml:space="preserve"> classification </w:t>
            </w:r>
          </w:p>
          <w:p w14:paraId="0A9C253B" w14:textId="77777777" w:rsidR="00172E82" w:rsidRPr="0002323A" w:rsidRDefault="00172E82" w:rsidP="00172E8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GOLD 1: FEV</w:t>
            </w:r>
            <w:r w:rsidRPr="0002323A">
              <w:rPr>
                <w:color w:val="000000"/>
                <w:sz w:val="20"/>
                <w:vertAlign w:val="subscript"/>
                <w:lang w:val="en-US"/>
              </w:rPr>
              <w:t>1</w:t>
            </w:r>
            <w:r w:rsidRPr="0002323A">
              <w:rPr>
                <w:color w:val="000000"/>
                <w:sz w:val="20"/>
                <w:lang w:val="en-US"/>
              </w:rPr>
              <w:t>% predicted ≥80%</w:t>
            </w:r>
          </w:p>
          <w:p w14:paraId="234CF7B7" w14:textId="77777777" w:rsidR="00172E82" w:rsidRPr="0002323A" w:rsidRDefault="00172E82" w:rsidP="00172E8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GOLD 2: FEV</w:t>
            </w:r>
            <w:r w:rsidRPr="0002323A">
              <w:rPr>
                <w:color w:val="000000"/>
                <w:sz w:val="20"/>
                <w:vertAlign w:val="subscript"/>
                <w:lang w:val="en-US"/>
              </w:rPr>
              <w:t>1</w:t>
            </w:r>
            <w:r w:rsidRPr="0002323A">
              <w:rPr>
                <w:color w:val="000000"/>
                <w:sz w:val="20"/>
                <w:lang w:val="en-US"/>
              </w:rPr>
              <w:t xml:space="preserve"> % predicted ≥50 -&lt;80%</w:t>
            </w:r>
          </w:p>
          <w:p w14:paraId="5AC7F28F" w14:textId="77777777" w:rsidR="00172E82" w:rsidRPr="0002323A" w:rsidRDefault="00172E82" w:rsidP="00172E8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GOLD 3: FEV</w:t>
            </w:r>
            <w:r w:rsidRPr="0002323A">
              <w:rPr>
                <w:color w:val="000000"/>
                <w:sz w:val="20"/>
                <w:vertAlign w:val="subscript"/>
                <w:lang w:val="en-US"/>
              </w:rPr>
              <w:t>1</w:t>
            </w:r>
            <w:r w:rsidRPr="0002323A">
              <w:rPr>
                <w:color w:val="000000"/>
                <w:sz w:val="20"/>
                <w:lang w:val="en-US"/>
              </w:rPr>
              <w:t>% predicted ≥30 -&lt;50%</w:t>
            </w:r>
          </w:p>
          <w:p w14:paraId="43B131F0" w14:textId="77777777" w:rsidR="00172E82" w:rsidRPr="0002323A" w:rsidRDefault="00172E82" w:rsidP="00172E8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GOLD 4: FEV</w:t>
            </w:r>
            <w:r w:rsidRPr="0002323A">
              <w:rPr>
                <w:color w:val="000000"/>
                <w:sz w:val="20"/>
                <w:vertAlign w:val="subscript"/>
                <w:lang w:val="en-US"/>
              </w:rPr>
              <w:t>1</w:t>
            </w:r>
            <w:r w:rsidRPr="0002323A">
              <w:rPr>
                <w:color w:val="000000"/>
                <w:sz w:val="20"/>
                <w:lang w:val="en-US"/>
              </w:rPr>
              <w:t xml:space="preserve"> % predicted &lt;30%</w:t>
            </w:r>
          </w:p>
          <w:p w14:paraId="7FD5A3CB" w14:textId="77777777" w:rsidR="00172E82" w:rsidRPr="0002323A" w:rsidRDefault="00172E82" w:rsidP="00172E8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Unknown (if missing spirometry during the </w:t>
            </w:r>
            <w:r>
              <w:rPr>
                <w:color w:val="000000"/>
                <w:sz w:val="20"/>
                <w:lang w:val="en-US"/>
              </w:rPr>
              <w:t>24</w:t>
            </w:r>
            <w:r w:rsidRPr="0002323A">
              <w:rPr>
                <w:color w:val="000000"/>
                <w:sz w:val="20"/>
                <w:lang w:val="en-US"/>
              </w:rPr>
              <w:t>-month prior to and up to 3 months following index date)</w:t>
            </w:r>
          </w:p>
        </w:tc>
      </w:tr>
      <w:tr w:rsidR="00172E82" w14:paraId="627CFCFF" w14:textId="77777777" w:rsidTr="00656FE7">
        <w:trPr>
          <w:trHeight w:val="55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A507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Respiratory maintenance treatment medication exposure in 12 months prior </w:t>
            </w:r>
            <w:r w:rsidRPr="0002323A">
              <w:rPr>
                <w:color w:val="000000"/>
                <w:sz w:val="20"/>
                <w:lang w:val="en-US"/>
              </w:rPr>
              <w:lastRenderedPageBreak/>
              <w:t>to index date (inclusive of index date)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AC938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lastRenderedPageBreak/>
              <w:t>Exposure to specific respiratory therapies over the 12 months prior to the index date; ≥1 Rx was flagged versus those with Rx ‘0’. The following respiratory therapies will be included:</w:t>
            </w:r>
          </w:p>
          <w:p w14:paraId="495654B7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lastRenderedPageBreak/>
              <w:t>Roflumilast</w:t>
            </w:r>
          </w:p>
          <w:p w14:paraId="0FFCD57D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Theophylline</w:t>
            </w:r>
          </w:p>
          <w:p w14:paraId="7196CA30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ICS only</w:t>
            </w:r>
          </w:p>
          <w:p w14:paraId="40D792F7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LABA only</w:t>
            </w:r>
          </w:p>
          <w:p w14:paraId="292DED91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LAMA only </w:t>
            </w:r>
          </w:p>
          <w:p w14:paraId="61FF935D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LABA/LAMA fixed </w:t>
            </w:r>
            <w:r>
              <w:rPr>
                <w:color w:val="000000"/>
                <w:sz w:val="20"/>
                <w:lang w:val="en-US"/>
              </w:rPr>
              <w:t xml:space="preserve">and open </w:t>
            </w:r>
            <w:r w:rsidRPr="0002323A">
              <w:rPr>
                <w:color w:val="000000"/>
                <w:sz w:val="20"/>
                <w:lang w:val="en-US"/>
              </w:rPr>
              <w:t>combinations</w:t>
            </w:r>
          </w:p>
          <w:p w14:paraId="24C53FC3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ICS/LABA fixed </w:t>
            </w:r>
            <w:r>
              <w:rPr>
                <w:color w:val="000000"/>
                <w:sz w:val="20"/>
                <w:lang w:val="en-US"/>
              </w:rPr>
              <w:t xml:space="preserve">and open </w:t>
            </w:r>
            <w:r w:rsidRPr="0002323A">
              <w:rPr>
                <w:color w:val="000000"/>
                <w:sz w:val="20"/>
                <w:lang w:val="en-US"/>
              </w:rPr>
              <w:t xml:space="preserve">combinations </w:t>
            </w:r>
          </w:p>
          <w:p w14:paraId="3E2BE1AC" w14:textId="77777777" w:rsidR="00172E82" w:rsidRPr="00F93E7F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ICS/LABA+LAMA (triple)</w:t>
            </w:r>
            <w:r>
              <w:rPr>
                <w:color w:val="000000"/>
                <w:sz w:val="20"/>
                <w:lang w:val="en-US"/>
              </w:rPr>
              <w:t xml:space="preserve"> fixed and open combinations</w:t>
            </w:r>
            <w:r w:rsidRPr="0002323A">
              <w:rPr>
                <w:color w:val="000000"/>
                <w:sz w:val="20"/>
                <w:lang w:val="en-US"/>
              </w:rPr>
              <w:t xml:space="preserve"> </w:t>
            </w:r>
          </w:p>
          <w:p w14:paraId="347D686A" w14:textId="77777777" w:rsidR="00172E82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SABA only </w:t>
            </w:r>
          </w:p>
          <w:p w14:paraId="4A1B77AF" w14:textId="77777777" w:rsidR="00172E82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SAMA only</w:t>
            </w:r>
          </w:p>
          <w:p w14:paraId="1ACB51DD" w14:textId="77777777" w:rsidR="00172E82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SAMA/SABA fixed and open combinations</w:t>
            </w:r>
          </w:p>
          <w:p w14:paraId="0510443C" w14:textId="77777777" w:rsidR="00172E82" w:rsidRPr="0002323A" w:rsidRDefault="00172E82" w:rsidP="00172E82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No maintenance treatment</w:t>
            </w:r>
            <w:r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en-US"/>
              </w:rPr>
              <w:t>nb</w:t>
            </w:r>
            <w:proofErr w:type="spellEnd"/>
            <w:r>
              <w:rPr>
                <w:color w:val="000000"/>
                <w:sz w:val="20"/>
                <w:lang w:val="en-US"/>
              </w:rPr>
              <w:t>: it is possible patients have other medications not listed above such as OCS)</w:t>
            </w:r>
          </w:p>
          <w:p w14:paraId="5C166712" w14:textId="77777777" w:rsidR="00172E82" w:rsidRPr="0002323A" w:rsidRDefault="00172E82" w:rsidP="00656FE7">
            <w:pPr>
              <w:spacing w:after="0" w:line="240" w:lineRule="auto"/>
              <w:ind w:left="720"/>
              <w:rPr>
                <w:sz w:val="20"/>
                <w:lang w:val="en-US"/>
              </w:rPr>
            </w:pPr>
          </w:p>
        </w:tc>
      </w:tr>
      <w:tr w:rsidR="00172E82" w14:paraId="4C3057B4" w14:textId="77777777" w:rsidTr="00656FE7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2AC35" w14:textId="77777777" w:rsidR="00172E82" w:rsidRPr="0002323A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lastRenderedPageBreak/>
              <w:t xml:space="preserve">LRTI history in 12 months prior to index date for incident COPD </w:t>
            </w:r>
            <w:r>
              <w:rPr>
                <w:color w:val="000000"/>
                <w:sz w:val="20"/>
                <w:lang w:val="en-US"/>
              </w:rPr>
              <w:t>patients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56AD6" w14:textId="77777777" w:rsidR="00172E82" w:rsidRPr="0002323A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Frequency and mean (SD) number of LRTI</w:t>
            </w:r>
            <w:r>
              <w:rPr>
                <w:color w:val="000000"/>
                <w:sz w:val="20"/>
                <w:lang w:val="en-US"/>
              </w:rPr>
              <w:t>/AECOPD</w:t>
            </w:r>
          </w:p>
        </w:tc>
      </w:tr>
      <w:tr w:rsidR="00172E82" w14:paraId="337F4C61" w14:textId="77777777" w:rsidTr="00656FE7">
        <w:trPr>
          <w:trHeight w:val="6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16490" w14:textId="77777777" w:rsidR="00172E82" w:rsidRPr="0002323A" w:rsidRDefault="00172E82" w:rsidP="00656FE7">
            <w:pPr>
              <w:spacing w:after="0" w:line="240" w:lineRule="auto"/>
              <w:rPr>
                <w:rFonts w:eastAsiaTheme="minorHAnsi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Number of GP practice consultations in 12 months prior to index date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BCFCA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Count variable. One encounter per contact type was allowed per day to avoid multiple counting of the same events.</w:t>
            </w:r>
          </w:p>
        </w:tc>
      </w:tr>
      <w:tr w:rsidR="00172E82" w14:paraId="3FA0EEE6" w14:textId="77777777" w:rsidTr="00656FE7">
        <w:trPr>
          <w:trHeight w:val="6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1F078" w14:textId="77777777" w:rsidR="00172E82" w:rsidRPr="0002323A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Number of A&amp;E visits in 12 months prior to index date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2ED29" w14:textId="77777777" w:rsidR="00172E82" w:rsidRPr="0002323A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 xml:space="preserve">Count variable. One encounter per contact type was allowed per day to avoid multiple counting of the same events. </w:t>
            </w:r>
          </w:p>
        </w:tc>
      </w:tr>
      <w:tr w:rsidR="00172E82" w14:paraId="495AD3C4" w14:textId="77777777" w:rsidTr="00656FE7">
        <w:trPr>
          <w:trHeight w:val="493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9BF74" w14:textId="77777777" w:rsidR="00172E82" w:rsidRPr="0002323A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Number of hospitalizations in 12 months prior to index date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28D12" w14:textId="77777777" w:rsidR="00172E82" w:rsidRPr="0002323A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Count variable. One encounter per contact type was allowed per day to avoid multiple counting of the same events.  </w:t>
            </w:r>
          </w:p>
        </w:tc>
      </w:tr>
      <w:tr w:rsidR="00172E82" w14:paraId="6356056D" w14:textId="77777777" w:rsidTr="00656FE7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AD315" w14:textId="77777777" w:rsidR="00172E82" w:rsidRPr="0002323A" w:rsidRDefault="00172E82" w:rsidP="00656FE7">
            <w:pPr>
              <w:spacing w:after="0" w:line="240" w:lineRule="auto"/>
              <w:rPr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Peripheral blood eosinophil level (nearest prior and within 12M to index date)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08E0A" w14:textId="77777777" w:rsidR="00172E82" w:rsidRPr="00662EF0" w:rsidRDefault="00172E82" w:rsidP="00656FE7">
            <w:pPr>
              <w:spacing w:after="0" w:line="240" w:lineRule="auto"/>
              <w:rPr>
                <w:color w:val="000000"/>
                <w:sz w:val="20"/>
                <w:lang w:val="en-US"/>
              </w:rPr>
            </w:pPr>
            <w:r w:rsidRPr="0002323A">
              <w:rPr>
                <w:color w:val="000000"/>
                <w:sz w:val="20"/>
                <w:lang w:val="en-US"/>
              </w:rPr>
              <w:t>Geometric mean and 95% CI, range, median, interquartile range.</w:t>
            </w:r>
            <w:r>
              <w:rPr>
                <w:color w:val="000000"/>
                <w:sz w:val="20"/>
                <w:lang w:val="en-US"/>
              </w:rPr>
              <w:t xml:space="preserve"> The following thresholds included: 100 cells/ul, and 300 cells/ul. </w:t>
            </w:r>
          </w:p>
        </w:tc>
      </w:tr>
    </w:tbl>
    <w:p w14:paraId="761B00BC" w14:textId="77777777" w:rsidR="00172E82" w:rsidRDefault="00172E82" w:rsidP="00172E82"/>
    <w:p w14:paraId="53BE3B71" w14:textId="0046F9A1" w:rsidR="00F54B0A" w:rsidRDefault="00F54B0A" w:rsidP="00172E82">
      <w:pPr>
        <w:spacing w:after="160" w:line="259" w:lineRule="auto"/>
        <w:sectPr w:rsidR="00F54B0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2166F7" w14:textId="14A178D6" w:rsidR="00FD7416" w:rsidRPr="00591234" w:rsidRDefault="00FD7416" w:rsidP="00EB7520">
      <w:pPr>
        <w:pStyle w:val="Heading1"/>
        <w:rPr>
          <w:szCs w:val="22"/>
        </w:rPr>
      </w:pPr>
      <w:bookmarkStart w:id="3" w:name="_Toc90391199"/>
      <w:r>
        <w:lastRenderedPageBreak/>
        <w:t xml:space="preserve">Table </w:t>
      </w:r>
      <w:r w:rsidR="00EB7520">
        <w:t>E2</w:t>
      </w:r>
      <w:r>
        <w:t xml:space="preserve">. </w:t>
      </w:r>
      <w:r w:rsidRPr="00753E62">
        <w:t xml:space="preserve">Incidence rates of </w:t>
      </w:r>
      <w:r>
        <w:t>any (</w:t>
      </w:r>
      <w:r w:rsidRPr="00753E62">
        <w:t>moderate or severe</w:t>
      </w:r>
      <w:r>
        <w:t>)</w:t>
      </w:r>
      <w:r w:rsidRPr="00753E62">
        <w:t xml:space="preserve"> </w:t>
      </w:r>
      <w:r>
        <w:rPr>
          <w:lang w:val="en-US"/>
        </w:rPr>
        <w:t>exacerbation</w:t>
      </w:r>
      <w:r w:rsidRPr="00753E62">
        <w:t xml:space="preserve"> during follow-up </w:t>
      </w:r>
      <w:r w:rsidRPr="00CA4FC7">
        <w:t xml:space="preserve">and incidence rate ratio (IRR) comparing patients (N=340,515) categorized by baseline frequency and severity of </w:t>
      </w:r>
      <w:r>
        <w:rPr>
          <w:lang w:val="en-US"/>
        </w:rPr>
        <w:t>exacerbation</w:t>
      </w:r>
      <w:bookmarkEnd w:id="3"/>
    </w:p>
    <w:tbl>
      <w:tblPr>
        <w:tblStyle w:val="PlainTable1"/>
        <w:tblW w:w="13609" w:type="dxa"/>
        <w:tblInd w:w="-147" w:type="dxa"/>
        <w:tblLook w:val="04A0" w:firstRow="1" w:lastRow="0" w:firstColumn="1" w:lastColumn="0" w:noHBand="0" w:noVBand="1"/>
      </w:tblPr>
      <w:tblGrid>
        <w:gridCol w:w="2127"/>
        <w:gridCol w:w="2870"/>
        <w:gridCol w:w="2871"/>
        <w:gridCol w:w="2870"/>
        <w:gridCol w:w="2871"/>
      </w:tblGrid>
      <w:tr w:rsidR="00FD7416" w14:paraId="43C55D40" w14:textId="77777777" w:rsidTr="00656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77C7D4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sz w:val="18"/>
                <w:szCs w:val="18"/>
              </w:rPr>
              <w:t xml:space="preserve">Baseline </w:t>
            </w:r>
            <w:r>
              <w:rPr>
                <w:lang w:val="en-US"/>
              </w:rPr>
              <w:t>exacerbation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14:paraId="1539EF68" w14:textId="77777777" w:rsidR="00FD7416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Total number of events</w:t>
            </w:r>
          </w:p>
          <w:p w14:paraId="6AA215A9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n=1,963,268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6725ED07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Incidence rate per 100 person-years</w:t>
            </w:r>
            <w:r w:rsidRPr="00E202A1">
              <w:rPr>
                <w:bCs w:val="0"/>
                <w:sz w:val="18"/>
                <w:szCs w:val="18"/>
                <w:vertAlign w:val="superscript"/>
              </w:rPr>
              <w:t xml:space="preserve"> </w:t>
            </w:r>
            <w:r w:rsidRPr="00E202A1">
              <w:rPr>
                <w:bCs w:val="0"/>
                <w:sz w:val="18"/>
                <w:szCs w:val="18"/>
              </w:rPr>
              <w:t>(95% CI)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14:paraId="35031051" w14:textId="77777777" w:rsidR="00FD7416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 xml:space="preserve">Crude IRR (95% CI) </w:t>
            </w:r>
          </w:p>
          <w:p w14:paraId="5195C70C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N=340,515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7A01E61B" w14:textId="750630BF" w:rsidR="00FD7416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Adjusted IRR</w:t>
            </w:r>
            <w:r w:rsidR="008563A9">
              <w:rPr>
                <w:bCs w:val="0"/>
                <w:sz w:val="18"/>
                <w:szCs w:val="18"/>
              </w:rPr>
              <w:t>*</w:t>
            </w:r>
            <w:r w:rsidRPr="00E202A1">
              <w:rPr>
                <w:bCs w:val="0"/>
                <w:sz w:val="18"/>
                <w:szCs w:val="18"/>
              </w:rPr>
              <w:t xml:space="preserve"> (95% CI) </w:t>
            </w:r>
          </w:p>
          <w:p w14:paraId="35E59657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N=86,306</w:t>
            </w:r>
          </w:p>
        </w:tc>
      </w:tr>
      <w:tr w:rsidR="00FD7416" w14:paraId="34F623BB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14:paraId="05972B55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No</w:t>
            </w:r>
            <w:r>
              <w:rPr>
                <w:color w:val="000000"/>
                <w:sz w:val="18"/>
                <w:szCs w:val="18"/>
                <w:lang w:eastAsia="en-GB"/>
              </w:rPr>
              <w:t xml:space="preserve">ne </w:t>
            </w:r>
            <w:r>
              <w:rPr>
                <w:color w:val="000000"/>
                <w:sz w:val="18"/>
                <w:szCs w:val="18"/>
                <w:lang w:eastAsia="en-GB"/>
              </w:rPr>
              <w:br/>
            </w:r>
            <w:r w:rsidRPr="00E202A1">
              <w:rPr>
                <w:color w:val="000000"/>
                <w:sz w:val="18"/>
                <w:szCs w:val="18"/>
                <w:lang w:eastAsia="en-GB"/>
              </w:rPr>
              <w:t>n=181,176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13660F82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581,360 (29.6)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4D6DA779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76.6 (76.4 – 76.8)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02BE9E1C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65C440C8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 (ref)</w:t>
            </w:r>
          </w:p>
        </w:tc>
      </w:tr>
      <w:tr w:rsidR="00FD7416" w14:paraId="6C6A5057" w14:textId="77777777" w:rsidTr="00656F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1C59D11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 xml:space="preserve">1 </w:t>
            </w:r>
            <w:r w:rsidRPr="00E202A1">
              <w:rPr>
                <w:sz w:val="18"/>
                <w:szCs w:val="18"/>
              </w:rPr>
              <w:t>moderate only</w:t>
            </w:r>
            <w:r w:rsidRPr="00E202A1">
              <w:rPr>
                <w:sz w:val="18"/>
                <w:szCs w:val="18"/>
              </w:rPr>
              <w:br/>
              <w:t>n=68,038</w:t>
            </w:r>
          </w:p>
        </w:tc>
        <w:tc>
          <w:tcPr>
            <w:tcW w:w="2870" w:type="dxa"/>
          </w:tcPr>
          <w:p w14:paraId="752770BC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413,831 (21.1)</w:t>
            </w:r>
          </w:p>
        </w:tc>
        <w:tc>
          <w:tcPr>
            <w:tcW w:w="2871" w:type="dxa"/>
          </w:tcPr>
          <w:p w14:paraId="051CDB28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132.0 (131.6 – 132.4)</w:t>
            </w:r>
          </w:p>
        </w:tc>
        <w:tc>
          <w:tcPr>
            <w:tcW w:w="2870" w:type="dxa"/>
          </w:tcPr>
          <w:p w14:paraId="3F102E93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1.72 (1.70 – 1.74)</w:t>
            </w:r>
          </w:p>
        </w:tc>
        <w:tc>
          <w:tcPr>
            <w:tcW w:w="2871" w:type="dxa"/>
          </w:tcPr>
          <w:p w14:paraId="6AD79B36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1.70 (1.66 – 1.74)</w:t>
            </w:r>
          </w:p>
        </w:tc>
      </w:tr>
      <w:tr w:rsidR="00FD7416" w14:paraId="0B919EB2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598FED5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 xml:space="preserve">2 </w:t>
            </w:r>
            <w:proofErr w:type="gramStart"/>
            <w:r w:rsidRPr="00E202A1">
              <w:rPr>
                <w:sz w:val="18"/>
                <w:szCs w:val="18"/>
              </w:rPr>
              <w:t>moderate</w:t>
            </w:r>
            <w:proofErr w:type="gramEnd"/>
            <w:r w:rsidRPr="00E202A1">
              <w:rPr>
                <w:sz w:val="18"/>
                <w:szCs w:val="18"/>
              </w:rPr>
              <w:t xml:space="preserve"> only </w:t>
            </w:r>
            <w:r w:rsidRPr="00E202A1">
              <w:rPr>
                <w:sz w:val="18"/>
                <w:szCs w:val="18"/>
              </w:rPr>
              <w:br/>
              <w:t>n=31,825</w:t>
            </w:r>
          </w:p>
        </w:tc>
        <w:tc>
          <w:tcPr>
            <w:tcW w:w="2870" w:type="dxa"/>
          </w:tcPr>
          <w:p w14:paraId="19751A82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284,961 (14.5)</w:t>
            </w:r>
          </w:p>
        </w:tc>
        <w:tc>
          <w:tcPr>
            <w:tcW w:w="2871" w:type="dxa"/>
          </w:tcPr>
          <w:p w14:paraId="3C869AA2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182.2(181.5 – 182.9)</w:t>
            </w:r>
          </w:p>
        </w:tc>
        <w:tc>
          <w:tcPr>
            <w:tcW w:w="2870" w:type="dxa"/>
          </w:tcPr>
          <w:p w14:paraId="12E7158A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2.38 (2.25 – 2.41)</w:t>
            </w:r>
          </w:p>
        </w:tc>
        <w:tc>
          <w:tcPr>
            <w:tcW w:w="2871" w:type="dxa"/>
          </w:tcPr>
          <w:p w14:paraId="46321D0F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2.31 (2.24 – 2.37)</w:t>
            </w:r>
          </w:p>
        </w:tc>
      </w:tr>
      <w:tr w:rsidR="00FD7416" w14:paraId="58C24A43" w14:textId="77777777" w:rsidTr="00656F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C81C8C3" w14:textId="77777777" w:rsidR="00FD7416" w:rsidRPr="00E202A1" w:rsidRDefault="00FD7416" w:rsidP="00656FE7">
            <w:pPr>
              <w:spacing w:after="0" w:line="240" w:lineRule="auto"/>
              <w:rPr>
                <w:sz w:val="18"/>
                <w:szCs w:val="18"/>
              </w:rPr>
            </w:pPr>
            <w:r w:rsidRPr="00E202A1">
              <w:rPr>
                <w:sz w:val="18"/>
                <w:szCs w:val="18"/>
              </w:rPr>
              <w:t>≥3 moderate only</w:t>
            </w:r>
            <w:r w:rsidRPr="00E202A1">
              <w:rPr>
                <w:sz w:val="18"/>
                <w:szCs w:val="18"/>
              </w:rPr>
              <w:br/>
              <w:t>n=33,780</w:t>
            </w:r>
          </w:p>
        </w:tc>
        <w:tc>
          <w:tcPr>
            <w:tcW w:w="2870" w:type="dxa"/>
          </w:tcPr>
          <w:p w14:paraId="49FFC039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495,327 (25.2)</w:t>
            </w:r>
          </w:p>
        </w:tc>
        <w:tc>
          <w:tcPr>
            <w:tcW w:w="2871" w:type="dxa"/>
          </w:tcPr>
          <w:p w14:paraId="737E2D63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285.9 (185.1 – 286.7)</w:t>
            </w:r>
          </w:p>
        </w:tc>
        <w:tc>
          <w:tcPr>
            <w:tcW w:w="2870" w:type="dxa"/>
          </w:tcPr>
          <w:p w14:paraId="4AA01145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3.73 (3.69 – 3.78)</w:t>
            </w:r>
          </w:p>
        </w:tc>
        <w:tc>
          <w:tcPr>
            <w:tcW w:w="2871" w:type="dxa"/>
          </w:tcPr>
          <w:p w14:paraId="79C369E4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3.52 (3.43 – 3.62)</w:t>
            </w:r>
          </w:p>
        </w:tc>
      </w:tr>
      <w:tr w:rsidR="00FD7416" w14:paraId="378A12F3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0A7BEB0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1 severe</w:t>
            </w:r>
            <w:r w:rsidRPr="00E202A1">
              <w:rPr>
                <w:color w:val="000000"/>
                <w:sz w:val="18"/>
                <w:szCs w:val="18"/>
                <w:lang w:eastAsia="en-GB"/>
              </w:rPr>
              <w:br/>
              <w:t>n=19,194</w:t>
            </w:r>
          </w:p>
        </w:tc>
        <w:tc>
          <w:tcPr>
            <w:tcW w:w="2870" w:type="dxa"/>
          </w:tcPr>
          <w:p w14:paraId="2E4B3151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137,557 (7.0)</w:t>
            </w:r>
          </w:p>
        </w:tc>
        <w:tc>
          <w:tcPr>
            <w:tcW w:w="2871" w:type="dxa"/>
          </w:tcPr>
          <w:p w14:paraId="15AFBFED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230.2 (229.0 – 231.4)</w:t>
            </w:r>
          </w:p>
        </w:tc>
        <w:tc>
          <w:tcPr>
            <w:tcW w:w="2870" w:type="dxa"/>
          </w:tcPr>
          <w:p w14:paraId="1262B63A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 xml:space="preserve">3.01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E202A1">
              <w:rPr>
                <w:color w:val="000000"/>
                <w:sz w:val="18"/>
                <w:szCs w:val="18"/>
              </w:rPr>
              <w:t>2.95 – 3.06)</w:t>
            </w:r>
          </w:p>
        </w:tc>
        <w:tc>
          <w:tcPr>
            <w:tcW w:w="2871" w:type="dxa"/>
          </w:tcPr>
          <w:p w14:paraId="6FF57B5A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2.53 (2.44 – 2.63)</w:t>
            </w:r>
          </w:p>
        </w:tc>
      </w:tr>
      <w:tr w:rsidR="00FD7416" w14:paraId="6948C428" w14:textId="77777777" w:rsidTr="00656F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14:paraId="4705B371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2 severe</w:t>
            </w:r>
            <w:r w:rsidRPr="00E202A1">
              <w:rPr>
                <w:color w:val="000000"/>
                <w:sz w:val="18"/>
                <w:szCs w:val="18"/>
                <w:lang w:eastAsia="en-GB"/>
              </w:rPr>
              <w:br/>
            </w:r>
            <w:r w:rsidRPr="00E202A1">
              <w:rPr>
                <w:sz w:val="18"/>
                <w:szCs w:val="18"/>
              </w:rPr>
              <w:t>n=4,094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40C1D49C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30,128 (1.5)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6706475A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300.6 (297.2 – 304.0)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76EC2A00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3.93 (3.80 – 4.06)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5D1427D3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3.00 (2.79 – 3.22)</w:t>
            </w:r>
          </w:p>
        </w:tc>
      </w:tr>
      <w:tr w:rsidR="00FD7416" w14:paraId="1952651C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9A3210" w14:textId="77777777" w:rsidR="00FD7416" w:rsidRPr="00E202A1" w:rsidRDefault="00FD7416" w:rsidP="00656FE7">
            <w:pPr>
              <w:spacing w:after="0" w:line="240" w:lineRule="auto"/>
              <w:rPr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3 or more severe</w:t>
            </w:r>
          </w:p>
          <w:p w14:paraId="617F4922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sz w:val="18"/>
                <w:szCs w:val="18"/>
              </w:rPr>
              <w:t>n=2,408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14:paraId="6B257577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20,104 (1.0)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17184773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415.8 (410.1 – 421.6)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14:paraId="1979CBF0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5.43 (5.23 – 5.63)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14:paraId="709182C3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4.08 (3.75 – 4.43)</w:t>
            </w:r>
          </w:p>
        </w:tc>
      </w:tr>
    </w:tbl>
    <w:p w14:paraId="08FD96CD" w14:textId="77777777" w:rsidR="00FD7416" w:rsidRDefault="00FD7416" w:rsidP="00FD7416">
      <w:pPr>
        <w:rPr>
          <w:b/>
        </w:rPr>
      </w:pPr>
      <w:r w:rsidRPr="00DB1870">
        <w:rPr>
          <w:sz w:val="18"/>
          <w:szCs w:val="16"/>
        </w:rPr>
        <w:t xml:space="preserve">* Adjusted for all baseline characteristics </w:t>
      </w:r>
      <w:r>
        <w:rPr>
          <w:sz w:val="18"/>
          <w:szCs w:val="16"/>
        </w:rPr>
        <w:t>T</w:t>
      </w:r>
      <w:r w:rsidRPr="00DB1870">
        <w:rPr>
          <w:sz w:val="18"/>
          <w:szCs w:val="16"/>
        </w:rPr>
        <w:t xml:space="preserve">able </w:t>
      </w:r>
      <w:r>
        <w:rPr>
          <w:sz w:val="18"/>
          <w:szCs w:val="16"/>
        </w:rPr>
        <w:t xml:space="preserve">1.  </w:t>
      </w:r>
    </w:p>
    <w:p w14:paraId="038EEFB9" w14:textId="77777777" w:rsidR="00FD7416" w:rsidRDefault="00FD7416" w:rsidP="00FD7416"/>
    <w:p w14:paraId="1D8F36FE" w14:textId="77777777" w:rsidR="00FD7416" w:rsidRDefault="00FD7416" w:rsidP="00FD7416"/>
    <w:p w14:paraId="1A3D7D40" w14:textId="77777777" w:rsidR="00FD7416" w:rsidRDefault="00FD7416" w:rsidP="00FD7416"/>
    <w:p w14:paraId="43FAC4F6" w14:textId="77777777" w:rsidR="00FD7416" w:rsidRDefault="00FD7416" w:rsidP="00FD7416"/>
    <w:p w14:paraId="0662DA80" w14:textId="77777777" w:rsidR="00FD7416" w:rsidRDefault="00FD7416" w:rsidP="00FD7416"/>
    <w:p w14:paraId="19651EC5" w14:textId="77777777" w:rsidR="00FD7416" w:rsidRDefault="00FD7416" w:rsidP="00FD7416"/>
    <w:p w14:paraId="575A1CDE" w14:textId="77777777" w:rsidR="00FD7416" w:rsidRDefault="00FD7416" w:rsidP="00FD7416"/>
    <w:p w14:paraId="37125E6B" w14:textId="41628ECB" w:rsidR="00FD7416" w:rsidRPr="00E202A1" w:rsidRDefault="00FD7416" w:rsidP="00EB7520">
      <w:pPr>
        <w:pStyle w:val="Heading1"/>
        <w:rPr>
          <w:szCs w:val="22"/>
        </w:rPr>
      </w:pPr>
      <w:bookmarkStart w:id="4" w:name="_Toc90391200"/>
      <w:r>
        <w:lastRenderedPageBreak/>
        <w:t xml:space="preserve">Table </w:t>
      </w:r>
      <w:r w:rsidR="00EB7520">
        <w:t>E3</w:t>
      </w:r>
      <w:r>
        <w:t xml:space="preserve">. </w:t>
      </w:r>
      <w:r w:rsidRPr="00332875">
        <w:t xml:space="preserve">Incidence rates of moderate </w:t>
      </w:r>
      <w:r>
        <w:rPr>
          <w:lang w:val="en-US"/>
        </w:rPr>
        <w:t xml:space="preserve">exacerbation </w:t>
      </w:r>
      <w:r w:rsidRPr="00332875">
        <w:t xml:space="preserve">during follow-up </w:t>
      </w:r>
      <w:r w:rsidRPr="00F061CD">
        <w:t xml:space="preserve">and incidence rate ratio (IRR) comparing patients (N=340,515) categorized by </w:t>
      </w:r>
      <w:r>
        <w:t>b</w:t>
      </w:r>
      <w:r w:rsidRPr="00F061CD">
        <w:t xml:space="preserve">aseline frequency and severity of </w:t>
      </w:r>
      <w:r>
        <w:rPr>
          <w:lang w:val="en-US"/>
        </w:rPr>
        <w:t>exacerbation</w:t>
      </w:r>
      <w:bookmarkEnd w:id="4"/>
    </w:p>
    <w:tbl>
      <w:tblPr>
        <w:tblStyle w:val="PlainTable1"/>
        <w:tblW w:w="13467" w:type="dxa"/>
        <w:tblInd w:w="-5" w:type="dxa"/>
        <w:tblLook w:val="04A0" w:firstRow="1" w:lastRow="0" w:firstColumn="1" w:lastColumn="0" w:noHBand="0" w:noVBand="1"/>
      </w:tblPr>
      <w:tblGrid>
        <w:gridCol w:w="2127"/>
        <w:gridCol w:w="2625"/>
        <w:gridCol w:w="2905"/>
        <w:gridCol w:w="2905"/>
        <w:gridCol w:w="2905"/>
      </w:tblGrid>
      <w:tr w:rsidR="00FD7416" w:rsidRPr="007B53A9" w14:paraId="1BA2878A" w14:textId="77777777" w:rsidTr="00656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BD0CAE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sz w:val="18"/>
                <w:szCs w:val="18"/>
              </w:rPr>
              <w:t xml:space="preserve">Baseline </w:t>
            </w:r>
            <w:r>
              <w:rPr>
                <w:lang w:val="en-US"/>
              </w:rPr>
              <w:t>exacerbation</w:t>
            </w:r>
            <w:r w:rsidRPr="00E202A1">
              <w:rPr>
                <w:sz w:val="18"/>
                <w:szCs w:val="18"/>
              </w:rPr>
              <w:t>category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2D9C58F0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N events</w:t>
            </w:r>
            <w:r w:rsidRPr="00E202A1">
              <w:rPr>
                <w:bCs w:val="0"/>
                <w:sz w:val="18"/>
                <w:szCs w:val="18"/>
              </w:rPr>
              <w:br/>
              <w:t>n=1,681,909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20CADFA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Rate 100py</w:t>
            </w:r>
            <w:r w:rsidRPr="00E202A1">
              <w:rPr>
                <w:bCs w:val="0"/>
                <w:sz w:val="18"/>
                <w:szCs w:val="18"/>
                <w:vertAlign w:val="superscript"/>
              </w:rPr>
              <w:t xml:space="preserve"> </w:t>
            </w:r>
            <w:r w:rsidRPr="00E202A1">
              <w:rPr>
                <w:bCs w:val="0"/>
                <w:sz w:val="18"/>
                <w:szCs w:val="18"/>
              </w:rPr>
              <w:t>(95% CI)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1B7B31E7" w14:textId="77777777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 xml:space="preserve">Crude IRR (95% CI) </w:t>
            </w:r>
            <w:r w:rsidRPr="00E202A1">
              <w:rPr>
                <w:bCs w:val="0"/>
                <w:sz w:val="18"/>
                <w:szCs w:val="18"/>
              </w:rPr>
              <w:br/>
              <w:t>N=340,515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0363BD7" w14:textId="09890C39" w:rsidR="00FD7416" w:rsidRPr="00E202A1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202A1">
              <w:rPr>
                <w:bCs w:val="0"/>
                <w:sz w:val="18"/>
                <w:szCs w:val="18"/>
              </w:rPr>
              <w:t>Adjusted IRR</w:t>
            </w:r>
            <w:r w:rsidR="008563A9">
              <w:rPr>
                <w:bCs w:val="0"/>
                <w:sz w:val="18"/>
                <w:szCs w:val="18"/>
              </w:rPr>
              <w:t>*</w:t>
            </w:r>
            <w:r w:rsidRPr="00E202A1">
              <w:rPr>
                <w:bCs w:val="0"/>
                <w:sz w:val="18"/>
                <w:szCs w:val="18"/>
              </w:rPr>
              <w:t xml:space="preserve"> (95% CI) </w:t>
            </w:r>
            <w:r w:rsidRPr="00E202A1">
              <w:rPr>
                <w:bCs w:val="0"/>
                <w:sz w:val="18"/>
                <w:szCs w:val="18"/>
              </w:rPr>
              <w:br/>
              <w:t>N=86,306</w:t>
            </w:r>
          </w:p>
        </w:tc>
      </w:tr>
      <w:tr w:rsidR="00FD7416" w:rsidRPr="007B53A9" w14:paraId="0C524D79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14:paraId="45368A35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No</w:t>
            </w:r>
            <w:r>
              <w:rPr>
                <w:color w:val="000000"/>
                <w:sz w:val="18"/>
                <w:szCs w:val="18"/>
                <w:lang w:eastAsia="en-GB"/>
              </w:rPr>
              <w:t>ne</w:t>
            </w:r>
            <w:r w:rsidRPr="00E202A1">
              <w:rPr>
                <w:color w:val="000000"/>
                <w:sz w:val="18"/>
                <w:szCs w:val="18"/>
                <w:lang w:eastAsia="en-GB"/>
              </w:rPr>
              <w:br/>
              <w:t>n=181,176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5860DB42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485,552 (28.9)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14:paraId="16C8622C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64.0 (63.8 – 64.1)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14:paraId="206AFABE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 (ref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14:paraId="43220CD0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 (ref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FD7416" w:rsidRPr="007B53A9" w14:paraId="76826626" w14:textId="77777777" w:rsidTr="00656FE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72E07D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E202A1">
              <w:rPr>
                <w:color w:val="000000"/>
                <w:sz w:val="18"/>
                <w:szCs w:val="18"/>
                <w:lang w:eastAsia="en-GB"/>
              </w:rPr>
              <w:t xml:space="preserve">1 </w:t>
            </w:r>
            <w:r w:rsidRPr="00E202A1">
              <w:rPr>
                <w:sz w:val="18"/>
                <w:szCs w:val="18"/>
              </w:rPr>
              <w:t xml:space="preserve"> moderate</w:t>
            </w:r>
            <w:proofErr w:type="gramEnd"/>
            <w:r w:rsidRPr="00E202A1">
              <w:rPr>
                <w:sz w:val="18"/>
                <w:szCs w:val="18"/>
              </w:rPr>
              <w:t xml:space="preserve"> only</w:t>
            </w:r>
            <w:r w:rsidRPr="00E202A1">
              <w:rPr>
                <w:sz w:val="18"/>
                <w:szCs w:val="18"/>
              </w:rPr>
              <w:br/>
              <w:t>n=68,038</w:t>
            </w:r>
          </w:p>
        </w:tc>
        <w:tc>
          <w:tcPr>
            <w:tcW w:w="2625" w:type="dxa"/>
          </w:tcPr>
          <w:p w14:paraId="6E1B0AD3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460,265 (21.4)</w:t>
            </w:r>
          </w:p>
        </w:tc>
        <w:tc>
          <w:tcPr>
            <w:tcW w:w="2905" w:type="dxa"/>
          </w:tcPr>
          <w:p w14:paraId="1E7B44AE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114.9 (114.5 – 115.3)</w:t>
            </w:r>
          </w:p>
        </w:tc>
        <w:tc>
          <w:tcPr>
            <w:tcW w:w="2905" w:type="dxa"/>
          </w:tcPr>
          <w:p w14:paraId="7A067CC8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1.80 (1.77 – 1.82)</w:t>
            </w:r>
          </w:p>
        </w:tc>
        <w:tc>
          <w:tcPr>
            <w:tcW w:w="2905" w:type="dxa"/>
          </w:tcPr>
          <w:p w14:paraId="65EDFFFC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1.80 (1.76 – 1.85)</w:t>
            </w:r>
          </w:p>
        </w:tc>
      </w:tr>
      <w:tr w:rsidR="00FD7416" w:rsidRPr="007B53A9" w14:paraId="4866BE7F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395A676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E202A1">
              <w:rPr>
                <w:color w:val="000000"/>
                <w:sz w:val="18"/>
                <w:szCs w:val="18"/>
                <w:lang w:eastAsia="en-GB"/>
              </w:rPr>
              <w:t xml:space="preserve">2 </w:t>
            </w:r>
            <w:r w:rsidRPr="00E202A1">
              <w:rPr>
                <w:sz w:val="18"/>
                <w:szCs w:val="18"/>
              </w:rPr>
              <w:t xml:space="preserve"> moderate</w:t>
            </w:r>
            <w:proofErr w:type="gramEnd"/>
            <w:r w:rsidRPr="00E202A1">
              <w:rPr>
                <w:sz w:val="18"/>
                <w:szCs w:val="18"/>
              </w:rPr>
              <w:t xml:space="preserve"> only </w:t>
            </w:r>
            <w:r w:rsidRPr="00E202A1">
              <w:rPr>
                <w:sz w:val="18"/>
                <w:szCs w:val="18"/>
              </w:rPr>
              <w:br/>
              <w:t>n=31,825</w:t>
            </w:r>
          </w:p>
        </w:tc>
        <w:tc>
          <w:tcPr>
            <w:tcW w:w="2625" w:type="dxa"/>
          </w:tcPr>
          <w:p w14:paraId="1F1FAAA7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252,474 (15.0)</w:t>
            </w:r>
          </w:p>
        </w:tc>
        <w:tc>
          <w:tcPr>
            <w:tcW w:w="2905" w:type="dxa"/>
          </w:tcPr>
          <w:p w14:paraId="1CE27B79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161.4 (160.8 -162.1)</w:t>
            </w:r>
          </w:p>
        </w:tc>
        <w:tc>
          <w:tcPr>
            <w:tcW w:w="2905" w:type="dxa"/>
          </w:tcPr>
          <w:p w14:paraId="37A78A47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2.52 (2.49 – 2.55)</w:t>
            </w:r>
          </w:p>
        </w:tc>
        <w:tc>
          <w:tcPr>
            <w:tcW w:w="2905" w:type="dxa"/>
          </w:tcPr>
          <w:p w14:paraId="31709DE9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2.52 (2.44 – 2.59)</w:t>
            </w:r>
          </w:p>
        </w:tc>
      </w:tr>
      <w:tr w:rsidR="00FD7416" w:rsidRPr="007B53A9" w14:paraId="2E07BA9D" w14:textId="77777777" w:rsidTr="00656FE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8A6F996" w14:textId="77777777" w:rsidR="00FD7416" w:rsidRPr="00E202A1" w:rsidRDefault="00FD7416" w:rsidP="00656FE7">
            <w:pPr>
              <w:spacing w:after="0" w:line="240" w:lineRule="auto"/>
              <w:rPr>
                <w:sz w:val="18"/>
                <w:szCs w:val="18"/>
              </w:rPr>
            </w:pPr>
            <w:r w:rsidRPr="00E202A1">
              <w:rPr>
                <w:sz w:val="18"/>
                <w:szCs w:val="18"/>
              </w:rPr>
              <w:t>≥3 moderate only</w:t>
            </w:r>
            <w:r w:rsidRPr="00E202A1">
              <w:rPr>
                <w:sz w:val="18"/>
                <w:szCs w:val="18"/>
              </w:rPr>
              <w:br/>
              <w:t>n=33,780</w:t>
            </w:r>
          </w:p>
        </w:tc>
        <w:tc>
          <w:tcPr>
            <w:tcW w:w="2625" w:type="dxa"/>
          </w:tcPr>
          <w:p w14:paraId="28C1B51A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447,400 (26.0)</w:t>
            </w:r>
          </w:p>
        </w:tc>
        <w:tc>
          <w:tcPr>
            <w:tcW w:w="2905" w:type="dxa"/>
          </w:tcPr>
          <w:p w14:paraId="2A4D7678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258.3 (257.5 – 259.0)</w:t>
            </w:r>
          </w:p>
        </w:tc>
        <w:tc>
          <w:tcPr>
            <w:tcW w:w="2905" w:type="dxa"/>
          </w:tcPr>
          <w:p w14:paraId="78C6B321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4.04 (3.99 – 4.09)</w:t>
            </w:r>
          </w:p>
        </w:tc>
        <w:tc>
          <w:tcPr>
            <w:tcW w:w="2905" w:type="dxa"/>
          </w:tcPr>
          <w:p w14:paraId="79D2FB83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3.96 (3.85 – 4.08)</w:t>
            </w:r>
          </w:p>
        </w:tc>
      </w:tr>
      <w:tr w:rsidR="00FD7416" w:rsidRPr="007B53A9" w14:paraId="2EF97B8E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98EF3C5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1 severe</w:t>
            </w:r>
            <w:r w:rsidRPr="00E202A1">
              <w:rPr>
                <w:color w:val="000000"/>
                <w:sz w:val="18"/>
                <w:szCs w:val="18"/>
                <w:lang w:eastAsia="en-GB"/>
              </w:rPr>
              <w:br/>
              <w:t>n=19,194</w:t>
            </w:r>
          </w:p>
        </w:tc>
        <w:tc>
          <w:tcPr>
            <w:tcW w:w="2625" w:type="dxa"/>
          </w:tcPr>
          <w:p w14:paraId="7C2ACB7E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104,665 (6.2)</w:t>
            </w:r>
          </w:p>
        </w:tc>
        <w:tc>
          <w:tcPr>
            <w:tcW w:w="2905" w:type="dxa"/>
          </w:tcPr>
          <w:p w14:paraId="10CD9597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175.1 (174.1 – 176.2)</w:t>
            </w:r>
          </w:p>
        </w:tc>
        <w:tc>
          <w:tcPr>
            <w:tcW w:w="2905" w:type="dxa"/>
          </w:tcPr>
          <w:p w14:paraId="39F07C3A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2.74 (2.68 – 2.80)</w:t>
            </w:r>
          </w:p>
        </w:tc>
        <w:tc>
          <w:tcPr>
            <w:tcW w:w="2905" w:type="dxa"/>
          </w:tcPr>
          <w:p w14:paraId="59DA83A7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2.42 (2.31 – 2.53)</w:t>
            </w:r>
          </w:p>
        </w:tc>
      </w:tr>
      <w:tr w:rsidR="00FD7416" w:rsidRPr="007B53A9" w14:paraId="1836BC28" w14:textId="77777777" w:rsidTr="00656FE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14:paraId="3405C0EA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2 severe</w:t>
            </w:r>
            <w:r w:rsidRPr="00E202A1">
              <w:rPr>
                <w:color w:val="000000"/>
                <w:sz w:val="18"/>
                <w:szCs w:val="18"/>
                <w:lang w:eastAsia="en-GB"/>
              </w:rPr>
              <w:br/>
            </w:r>
            <w:r w:rsidRPr="00E202A1">
              <w:rPr>
                <w:sz w:val="18"/>
                <w:szCs w:val="18"/>
              </w:rPr>
              <w:t>n=4,094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BC6B20A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20,486 (1.2)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70A90C16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204.4 (201.6 – 207.2)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20419BC2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3.20 (3.07 – 3.33)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10012D62" w14:textId="77777777" w:rsidR="00FD7416" w:rsidRPr="00E202A1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2.49 (2.28 – 2.72)</w:t>
            </w:r>
          </w:p>
        </w:tc>
      </w:tr>
      <w:tr w:rsidR="00FD7416" w:rsidRPr="007B53A9" w14:paraId="438773F8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DCFCD0" w14:textId="77777777" w:rsidR="00FD7416" w:rsidRPr="00E202A1" w:rsidRDefault="00FD7416" w:rsidP="00656FE7">
            <w:pPr>
              <w:spacing w:after="0" w:line="240" w:lineRule="auto"/>
              <w:rPr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E202A1">
              <w:rPr>
                <w:color w:val="000000"/>
                <w:sz w:val="18"/>
                <w:szCs w:val="18"/>
                <w:lang w:eastAsia="en-GB"/>
              </w:rPr>
              <w:t>3 or more severe</w:t>
            </w:r>
          </w:p>
          <w:p w14:paraId="66DB6677" w14:textId="77777777" w:rsidR="00FD7416" w:rsidRPr="00E202A1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202A1">
              <w:rPr>
                <w:sz w:val="18"/>
                <w:szCs w:val="18"/>
              </w:rPr>
              <w:t>n=2,408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09F6D832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11,067 (0.7)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5DD0BE65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228.9 (224.7 – 233.2)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2C25066E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3.58 (3.40 – 3.77)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2374665B" w14:textId="77777777" w:rsidR="00FD7416" w:rsidRPr="00E202A1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202A1">
              <w:rPr>
                <w:color w:val="000000"/>
                <w:sz w:val="18"/>
                <w:szCs w:val="18"/>
              </w:rPr>
              <w:t>2.90 (2.58 – 3.26)</w:t>
            </w:r>
          </w:p>
        </w:tc>
      </w:tr>
    </w:tbl>
    <w:p w14:paraId="3E78D2CD" w14:textId="77777777" w:rsidR="00FD7416" w:rsidRPr="00DD6769" w:rsidRDefault="00FD7416" w:rsidP="00FD7416">
      <w:r w:rsidRPr="004F5F79">
        <w:rPr>
          <w:sz w:val="18"/>
          <w:szCs w:val="16"/>
        </w:rPr>
        <w:t xml:space="preserve">* Adjusted for all baseline characteristics listed in </w:t>
      </w:r>
      <w:r>
        <w:rPr>
          <w:sz w:val="18"/>
          <w:szCs w:val="16"/>
        </w:rPr>
        <w:t xml:space="preserve">Table 1. </w:t>
      </w:r>
      <w:r>
        <w:br/>
      </w:r>
    </w:p>
    <w:p w14:paraId="3C3BD6EB" w14:textId="77777777" w:rsidR="00FD7416" w:rsidRDefault="00FD7416" w:rsidP="00FD7416"/>
    <w:p w14:paraId="5EB0C40B" w14:textId="77777777" w:rsidR="00FD7416" w:rsidRDefault="00FD7416" w:rsidP="00FD7416"/>
    <w:p w14:paraId="3E5DCF8F" w14:textId="77777777" w:rsidR="00FD7416" w:rsidRDefault="00FD7416" w:rsidP="00FD7416"/>
    <w:p w14:paraId="2FF07A91" w14:textId="77777777" w:rsidR="00FD7416" w:rsidRDefault="00FD7416" w:rsidP="00FD7416"/>
    <w:p w14:paraId="379AC972" w14:textId="77777777" w:rsidR="00FD7416" w:rsidRDefault="00FD7416" w:rsidP="00FD7416"/>
    <w:p w14:paraId="482ED9CE" w14:textId="77777777" w:rsidR="00FD7416" w:rsidRDefault="00FD7416" w:rsidP="00FD7416"/>
    <w:p w14:paraId="486680F0" w14:textId="77777777" w:rsidR="00FD7416" w:rsidRDefault="00FD7416" w:rsidP="00FD7416"/>
    <w:p w14:paraId="1F6D4D82" w14:textId="77777777" w:rsidR="00FD7416" w:rsidRDefault="00FD7416" w:rsidP="00FD7416"/>
    <w:p w14:paraId="3F43314B" w14:textId="096A9B5B" w:rsidR="00FD7416" w:rsidRPr="00047278" w:rsidRDefault="00FD7416" w:rsidP="00EB7520">
      <w:pPr>
        <w:pStyle w:val="Heading1"/>
        <w:rPr>
          <w:szCs w:val="22"/>
        </w:rPr>
      </w:pPr>
      <w:bookmarkStart w:id="5" w:name="_Toc90391201"/>
      <w:r>
        <w:lastRenderedPageBreak/>
        <w:t xml:space="preserve">Table </w:t>
      </w:r>
      <w:r w:rsidR="00EB7520">
        <w:t>E4</w:t>
      </w:r>
      <w:r>
        <w:t xml:space="preserve">. </w:t>
      </w:r>
      <w:r w:rsidRPr="00D36CC4">
        <w:t xml:space="preserve">Incidence rates of severe </w:t>
      </w:r>
      <w:r>
        <w:rPr>
          <w:lang w:val="en-US"/>
        </w:rPr>
        <w:t>exacerbation</w:t>
      </w:r>
      <w:r w:rsidRPr="00D36CC4">
        <w:t xml:space="preserve"> during follow-up </w:t>
      </w:r>
      <w:r w:rsidRPr="00F43033">
        <w:t xml:space="preserve">and incidence rate ratio (IRR) comparing patients (N=340,515) categorized by baseline frequency and severity </w:t>
      </w:r>
      <w:r>
        <w:t xml:space="preserve">of </w:t>
      </w:r>
      <w:r>
        <w:rPr>
          <w:lang w:val="en-US"/>
        </w:rPr>
        <w:t>exacerbation</w:t>
      </w:r>
      <w:bookmarkEnd w:id="5"/>
    </w:p>
    <w:tbl>
      <w:tblPr>
        <w:tblStyle w:val="PlainTable1"/>
        <w:tblW w:w="13675" w:type="dxa"/>
        <w:tblInd w:w="-5" w:type="dxa"/>
        <w:tblLook w:val="04A0" w:firstRow="1" w:lastRow="0" w:firstColumn="1" w:lastColumn="0" w:noHBand="0" w:noVBand="1"/>
      </w:tblPr>
      <w:tblGrid>
        <w:gridCol w:w="2268"/>
        <w:gridCol w:w="2851"/>
        <w:gridCol w:w="2852"/>
        <w:gridCol w:w="2852"/>
        <w:gridCol w:w="2852"/>
      </w:tblGrid>
      <w:tr w:rsidR="00FD7416" w14:paraId="04883C99" w14:textId="77777777" w:rsidTr="00656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6E583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F7D7F">
              <w:rPr>
                <w:sz w:val="18"/>
                <w:szCs w:val="18"/>
              </w:rPr>
              <w:t xml:space="preserve">Baseline </w:t>
            </w:r>
            <w:r>
              <w:rPr>
                <w:lang w:val="en-US"/>
              </w:rPr>
              <w:t xml:space="preserve">exacerbation </w:t>
            </w:r>
            <w:r w:rsidRPr="00EF7D7F">
              <w:rPr>
                <w:sz w:val="18"/>
                <w:szCs w:val="18"/>
              </w:rPr>
              <w:t>category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14:paraId="5C5F8F35" w14:textId="77777777" w:rsidR="00FD7416" w:rsidRPr="00047278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047278">
              <w:rPr>
                <w:bCs w:val="0"/>
                <w:sz w:val="18"/>
                <w:szCs w:val="18"/>
              </w:rPr>
              <w:t>N events during follow-up</w:t>
            </w:r>
            <w:r w:rsidRPr="00047278">
              <w:rPr>
                <w:bCs w:val="0"/>
                <w:sz w:val="18"/>
                <w:szCs w:val="18"/>
              </w:rPr>
              <w:br/>
              <w:t>n=281,359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5905BC12" w14:textId="77777777" w:rsidR="00FD7416" w:rsidRPr="00047278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047278">
              <w:rPr>
                <w:bCs w:val="0"/>
                <w:sz w:val="18"/>
                <w:szCs w:val="18"/>
              </w:rPr>
              <w:t>Rate 100py</w:t>
            </w:r>
            <w:r w:rsidRPr="00047278">
              <w:rPr>
                <w:bCs w:val="0"/>
                <w:sz w:val="18"/>
                <w:szCs w:val="18"/>
                <w:vertAlign w:val="superscript"/>
              </w:rPr>
              <w:t xml:space="preserve"> </w:t>
            </w:r>
            <w:r w:rsidRPr="00047278">
              <w:rPr>
                <w:bCs w:val="0"/>
                <w:sz w:val="18"/>
                <w:szCs w:val="18"/>
              </w:rPr>
              <w:t>(95% CI)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4C0CD3E2" w14:textId="77777777" w:rsidR="00FD7416" w:rsidRPr="00047278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047278">
              <w:rPr>
                <w:bCs w:val="0"/>
                <w:sz w:val="18"/>
                <w:szCs w:val="18"/>
              </w:rPr>
              <w:t xml:space="preserve">Crude IRR (95% CI)  </w:t>
            </w:r>
            <w:r w:rsidRPr="00047278">
              <w:rPr>
                <w:bCs w:val="0"/>
                <w:sz w:val="18"/>
                <w:szCs w:val="18"/>
              </w:rPr>
              <w:br/>
              <w:t>N=340,515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23295AAC" w14:textId="69A68B7F" w:rsidR="00FD7416" w:rsidRPr="00047278" w:rsidRDefault="00FD7416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047278">
              <w:rPr>
                <w:bCs w:val="0"/>
                <w:sz w:val="18"/>
                <w:szCs w:val="18"/>
              </w:rPr>
              <w:t>Adjusted IRR</w:t>
            </w:r>
            <w:r w:rsidR="008563A9">
              <w:rPr>
                <w:bCs w:val="0"/>
                <w:sz w:val="18"/>
                <w:szCs w:val="18"/>
              </w:rPr>
              <w:t>*</w:t>
            </w:r>
            <w:r w:rsidRPr="00047278">
              <w:rPr>
                <w:bCs w:val="0"/>
                <w:sz w:val="18"/>
                <w:szCs w:val="18"/>
              </w:rPr>
              <w:t xml:space="preserve"> (95% CI) </w:t>
            </w:r>
            <w:r w:rsidRPr="00047278">
              <w:rPr>
                <w:bCs w:val="0"/>
                <w:sz w:val="18"/>
                <w:szCs w:val="18"/>
              </w:rPr>
              <w:br/>
              <w:t>N=86,306</w:t>
            </w:r>
          </w:p>
        </w:tc>
      </w:tr>
      <w:tr w:rsidR="00FD7416" w14:paraId="5EF5E580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14:paraId="79897153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  <w:lang w:eastAsia="en-GB"/>
              </w:rPr>
              <w:t>No</w:t>
            </w:r>
            <w:r>
              <w:rPr>
                <w:color w:val="000000"/>
                <w:sz w:val="18"/>
                <w:szCs w:val="18"/>
                <w:lang w:eastAsia="en-GB"/>
              </w:rPr>
              <w:t>ne</w:t>
            </w:r>
            <w:r w:rsidRPr="00EF7D7F">
              <w:rPr>
                <w:color w:val="000000"/>
                <w:sz w:val="18"/>
                <w:szCs w:val="18"/>
                <w:lang w:eastAsia="en-GB"/>
              </w:rPr>
              <w:br/>
              <w:t>n=181,176</w:t>
            </w:r>
          </w:p>
        </w:tc>
        <w:tc>
          <w:tcPr>
            <w:tcW w:w="2851" w:type="dxa"/>
            <w:tcBorders>
              <w:top w:val="single" w:sz="4" w:space="0" w:color="auto"/>
            </w:tcBorders>
          </w:tcPr>
          <w:p w14:paraId="28CD82C0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95,808 (34.1)</w:t>
            </w: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6F1DD47E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12.6 (12.5 – 12.7)</w:t>
            </w: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666DD052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1DDDBF05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 (ref)</w:t>
            </w:r>
          </w:p>
        </w:tc>
      </w:tr>
      <w:tr w:rsidR="00FD7416" w14:paraId="625D5BED" w14:textId="77777777" w:rsidTr="00656FE7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A7252AB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EF7D7F">
              <w:rPr>
                <w:color w:val="000000"/>
                <w:sz w:val="18"/>
                <w:szCs w:val="18"/>
                <w:lang w:eastAsia="en-GB"/>
              </w:rPr>
              <w:t xml:space="preserve">1 </w:t>
            </w:r>
            <w:r w:rsidRPr="00EF7D7F">
              <w:rPr>
                <w:sz w:val="18"/>
                <w:szCs w:val="18"/>
              </w:rPr>
              <w:t xml:space="preserve"> moderate</w:t>
            </w:r>
            <w:proofErr w:type="gramEnd"/>
            <w:r w:rsidRPr="00EF7D7F">
              <w:rPr>
                <w:sz w:val="18"/>
                <w:szCs w:val="18"/>
              </w:rPr>
              <w:t xml:space="preserve"> only</w:t>
            </w:r>
            <w:r w:rsidRPr="00EF7D7F">
              <w:rPr>
                <w:sz w:val="18"/>
                <w:szCs w:val="18"/>
              </w:rPr>
              <w:br/>
              <w:t>n=68,038</w:t>
            </w:r>
          </w:p>
        </w:tc>
        <w:tc>
          <w:tcPr>
            <w:tcW w:w="2851" w:type="dxa"/>
          </w:tcPr>
          <w:p w14:paraId="2EDA2491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53,566 (19.0)</w:t>
            </w:r>
          </w:p>
        </w:tc>
        <w:tc>
          <w:tcPr>
            <w:tcW w:w="2852" w:type="dxa"/>
          </w:tcPr>
          <w:p w14:paraId="01B99C3B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17.1 (16.9 – 17.2)</w:t>
            </w:r>
          </w:p>
        </w:tc>
        <w:tc>
          <w:tcPr>
            <w:tcW w:w="2852" w:type="dxa"/>
          </w:tcPr>
          <w:p w14:paraId="48AB36D6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1.35 (1.33 – 1.38)</w:t>
            </w:r>
          </w:p>
        </w:tc>
        <w:tc>
          <w:tcPr>
            <w:tcW w:w="2852" w:type="dxa"/>
          </w:tcPr>
          <w:p w14:paraId="6B637A72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1.27 (1.21 – 1.32)</w:t>
            </w:r>
          </w:p>
        </w:tc>
      </w:tr>
      <w:tr w:rsidR="00FD7416" w14:paraId="2FF9B17D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9C7E52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EF7D7F">
              <w:rPr>
                <w:color w:val="000000"/>
                <w:sz w:val="18"/>
                <w:szCs w:val="18"/>
                <w:lang w:eastAsia="en-GB"/>
              </w:rPr>
              <w:t xml:space="preserve">2 </w:t>
            </w:r>
            <w:r w:rsidRPr="00EF7D7F">
              <w:rPr>
                <w:sz w:val="18"/>
                <w:szCs w:val="18"/>
              </w:rPr>
              <w:t xml:space="preserve"> moderate</w:t>
            </w:r>
            <w:proofErr w:type="gramEnd"/>
            <w:r w:rsidRPr="00EF7D7F">
              <w:rPr>
                <w:sz w:val="18"/>
                <w:szCs w:val="18"/>
              </w:rPr>
              <w:t xml:space="preserve"> only </w:t>
            </w:r>
            <w:r w:rsidRPr="00EF7D7F">
              <w:rPr>
                <w:sz w:val="18"/>
                <w:szCs w:val="18"/>
              </w:rPr>
              <w:br/>
              <w:t>n=31,825</w:t>
            </w:r>
          </w:p>
        </w:tc>
        <w:tc>
          <w:tcPr>
            <w:tcW w:w="2851" w:type="dxa"/>
          </w:tcPr>
          <w:p w14:paraId="38A6E6DB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32,487 (11.6)</w:t>
            </w:r>
          </w:p>
        </w:tc>
        <w:tc>
          <w:tcPr>
            <w:tcW w:w="2852" w:type="dxa"/>
          </w:tcPr>
          <w:p w14:paraId="75F33BF1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20.8 (20.5 – 21.0)</w:t>
            </w:r>
          </w:p>
        </w:tc>
        <w:tc>
          <w:tcPr>
            <w:tcW w:w="2852" w:type="dxa"/>
          </w:tcPr>
          <w:p w14:paraId="0F4F8B55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1.64 (1.61 – 1.69)</w:t>
            </w:r>
          </w:p>
        </w:tc>
        <w:tc>
          <w:tcPr>
            <w:tcW w:w="2852" w:type="dxa"/>
          </w:tcPr>
          <w:p w14:paraId="79A0FC3D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1.45 (1.38 – 1.53)</w:t>
            </w:r>
          </w:p>
        </w:tc>
      </w:tr>
      <w:tr w:rsidR="00FD7416" w14:paraId="3DD59975" w14:textId="77777777" w:rsidTr="00656FE7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91ACFAB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F7D7F">
              <w:rPr>
                <w:sz w:val="18"/>
                <w:szCs w:val="18"/>
              </w:rPr>
              <w:t>≥3 moderate only</w:t>
            </w:r>
            <w:r w:rsidRPr="00EF7D7F">
              <w:rPr>
                <w:sz w:val="18"/>
                <w:szCs w:val="18"/>
              </w:rPr>
              <w:br/>
              <w:t>n=33,780</w:t>
            </w:r>
          </w:p>
        </w:tc>
        <w:tc>
          <w:tcPr>
            <w:tcW w:w="2851" w:type="dxa"/>
          </w:tcPr>
          <w:p w14:paraId="349DA2FF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47,927 (17.0)</w:t>
            </w:r>
          </w:p>
        </w:tc>
        <w:tc>
          <w:tcPr>
            <w:tcW w:w="2852" w:type="dxa"/>
          </w:tcPr>
          <w:p w14:paraId="1E82DC3E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27.7 (27.4 – 27.9)</w:t>
            </w:r>
          </w:p>
        </w:tc>
        <w:tc>
          <w:tcPr>
            <w:tcW w:w="2852" w:type="dxa"/>
          </w:tcPr>
          <w:p w14:paraId="1D47F491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2.19 (2.14 – 2.24)</w:t>
            </w:r>
          </w:p>
        </w:tc>
        <w:tc>
          <w:tcPr>
            <w:tcW w:w="2852" w:type="dxa"/>
          </w:tcPr>
          <w:p w14:paraId="6C7E216F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1.80 (1.71 – 1.89)</w:t>
            </w:r>
          </w:p>
        </w:tc>
      </w:tr>
      <w:tr w:rsidR="00FD7416" w14:paraId="5BAC05BB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6CFA57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  <w:lang w:eastAsia="en-GB"/>
              </w:rPr>
              <w:t>1 severe</w:t>
            </w:r>
            <w:r w:rsidRPr="00EF7D7F">
              <w:rPr>
                <w:color w:val="000000"/>
                <w:sz w:val="18"/>
                <w:szCs w:val="18"/>
                <w:lang w:eastAsia="en-GB"/>
              </w:rPr>
              <w:br/>
              <w:t>n=19,194</w:t>
            </w:r>
          </w:p>
        </w:tc>
        <w:tc>
          <w:tcPr>
            <w:tcW w:w="2851" w:type="dxa"/>
          </w:tcPr>
          <w:p w14:paraId="5DCCB777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32,892 (11.7)</w:t>
            </w:r>
          </w:p>
        </w:tc>
        <w:tc>
          <w:tcPr>
            <w:tcW w:w="2852" w:type="dxa"/>
          </w:tcPr>
          <w:p w14:paraId="11A74499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55.0 (54.5 – 55.6)</w:t>
            </w:r>
          </w:p>
        </w:tc>
        <w:tc>
          <w:tcPr>
            <w:tcW w:w="2852" w:type="dxa"/>
          </w:tcPr>
          <w:p w14:paraId="58FF586E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4.36 (4.25 – 4.48)</w:t>
            </w:r>
          </w:p>
        </w:tc>
        <w:tc>
          <w:tcPr>
            <w:tcW w:w="2852" w:type="dxa"/>
          </w:tcPr>
          <w:p w14:paraId="56F04C4D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2.70 (2.57 – 2.85)</w:t>
            </w:r>
          </w:p>
        </w:tc>
      </w:tr>
      <w:tr w:rsidR="00FD7416" w14:paraId="01EF4FC4" w14:textId="77777777" w:rsidTr="00656FE7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14:paraId="7164B604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  <w:lang w:eastAsia="en-GB"/>
              </w:rPr>
              <w:t>2 severe</w:t>
            </w:r>
            <w:r w:rsidRPr="00EF7D7F">
              <w:rPr>
                <w:color w:val="000000"/>
                <w:sz w:val="18"/>
                <w:szCs w:val="18"/>
                <w:lang w:eastAsia="en-GB"/>
              </w:rPr>
              <w:br/>
            </w:r>
            <w:r w:rsidRPr="00EF7D7F">
              <w:rPr>
                <w:sz w:val="18"/>
                <w:szCs w:val="18"/>
              </w:rPr>
              <w:t>n=4,094</w:t>
            </w: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14:paraId="3FA7A48D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9,642 (3.4)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1D607AAF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96.2 (94.3 – 98.1)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194F4DAA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7.62 (7.28 – 7.98)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12632E2E" w14:textId="77777777" w:rsidR="00FD7416" w:rsidRPr="00EF7D7F" w:rsidRDefault="00FD7416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4.10 (3.71- 4.52)</w:t>
            </w:r>
          </w:p>
        </w:tc>
      </w:tr>
      <w:tr w:rsidR="00FD7416" w14:paraId="3EDDDD03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D3B664" w14:textId="77777777" w:rsidR="00FD7416" w:rsidRPr="00EF7D7F" w:rsidRDefault="00FD7416" w:rsidP="00656FE7">
            <w:pPr>
              <w:spacing w:after="0" w:line="240" w:lineRule="auto"/>
              <w:rPr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EF7D7F">
              <w:rPr>
                <w:color w:val="000000"/>
                <w:sz w:val="18"/>
                <w:szCs w:val="18"/>
                <w:lang w:eastAsia="en-GB"/>
              </w:rPr>
              <w:t>3 or more severe</w:t>
            </w:r>
          </w:p>
          <w:p w14:paraId="59091044" w14:textId="77777777" w:rsidR="00FD7416" w:rsidRPr="00EF7D7F" w:rsidRDefault="00FD7416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F7D7F">
              <w:rPr>
                <w:sz w:val="18"/>
                <w:szCs w:val="18"/>
              </w:rPr>
              <w:t>n=2,408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14:paraId="4BC1EDCC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9,037 (3.2)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69CC96EE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186. (183.1-190.8)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68C710E9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14.81 (14.06 – 15.60)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37E09C6D" w14:textId="77777777" w:rsidR="00FD7416" w:rsidRPr="00EF7D7F" w:rsidRDefault="00FD7416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F7D7F">
              <w:rPr>
                <w:color w:val="000000"/>
                <w:sz w:val="18"/>
                <w:szCs w:val="18"/>
              </w:rPr>
              <w:t>6.35 (5.63 – 7.17)</w:t>
            </w:r>
          </w:p>
        </w:tc>
      </w:tr>
    </w:tbl>
    <w:p w14:paraId="607486A4" w14:textId="77777777" w:rsidR="00FD7416" w:rsidRDefault="00FD7416" w:rsidP="00FD7416">
      <w:r w:rsidRPr="00DD6769">
        <w:t xml:space="preserve">* Adjusted for </w:t>
      </w:r>
      <w:r>
        <w:t>all baseline characteristics listed in Table 1.</w:t>
      </w:r>
    </w:p>
    <w:p w14:paraId="715E3783" w14:textId="77777777" w:rsidR="00FD7416" w:rsidRDefault="00FD7416" w:rsidP="00FD7416"/>
    <w:p w14:paraId="4684990C" w14:textId="77777777" w:rsidR="00FD7416" w:rsidRDefault="00FD7416" w:rsidP="00FD7416"/>
    <w:p w14:paraId="67F02FF5" w14:textId="381C0197" w:rsidR="00FD7416" w:rsidRDefault="00FD7416" w:rsidP="00FD7416"/>
    <w:p w14:paraId="2575CF01" w14:textId="77777777" w:rsidR="00BB6BFF" w:rsidRDefault="00BB6BFF" w:rsidP="00FD7416"/>
    <w:p w14:paraId="6EA51B84" w14:textId="4F1D9309" w:rsidR="00BB6BFF" w:rsidRDefault="00BB6BFF" w:rsidP="00FD7416"/>
    <w:p w14:paraId="64FBAFFD" w14:textId="5D47AF71" w:rsidR="00BB6BFF" w:rsidRPr="009F499D" w:rsidRDefault="00BB6BFF" w:rsidP="00BB6BFF">
      <w:pPr>
        <w:pStyle w:val="Heading1"/>
        <w:rPr>
          <w:szCs w:val="22"/>
        </w:rPr>
      </w:pPr>
      <w:bookmarkStart w:id="6" w:name="_Toc90391202"/>
      <w:r>
        <w:lastRenderedPageBreak/>
        <w:t xml:space="preserve">Table E5. </w:t>
      </w:r>
      <w:r w:rsidRPr="00FC703C">
        <w:t>Incidence rates of all-cause mortality</w:t>
      </w:r>
      <w:r>
        <w:t>, COPD related mortality and cardiovascular related mortality</w:t>
      </w:r>
      <w:r w:rsidRPr="00FC703C">
        <w:t xml:space="preserve"> during follow-up and incidence rate ratio (IRR) comparing patients categorized by baseline frequency and severity of </w:t>
      </w:r>
      <w:r>
        <w:rPr>
          <w:lang w:val="en-US"/>
        </w:rPr>
        <w:t>exacerbation</w:t>
      </w:r>
      <w:r>
        <w:t>.</w:t>
      </w:r>
      <w:bookmarkEnd w:id="6"/>
    </w:p>
    <w:tbl>
      <w:tblPr>
        <w:tblStyle w:val="PlainTable1"/>
        <w:tblW w:w="15187" w:type="dxa"/>
        <w:tblInd w:w="-905" w:type="dxa"/>
        <w:tblLook w:val="04A0" w:firstRow="1" w:lastRow="0" w:firstColumn="1" w:lastColumn="0" w:noHBand="0" w:noVBand="1"/>
      </w:tblPr>
      <w:tblGrid>
        <w:gridCol w:w="1916"/>
        <w:gridCol w:w="2211"/>
        <w:gridCol w:w="2212"/>
        <w:gridCol w:w="2212"/>
        <w:gridCol w:w="2212"/>
        <w:gridCol w:w="2212"/>
        <w:gridCol w:w="2212"/>
      </w:tblGrid>
      <w:tr w:rsidR="00BB6BFF" w:rsidRPr="004920A3" w14:paraId="377C4E3E" w14:textId="77777777" w:rsidTr="00656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269B6C08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23" w:type="dxa"/>
            <w:gridSpan w:val="2"/>
          </w:tcPr>
          <w:p w14:paraId="338C30B2" w14:textId="77777777" w:rsidR="00BB6BFF" w:rsidRPr="004920A3" w:rsidRDefault="00BB6BFF" w:rsidP="00656FE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D2918">
              <w:rPr>
                <w:sz w:val="18"/>
                <w:szCs w:val="18"/>
              </w:rPr>
              <w:t>All-cause mortality</w:t>
            </w:r>
          </w:p>
        </w:tc>
        <w:tc>
          <w:tcPr>
            <w:tcW w:w="4424" w:type="dxa"/>
            <w:gridSpan w:val="2"/>
          </w:tcPr>
          <w:p w14:paraId="2434E293" w14:textId="77777777" w:rsidR="00BB6BFF" w:rsidRPr="004920A3" w:rsidRDefault="00BB6BFF" w:rsidP="00656FE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COPD related mortality</w:t>
            </w:r>
          </w:p>
        </w:tc>
        <w:tc>
          <w:tcPr>
            <w:tcW w:w="4424" w:type="dxa"/>
            <w:gridSpan w:val="2"/>
          </w:tcPr>
          <w:p w14:paraId="1BE4E6F0" w14:textId="77777777" w:rsidR="00BB6BFF" w:rsidRPr="004920A3" w:rsidRDefault="00BB6BFF" w:rsidP="00656FE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Cardiovascular related mortality</w:t>
            </w:r>
          </w:p>
        </w:tc>
      </w:tr>
      <w:tr w:rsidR="00BB6BFF" w:rsidRPr="004920A3" w14:paraId="14907D4C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6D27E2F" w14:textId="77777777" w:rsidR="00BB6BFF" w:rsidRPr="00C23F8F" w:rsidRDefault="00BB6BFF" w:rsidP="00656FE7">
            <w:pPr>
              <w:spacing w:after="0"/>
              <w:rPr>
                <w:sz w:val="18"/>
                <w:szCs w:val="18"/>
              </w:rPr>
            </w:pPr>
            <w:bookmarkStart w:id="7" w:name="_Hlk71898416"/>
            <w:r w:rsidRPr="00C23F8F">
              <w:rPr>
                <w:sz w:val="18"/>
                <w:szCs w:val="18"/>
              </w:rPr>
              <w:t xml:space="preserve">Baseline </w:t>
            </w:r>
            <w:r w:rsidRPr="00C23F8F">
              <w:rPr>
                <w:sz w:val="18"/>
                <w:szCs w:val="18"/>
                <w:lang w:val="en-US"/>
              </w:rPr>
              <w:t xml:space="preserve">exacerbation </w:t>
            </w:r>
            <w:r w:rsidRPr="00C23F8F">
              <w:rPr>
                <w:sz w:val="18"/>
                <w:szCs w:val="18"/>
              </w:rPr>
              <w:t>category</w:t>
            </w:r>
          </w:p>
        </w:tc>
        <w:tc>
          <w:tcPr>
            <w:tcW w:w="2211" w:type="dxa"/>
          </w:tcPr>
          <w:p w14:paraId="443FACDD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20A3">
              <w:rPr>
                <w:b/>
                <w:bCs/>
                <w:sz w:val="18"/>
                <w:szCs w:val="18"/>
              </w:rPr>
              <w:t>N of deaths</w:t>
            </w:r>
          </w:p>
          <w:p w14:paraId="59D76151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20A3">
              <w:rPr>
                <w:b/>
                <w:bCs/>
                <w:sz w:val="18"/>
                <w:szCs w:val="18"/>
              </w:rPr>
              <w:t>n=109,209</w:t>
            </w:r>
          </w:p>
        </w:tc>
        <w:tc>
          <w:tcPr>
            <w:tcW w:w="2212" w:type="dxa"/>
          </w:tcPr>
          <w:p w14:paraId="36BD41C2" w14:textId="35426818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Adjusted IRR</w:t>
            </w:r>
            <w:r w:rsidR="008563A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 xml:space="preserve"> (95% CI)</w:t>
            </w:r>
            <w:r>
              <w:rPr>
                <w:b/>
                <w:bCs/>
                <w:sz w:val="18"/>
                <w:szCs w:val="18"/>
              </w:rPr>
              <w:br/>
              <w:t>N=86,306</w:t>
            </w:r>
          </w:p>
        </w:tc>
        <w:tc>
          <w:tcPr>
            <w:tcW w:w="2212" w:type="dxa"/>
          </w:tcPr>
          <w:p w14:paraId="15908772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20A3">
              <w:rPr>
                <w:b/>
                <w:bCs/>
                <w:sz w:val="18"/>
                <w:szCs w:val="18"/>
              </w:rPr>
              <w:t>N of deaths</w:t>
            </w:r>
          </w:p>
          <w:p w14:paraId="64A8DD54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20A3">
              <w:rPr>
                <w:b/>
                <w:bCs/>
                <w:sz w:val="18"/>
                <w:szCs w:val="18"/>
              </w:rPr>
              <w:t>n=22,437</w:t>
            </w:r>
          </w:p>
        </w:tc>
        <w:tc>
          <w:tcPr>
            <w:tcW w:w="2212" w:type="dxa"/>
          </w:tcPr>
          <w:p w14:paraId="3D3FD335" w14:textId="4FA03C35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20A3">
              <w:rPr>
                <w:b/>
                <w:bCs/>
                <w:sz w:val="18"/>
                <w:szCs w:val="18"/>
              </w:rPr>
              <w:t>Adjusted IRR</w:t>
            </w:r>
            <w:r w:rsidR="008563A9">
              <w:rPr>
                <w:b/>
                <w:bCs/>
                <w:sz w:val="18"/>
                <w:szCs w:val="18"/>
              </w:rPr>
              <w:t>*</w:t>
            </w:r>
            <w:r w:rsidRPr="004920A3">
              <w:rPr>
                <w:b/>
                <w:bCs/>
                <w:sz w:val="18"/>
                <w:szCs w:val="18"/>
              </w:rPr>
              <w:t xml:space="preserve"> (95% CI)</w:t>
            </w:r>
            <w:r w:rsidRPr="004920A3">
              <w:rPr>
                <w:b/>
                <w:bCs/>
                <w:sz w:val="18"/>
                <w:szCs w:val="18"/>
              </w:rPr>
              <w:br/>
              <w:t>N=86,306</w:t>
            </w:r>
          </w:p>
        </w:tc>
        <w:tc>
          <w:tcPr>
            <w:tcW w:w="2212" w:type="dxa"/>
          </w:tcPr>
          <w:p w14:paraId="54965D1D" w14:textId="77777777" w:rsidR="00BB6BFF" w:rsidRPr="000D2918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D2918">
              <w:rPr>
                <w:b/>
                <w:bCs/>
                <w:sz w:val="18"/>
                <w:szCs w:val="18"/>
              </w:rPr>
              <w:t>N of deaths</w:t>
            </w:r>
          </w:p>
          <w:p w14:paraId="277EF89B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D2918">
              <w:rPr>
                <w:b/>
                <w:bCs/>
                <w:sz w:val="18"/>
                <w:szCs w:val="18"/>
              </w:rPr>
              <w:t>n=8,169</w:t>
            </w:r>
          </w:p>
        </w:tc>
        <w:tc>
          <w:tcPr>
            <w:tcW w:w="2212" w:type="dxa"/>
          </w:tcPr>
          <w:p w14:paraId="4D140855" w14:textId="1B9C33C0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920A3">
              <w:rPr>
                <w:b/>
                <w:bCs/>
                <w:sz w:val="18"/>
                <w:szCs w:val="18"/>
              </w:rPr>
              <w:t>Adjusted IRR</w:t>
            </w:r>
            <w:proofErr w:type="gramStart"/>
            <w:r w:rsidR="008563A9">
              <w:rPr>
                <w:b/>
                <w:bCs/>
                <w:sz w:val="18"/>
                <w:szCs w:val="18"/>
              </w:rPr>
              <w:t xml:space="preserve">* </w:t>
            </w:r>
            <w:r w:rsidRPr="004920A3">
              <w:rPr>
                <w:b/>
                <w:bCs/>
                <w:sz w:val="18"/>
                <w:szCs w:val="18"/>
              </w:rPr>
              <w:t xml:space="preserve"> (</w:t>
            </w:r>
            <w:proofErr w:type="gramEnd"/>
            <w:r w:rsidRPr="004920A3">
              <w:rPr>
                <w:b/>
                <w:bCs/>
                <w:sz w:val="18"/>
                <w:szCs w:val="18"/>
              </w:rPr>
              <w:t>95% CI)</w:t>
            </w:r>
            <w:r w:rsidRPr="004920A3">
              <w:rPr>
                <w:b/>
                <w:bCs/>
                <w:sz w:val="18"/>
                <w:szCs w:val="18"/>
              </w:rPr>
              <w:br/>
              <w:t>N=86,306</w:t>
            </w:r>
          </w:p>
        </w:tc>
      </w:tr>
      <w:tr w:rsidR="00BB6BFF" w:rsidRPr="004920A3" w14:paraId="525E0027" w14:textId="77777777" w:rsidTr="00656FE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6238CFA" w14:textId="77777777" w:rsidR="00BB6BFF" w:rsidRPr="00C23F8F" w:rsidRDefault="00BB6BFF" w:rsidP="00656FE7">
            <w:pPr>
              <w:spacing w:after="0"/>
              <w:rPr>
                <w:sz w:val="18"/>
                <w:szCs w:val="18"/>
              </w:rPr>
            </w:pPr>
            <w:r w:rsidRPr="00C23F8F">
              <w:rPr>
                <w:color w:val="000000"/>
                <w:sz w:val="18"/>
                <w:szCs w:val="18"/>
                <w:lang w:eastAsia="en-GB"/>
              </w:rPr>
              <w:t xml:space="preserve">No </w:t>
            </w:r>
            <w:r w:rsidRPr="00C23F8F">
              <w:rPr>
                <w:sz w:val="18"/>
                <w:szCs w:val="18"/>
                <w:lang w:val="en-US"/>
              </w:rPr>
              <w:t>exacerbation</w:t>
            </w:r>
          </w:p>
        </w:tc>
        <w:tc>
          <w:tcPr>
            <w:tcW w:w="2211" w:type="dxa"/>
          </w:tcPr>
          <w:p w14:paraId="1CE4076C" w14:textId="77777777" w:rsidR="00BB6BFF" w:rsidRPr="004920A3" w:rsidRDefault="00BB6BFF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47,340 (43.4)</w:t>
            </w:r>
          </w:p>
        </w:tc>
        <w:tc>
          <w:tcPr>
            <w:tcW w:w="2212" w:type="dxa"/>
          </w:tcPr>
          <w:p w14:paraId="72FD8157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212" w:type="dxa"/>
          </w:tcPr>
          <w:p w14:paraId="0257CEE9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7,859</w:t>
            </w:r>
          </w:p>
        </w:tc>
        <w:tc>
          <w:tcPr>
            <w:tcW w:w="2212" w:type="dxa"/>
          </w:tcPr>
          <w:p w14:paraId="7DA96E1F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212" w:type="dxa"/>
          </w:tcPr>
          <w:p w14:paraId="67F2A548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3,692 (45.0)</w:t>
            </w:r>
          </w:p>
        </w:tc>
        <w:tc>
          <w:tcPr>
            <w:tcW w:w="2212" w:type="dxa"/>
          </w:tcPr>
          <w:p w14:paraId="62BB9C09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 (ref)</w:t>
            </w:r>
          </w:p>
        </w:tc>
      </w:tr>
      <w:tr w:rsidR="00BB6BFF" w:rsidRPr="004920A3" w14:paraId="6CE417B0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7B38ADCF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  <w:lang w:eastAsia="en-GB"/>
              </w:rPr>
              <w:t xml:space="preserve">1 </w:t>
            </w:r>
            <w:r w:rsidRPr="004920A3">
              <w:rPr>
                <w:sz w:val="18"/>
                <w:szCs w:val="18"/>
              </w:rPr>
              <w:t>moderate only</w:t>
            </w:r>
            <w:r w:rsidRPr="004920A3">
              <w:rPr>
                <w:sz w:val="18"/>
                <w:szCs w:val="18"/>
              </w:rPr>
              <w:br/>
            </w:r>
          </w:p>
        </w:tc>
        <w:tc>
          <w:tcPr>
            <w:tcW w:w="2211" w:type="dxa"/>
          </w:tcPr>
          <w:p w14:paraId="4870CFA4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22,121 (20.3)</w:t>
            </w:r>
          </w:p>
        </w:tc>
        <w:tc>
          <w:tcPr>
            <w:tcW w:w="2212" w:type="dxa"/>
          </w:tcPr>
          <w:p w14:paraId="2ADAA0B8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1.08 (1.04- 1.12)</w:t>
            </w:r>
          </w:p>
        </w:tc>
        <w:tc>
          <w:tcPr>
            <w:tcW w:w="2212" w:type="dxa"/>
          </w:tcPr>
          <w:p w14:paraId="20547A07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4,092</w:t>
            </w:r>
          </w:p>
        </w:tc>
        <w:tc>
          <w:tcPr>
            <w:tcW w:w="2212" w:type="dxa"/>
          </w:tcPr>
          <w:p w14:paraId="63DA2772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1.17 (1.04 – 1.33)</w:t>
            </w:r>
          </w:p>
        </w:tc>
        <w:tc>
          <w:tcPr>
            <w:tcW w:w="2212" w:type="dxa"/>
          </w:tcPr>
          <w:p w14:paraId="43283680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1,743 (21.3)</w:t>
            </w:r>
          </w:p>
        </w:tc>
        <w:tc>
          <w:tcPr>
            <w:tcW w:w="2212" w:type="dxa"/>
          </w:tcPr>
          <w:p w14:paraId="78BFB087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1.23 (1.07 – 1.42)</w:t>
            </w:r>
          </w:p>
        </w:tc>
      </w:tr>
      <w:tr w:rsidR="00BB6BFF" w:rsidRPr="004920A3" w14:paraId="526BEFF6" w14:textId="77777777" w:rsidTr="00656FE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56DA377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  <w:lang w:eastAsia="en-GB"/>
              </w:rPr>
              <w:t>2</w:t>
            </w:r>
            <w:r w:rsidRPr="004920A3">
              <w:rPr>
                <w:sz w:val="18"/>
                <w:szCs w:val="18"/>
              </w:rPr>
              <w:t xml:space="preserve"> </w:t>
            </w:r>
            <w:proofErr w:type="gramStart"/>
            <w:r w:rsidRPr="004920A3">
              <w:rPr>
                <w:sz w:val="18"/>
                <w:szCs w:val="18"/>
              </w:rPr>
              <w:t>moderate</w:t>
            </w:r>
            <w:proofErr w:type="gramEnd"/>
            <w:r w:rsidRPr="004920A3">
              <w:rPr>
                <w:sz w:val="18"/>
                <w:szCs w:val="18"/>
              </w:rPr>
              <w:t xml:space="preserve"> only </w:t>
            </w:r>
            <w:r w:rsidRPr="004920A3">
              <w:rPr>
                <w:sz w:val="18"/>
                <w:szCs w:val="18"/>
              </w:rPr>
              <w:br/>
            </w:r>
          </w:p>
        </w:tc>
        <w:tc>
          <w:tcPr>
            <w:tcW w:w="2211" w:type="dxa"/>
          </w:tcPr>
          <w:p w14:paraId="5A24CEB1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11,892 (10.9)</w:t>
            </w:r>
          </w:p>
        </w:tc>
        <w:tc>
          <w:tcPr>
            <w:tcW w:w="2212" w:type="dxa"/>
          </w:tcPr>
          <w:p w14:paraId="511A3A8F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1.16 (1.10 – 1.22)</w:t>
            </w:r>
          </w:p>
        </w:tc>
        <w:tc>
          <w:tcPr>
            <w:tcW w:w="2212" w:type="dxa"/>
          </w:tcPr>
          <w:p w14:paraId="76456D1E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2,398</w:t>
            </w:r>
          </w:p>
        </w:tc>
        <w:tc>
          <w:tcPr>
            <w:tcW w:w="2212" w:type="dxa"/>
          </w:tcPr>
          <w:p w14:paraId="60780AB0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1.26 (1.08 – 1.46)</w:t>
            </w:r>
          </w:p>
        </w:tc>
        <w:tc>
          <w:tcPr>
            <w:tcW w:w="2212" w:type="dxa"/>
          </w:tcPr>
          <w:p w14:paraId="783EE643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894 (10.9)</w:t>
            </w:r>
          </w:p>
        </w:tc>
        <w:tc>
          <w:tcPr>
            <w:tcW w:w="2212" w:type="dxa"/>
          </w:tcPr>
          <w:p w14:paraId="2014A0DD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1.34 (1.12 – 1.60)</w:t>
            </w:r>
          </w:p>
        </w:tc>
      </w:tr>
      <w:tr w:rsidR="00BB6BFF" w:rsidRPr="004920A3" w14:paraId="3902ACC9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11E19A9E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  <w:r w:rsidRPr="004920A3">
              <w:rPr>
                <w:sz w:val="18"/>
                <w:szCs w:val="18"/>
              </w:rPr>
              <w:t>≥3 moderate only</w:t>
            </w:r>
            <w:r w:rsidRPr="004920A3">
              <w:rPr>
                <w:sz w:val="18"/>
                <w:szCs w:val="18"/>
              </w:rPr>
              <w:br/>
            </w:r>
          </w:p>
        </w:tc>
        <w:tc>
          <w:tcPr>
            <w:tcW w:w="2211" w:type="dxa"/>
          </w:tcPr>
          <w:p w14:paraId="16F5689B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14,475 (13.3)</w:t>
            </w:r>
          </w:p>
        </w:tc>
        <w:tc>
          <w:tcPr>
            <w:tcW w:w="2212" w:type="dxa"/>
          </w:tcPr>
          <w:p w14:paraId="5FBAC78A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1.32 (1.26 – 1.39)</w:t>
            </w:r>
          </w:p>
        </w:tc>
        <w:tc>
          <w:tcPr>
            <w:tcW w:w="2212" w:type="dxa"/>
          </w:tcPr>
          <w:p w14:paraId="1B85F30B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3,586</w:t>
            </w:r>
          </w:p>
        </w:tc>
        <w:tc>
          <w:tcPr>
            <w:tcW w:w="2212" w:type="dxa"/>
          </w:tcPr>
          <w:p w14:paraId="7CC9B4C6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1.65 (1.46 – 1.88)</w:t>
            </w:r>
          </w:p>
        </w:tc>
        <w:tc>
          <w:tcPr>
            <w:tcW w:w="2212" w:type="dxa"/>
          </w:tcPr>
          <w:p w14:paraId="61291094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994 (12.2)</w:t>
            </w:r>
          </w:p>
        </w:tc>
        <w:tc>
          <w:tcPr>
            <w:tcW w:w="2212" w:type="dxa"/>
          </w:tcPr>
          <w:p w14:paraId="7F6DF952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1.44 (1.21 – 1.71)</w:t>
            </w:r>
          </w:p>
        </w:tc>
      </w:tr>
      <w:tr w:rsidR="00BB6BFF" w:rsidRPr="004920A3" w14:paraId="220B114C" w14:textId="77777777" w:rsidTr="00656FE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6AB675F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  <w:lang w:eastAsia="en-GB"/>
              </w:rPr>
              <w:t>1 severe</w:t>
            </w:r>
            <w:r w:rsidRPr="004920A3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2211" w:type="dxa"/>
          </w:tcPr>
          <w:p w14:paraId="68A984DF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9,496 (8.7)</w:t>
            </w:r>
          </w:p>
        </w:tc>
        <w:tc>
          <w:tcPr>
            <w:tcW w:w="2212" w:type="dxa"/>
          </w:tcPr>
          <w:p w14:paraId="4A5B454A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1.75 (1.66 – 1.85)</w:t>
            </w:r>
          </w:p>
        </w:tc>
        <w:tc>
          <w:tcPr>
            <w:tcW w:w="2212" w:type="dxa"/>
          </w:tcPr>
          <w:p w14:paraId="2A7DFF67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2,921</w:t>
            </w:r>
          </w:p>
        </w:tc>
        <w:tc>
          <w:tcPr>
            <w:tcW w:w="2212" w:type="dxa"/>
          </w:tcPr>
          <w:p w14:paraId="3EBBCBE3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2.38 (2.08 – 2.73)</w:t>
            </w:r>
          </w:p>
        </w:tc>
        <w:tc>
          <w:tcPr>
            <w:tcW w:w="2212" w:type="dxa"/>
          </w:tcPr>
          <w:p w14:paraId="4589A984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619 (7.6)</w:t>
            </w:r>
          </w:p>
        </w:tc>
        <w:tc>
          <w:tcPr>
            <w:tcW w:w="2212" w:type="dxa"/>
          </w:tcPr>
          <w:p w14:paraId="4D3915ED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1.65 (1.34 – 2.02)</w:t>
            </w:r>
          </w:p>
        </w:tc>
      </w:tr>
      <w:tr w:rsidR="00BB6BFF" w:rsidRPr="004920A3" w14:paraId="206D45A6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1DA34F2D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  <w:lang w:eastAsia="en-GB"/>
              </w:rPr>
              <w:t>2 severe</w:t>
            </w:r>
            <w:r w:rsidRPr="004920A3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2211" w:type="dxa"/>
          </w:tcPr>
          <w:p w14:paraId="1D213E87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2,353 (2.2)</w:t>
            </w:r>
          </w:p>
        </w:tc>
        <w:tc>
          <w:tcPr>
            <w:tcW w:w="2212" w:type="dxa"/>
          </w:tcPr>
          <w:p w14:paraId="1F6877F8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2.33 (2.10 – 2.58)</w:t>
            </w:r>
          </w:p>
        </w:tc>
        <w:tc>
          <w:tcPr>
            <w:tcW w:w="2212" w:type="dxa"/>
          </w:tcPr>
          <w:p w14:paraId="05CF1E0B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2212" w:type="dxa"/>
          </w:tcPr>
          <w:p w14:paraId="75C04144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2.88 (2.28 – 3.63)</w:t>
            </w:r>
          </w:p>
        </w:tc>
        <w:tc>
          <w:tcPr>
            <w:tcW w:w="2212" w:type="dxa"/>
          </w:tcPr>
          <w:p w14:paraId="6B94D386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153 (1.9)</w:t>
            </w:r>
          </w:p>
        </w:tc>
        <w:tc>
          <w:tcPr>
            <w:tcW w:w="2212" w:type="dxa"/>
          </w:tcPr>
          <w:p w14:paraId="4783A567" w14:textId="77777777" w:rsidR="00BB6BFF" w:rsidRPr="004920A3" w:rsidRDefault="00BB6BFF" w:rsidP="00656F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1.92 (1.27 – 2.88)</w:t>
            </w:r>
          </w:p>
        </w:tc>
      </w:tr>
      <w:tr w:rsidR="00BB6BFF" w:rsidRPr="004920A3" w14:paraId="32016913" w14:textId="77777777" w:rsidTr="00656FE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1B15B3FE" w14:textId="77777777" w:rsidR="00BB6BFF" w:rsidRPr="004920A3" w:rsidRDefault="00BB6BFF" w:rsidP="00656FE7">
            <w:pPr>
              <w:spacing w:after="0"/>
              <w:rPr>
                <w:sz w:val="18"/>
                <w:szCs w:val="18"/>
              </w:rPr>
            </w:pPr>
            <w:r w:rsidRPr="004920A3">
              <w:rPr>
                <w:sz w:val="18"/>
                <w:szCs w:val="18"/>
              </w:rPr>
              <w:t xml:space="preserve">≥3 </w:t>
            </w:r>
            <w:r w:rsidRPr="004920A3">
              <w:rPr>
                <w:color w:val="000000"/>
                <w:sz w:val="18"/>
                <w:szCs w:val="18"/>
                <w:lang w:eastAsia="en-GB"/>
              </w:rPr>
              <w:t>more severe</w:t>
            </w:r>
            <w:r w:rsidRPr="004920A3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2211" w:type="dxa"/>
          </w:tcPr>
          <w:p w14:paraId="2AA6E414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1,532 (1.4)</w:t>
            </w:r>
          </w:p>
        </w:tc>
        <w:tc>
          <w:tcPr>
            <w:tcW w:w="2212" w:type="dxa"/>
          </w:tcPr>
          <w:p w14:paraId="5F888DB5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06E2">
              <w:rPr>
                <w:color w:val="000000"/>
                <w:sz w:val="18"/>
                <w:szCs w:val="18"/>
              </w:rPr>
              <w:t>2.87 (2.53 – 3.25)</w:t>
            </w:r>
          </w:p>
        </w:tc>
        <w:tc>
          <w:tcPr>
            <w:tcW w:w="2212" w:type="dxa"/>
          </w:tcPr>
          <w:p w14:paraId="14B14CAC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2212" w:type="dxa"/>
          </w:tcPr>
          <w:p w14:paraId="70D715E2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A20D4">
              <w:rPr>
                <w:color w:val="000000"/>
                <w:sz w:val="18"/>
                <w:szCs w:val="18"/>
              </w:rPr>
              <w:t>5.23 (4.21 – 6.49)</w:t>
            </w:r>
          </w:p>
        </w:tc>
        <w:tc>
          <w:tcPr>
            <w:tcW w:w="2212" w:type="dxa"/>
          </w:tcPr>
          <w:p w14:paraId="066F702C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D60F7A">
              <w:rPr>
                <w:color w:val="000000"/>
                <w:sz w:val="18"/>
                <w:szCs w:val="18"/>
              </w:rPr>
              <w:t>74 (0.7)</w:t>
            </w:r>
          </w:p>
        </w:tc>
        <w:tc>
          <w:tcPr>
            <w:tcW w:w="2212" w:type="dxa"/>
          </w:tcPr>
          <w:p w14:paraId="7C2EFF34" w14:textId="77777777" w:rsidR="00BB6BFF" w:rsidRPr="004920A3" w:rsidRDefault="00BB6BFF" w:rsidP="00656F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4920A3">
              <w:rPr>
                <w:color w:val="000000"/>
                <w:sz w:val="18"/>
                <w:szCs w:val="18"/>
              </w:rPr>
              <w:t>1.34 (0.66 – 2.72)</w:t>
            </w:r>
          </w:p>
        </w:tc>
      </w:tr>
    </w:tbl>
    <w:bookmarkEnd w:id="7"/>
    <w:p w14:paraId="7B28C90D" w14:textId="77777777" w:rsidR="00BB6BFF" w:rsidRDefault="00BB6BFF" w:rsidP="00BB6BFF">
      <w:pPr>
        <w:sectPr w:rsidR="00BB6BFF" w:rsidSect="00656FE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DD6769">
        <w:t xml:space="preserve">* Adjusted for </w:t>
      </w:r>
      <w:r>
        <w:t>all baseline characteristics</w:t>
      </w:r>
      <w:r w:rsidRPr="00F414A4">
        <w:t xml:space="preserve"> </w:t>
      </w:r>
      <w:r>
        <w:t>listed in Table 1.</w:t>
      </w:r>
    </w:p>
    <w:p w14:paraId="110FD56E" w14:textId="1C6DFD05" w:rsidR="0009105E" w:rsidRPr="00FB6A75" w:rsidRDefault="0009105E" w:rsidP="0009105E">
      <w:pPr>
        <w:pStyle w:val="Heading1"/>
        <w:rPr>
          <w:szCs w:val="22"/>
        </w:rPr>
      </w:pPr>
      <w:bookmarkStart w:id="8" w:name="_Toc77089657"/>
      <w:bookmarkStart w:id="9" w:name="_Toc90391203"/>
      <w:r>
        <w:lastRenderedPageBreak/>
        <w:t>Table E</w:t>
      </w:r>
      <w:r w:rsidR="00BB6BFF">
        <w:t>6</w:t>
      </w:r>
      <w:r w:rsidR="00EB7520">
        <w:t>.</w:t>
      </w:r>
      <w:r>
        <w:t xml:space="preserve"> </w:t>
      </w:r>
      <w:r w:rsidRPr="00A41637">
        <w:t xml:space="preserve">Incidence rates of future moderate and/or </w:t>
      </w:r>
      <w:r>
        <w:rPr>
          <w:lang w:val="en-US"/>
        </w:rPr>
        <w:t>exacerbation</w:t>
      </w:r>
      <w:r w:rsidRPr="00A41637">
        <w:t xml:space="preserve"> during follow-up and incidence rate ratio (IRR) comparing patients categorized by baseline frequency and severity of </w:t>
      </w:r>
      <w:r>
        <w:rPr>
          <w:lang w:val="en-US"/>
        </w:rPr>
        <w:t>exacerbation</w:t>
      </w:r>
      <w:r w:rsidRPr="00A41637">
        <w:t xml:space="preserve"> in patients with anxiety disorder, depression, or GORD </w:t>
      </w:r>
      <w:r>
        <w:t>and for patients with current asthma.</w:t>
      </w:r>
      <w:bookmarkEnd w:id="8"/>
      <w:bookmarkEnd w:id="9"/>
    </w:p>
    <w:tbl>
      <w:tblPr>
        <w:tblStyle w:val="PlainTable1"/>
        <w:tblW w:w="12955" w:type="dxa"/>
        <w:tblInd w:w="-5" w:type="dxa"/>
        <w:tblLook w:val="04A0" w:firstRow="1" w:lastRow="0" w:firstColumn="1" w:lastColumn="0" w:noHBand="0" w:noVBand="1"/>
      </w:tblPr>
      <w:tblGrid>
        <w:gridCol w:w="1747"/>
        <w:gridCol w:w="1911"/>
        <w:gridCol w:w="1911"/>
        <w:gridCol w:w="1911"/>
        <w:gridCol w:w="1825"/>
        <w:gridCol w:w="1825"/>
        <w:gridCol w:w="1825"/>
      </w:tblGrid>
      <w:tr w:rsidR="0009105E" w14:paraId="3C99C274" w14:textId="77777777" w:rsidTr="00656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277B9229" w14:textId="77777777" w:rsidR="0009105E" w:rsidRPr="009F499D" w:rsidRDefault="0009105E" w:rsidP="00656F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A30762" w14:textId="77777777" w:rsidR="0009105E" w:rsidRPr="009F499D" w:rsidRDefault="0009105E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Patients with anxiety, depression or GORD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F284B" w14:textId="77777777" w:rsidR="0009105E" w:rsidRPr="001E4258" w:rsidRDefault="0009105E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Patients with asthma</w:t>
            </w:r>
          </w:p>
        </w:tc>
      </w:tr>
      <w:tr w:rsidR="0009105E" w14:paraId="395EAE15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71C5A3B2" w14:textId="77777777" w:rsidR="0009105E" w:rsidRPr="009F499D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F499D">
              <w:rPr>
                <w:sz w:val="18"/>
                <w:szCs w:val="18"/>
              </w:rPr>
              <w:t xml:space="preserve">Baseline </w:t>
            </w:r>
            <w:r>
              <w:rPr>
                <w:lang w:val="en-US"/>
              </w:rPr>
              <w:t>exacerbation</w:t>
            </w:r>
            <w:r w:rsidRPr="009F499D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4625CF69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Adjusted* IRR (95% CI) for repeated AECOPD</w:t>
            </w:r>
            <w:r w:rsidRPr="00020DF6">
              <w:rPr>
                <w:b/>
                <w:bCs/>
                <w:sz w:val="18"/>
                <w:szCs w:val="18"/>
              </w:rPr>
              <w:br/>
              <w:t>N=42,153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3392D0C7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Adjusted* IRR (95% CI) for repeated moderate AECOPD</w:t>
            </w:r>
          </w:p>
          <w:p w14:paraId="22602FC5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N=42,153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5F156B5C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Adjusted* IRR (95% CI) for repeated severe AECOPD</w:t>
            </w:r>
            <w:r w:rsidRPr="00020DF6">
              <w:rPr>
                <w:b/>
                <w:bCs/>
                <w:sz w:val="18"/>
                <w:szCs w:val="18"/>
              </w:rPr>
              <w:br/>
              <w:t>N=42,153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3C49D9C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Adjusted* IRR (95% CI) for repeated AECOPD</w:t>
            </w:r>
          </w:p>
          <w:p w14:paraId="38DF46CF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N=16,739</w:t>
            </w:r>
            <w:r w:rsidRPr="00020DF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68AC4492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Adjusted* IRR (95% CI) for repeated moderate AECOPD</w:t>
            </w:r>
            <w:r w:rsidRPr="00020DF6">
              <w:rPr>
                <w:b/>
                <w:bCs/>
                <w:sz w:val="18"/>
                <w:szCs w:val="18"/>
              </w:rPr>
              <w:br/>
              <w:t>N=16,739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33CF78EB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Adjusted* IRR (95% CI) for repeated severe AECOPD</w:t>
            </w:r>
            <w:r w:rsidRPr="00020DF6">
              <w:rPr>
                <w:b/>
                <w:bCs/>
                <w:sz w:val="18"/>
                <w:szCs w:val="18"/>
              </w:rPr>
              <w:br/>
              <w:t>N=16,739</w:t>
            </w:r>
          </w:p>
        </w:tc>
      </w:tr>
      <w:tr w:rsidR="0009105E" w14:paraId="46817D73" w14:textId="77777777" w:rsidTr="00656FE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auto"/>
            </w:tcBorders>
          </w:tcPr>
          <w:p w14:paraId="004925E3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No </w:t>
            </w:r>
            <w:r>
              <w:rPr>
                <w:lang w:val="en-US"/>
              </w:rPr>
              <w:t>exacerbation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13F292B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F1B16D6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0D47EB24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1B147023" w14:textId="77777777" w:rsidR="0009105E" w:rsidRPr="000145E9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7A1EC10F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08E14E32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 (ref)</w:t>
            </w:r>
          </w:p>
        </w:tc>
      </w:tr>
      <w:tr w:rsidR="0009105E" w14:paraId="594A0ADB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p w14:paraId="70B681D6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1 </w:t>
            </w:r>
            <w:r w:rsidRPr="004E2A8C">
              <w:rPr>
                <w:sz w:val="18"/>
                <w:szCs w:val="18"/>
              </w:rPr>
              <w:t xml:space="preserve"> moderate</w:t>
            </w:r>
            <w:proofErr w:type="gramEnd"/>
            <w:r w:rsidRPr="004E2A8C">
              <w:rPr>
                <w:sz w:val="18"/>
                <w:szCs w:val="18"/>
              </w:rPr>
              <w:t xml:space="preserve"> only</w:t>
            </w:r>
            <w:r w:rsidRPr="004E2A8C">
              <w:rPr>
                <w:sz w:val="18"/>
                <w:szCs w:val="18"/>
              </w:rPr>
              <w:br/>
            </w:r>
          </w:p>
        </w:tc>
        <w:tc>
          <w:tcPr>
            <w:tcW w:w="1911" w:type="dxa"/>
          </w:tcPr>
          <w:p w14:paraId="249FDF83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1.71 (1.65 – 1.77)</w:t>
            </w:r>
          </w:p>
        </w:tc>
        <w:tc>
          <w:tcPr>
            <w:tcW w:w="1911" w:type="dxa"/>
          </w:tcPr>
          <w:p w14:paraId="244E664E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1.78 (1.71 – 1.85)</w:t>
            </w:r>
          </w:p>
        </w:tc>
        <w:tc>
          <w:tcPr>
            <w:tcW w:w="1911" w:type="dxa"/>
          </w:tcPr>
          <w:p w14:paraId="6EB77D46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1.36 (1.27 – 1.45)</w:t>
            </w:r>
          </w:p>
        </w:tc>
        <w:tc>
          <w:tcPr>
            <w:tcW w:w="1825" w:type="dxa"/>
          </w:tcPr>
          <w:p w14:paraId="104DD673" w14:textId="77777777" w:rsidR="0009105E" w:rsidRPr="000145E9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1.74 (1.65- 1.84)</w:t>
            </w:r>
          </w:p>
        </w:tc>
        <w:tc>
          <w:tcPr>
            <w:tcW w:w="1825" w:type="dxa"/>
          </w:tcPr>
          <w:p w14:paraId="1528C289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1.83 (1.73 – 1.94)</w:t>
            </w:r>
          </w:p>
        </w:tc>
        <w:tc>
          <w:tcPr>
            <w:tcW w:w="1825" w:type="dxa"/>
          </w:tcPr>
          <w:p w14:paraId="57BBC38E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1.28 (1.15 – 1.41)</w:t>
            </w:r>
          </w:p>
        </w:tc>
      </w:tr>
      <w:tr w:rsidR="0009105E" w14:paraId="069A59DA" w14:textId="77777777" w:rsidTr="00656FE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p w14:paraId="088F5F76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2 </w:t>
            </w:r>
            <w:r w:rsidRPr="004E2A8C">
              <w:rPr>
                <w:sz w:val="18"/>
                <w:szCs w:val="18"/>
              </w:rPr>
              <w:t xml:space="preserve"> moderate</w:t>
            </w:r>
            <w:proofErr w:type="gramEnd"/>
            <w:r w:rsidRPr="004E2A8C">
              <w:rPr>
                <w:sz w:val="18"/>
                <w:szCs w:val="18"/>
              </w:rPr>
              <w:t xml:space="preserve"> only </w:t>
            </w:r>
            <w:r w:rsidRPr="004E2A8C">
              <w:rPr>
                <w:sz w:val="18"/>
                <w:szCs w:val="18"/>
              </w:rPr>
              <w:br/>
            </w:r>
          </w:p>
        </w:tc>
        <w:tc>
          <w:tcPr>
            <w:tcW w:w="1911" w:type="dxa"/>
          </w:tcPr>
          <w:p w14:paraId="7F4DD48E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2.32 (2.23 – 2.41)</w:t>
            </w:r>
          </w:p>
        </w:tc>
        <w:tc>
          <w:tcPr>
            <w:tcW w:w="1911" w:type="dxa"/>
          </w:tcPr>
          <w:p w14:paraId="67E04F9C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2.51 (2.40 – 2.62)</w:t>
            </w:r>
          </w:p>
        </w:tc>
        <w:tc>
          <w:tcPr>
            <w:tcW w:w="1911" w:type="dxa"/>
          </w:tcPr>
          <w:p w14:paraId="235AEF9C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1.44 (1.34 – 1.56)</w:t>
            </w:r>
          </w:p>
        </w:tc>
        <w:tc>
          <w:tcPr>
            <w:tcW w:w="1825" w:type="dxa"/>
          </w:tcPr>
          <w:p w14:paraId="72A708A3" w14:textId="77777777" w:rsidR="0009105E" w:rsidRPr="000145E9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2.36 (2.23 – 2.50)</w:t>
            </w:r>
          </w:p>
        </w:tc>
        <w:tc>
          <w:tcPr>
            <w:tcW w:w="1825" w:type="dxa"/>
          </w:tcPr>
          <w:p w14:paraId="0D0354AC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2.53 (1.38- 2.69)</w:t>
            </w:r>
          </w:p>
        </w:tc>
        <w:tc>
          <w:tcPr>
            <w:tcW w:w="1825" w:type="dxa"/>
          </w:tcPr>
          <w:p w14:paraId="53D3FCE9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1.47 (1.31 – 1.64)</w:t>
            </w:r>
          </w:p>
        </w:tc>
      </w:tr>
      <w:tr w:rsidR="0009105E" w14:paraId="2D783737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p w14:paraId="6A75C68D" w14:textId="77777777" w:rsidR="0009105E" w:rsidRPr="004E2A8C" w:rsidRDefault="0009105E" w:rsidP="00656FE7">
            <w:pPr>
              <w:spacing w:after="0" w:line="240" w:lineRule="auto"/>
              <w:rPr>
                <w:sz w:val="18"/>
                <w:szCs w:val="18"/>
              </w:rPr>
            </w:pPr>
            <w:r w:rsidRPr="004E2A8C">
              <w:rPr>
                <w:sz w:val="18"/>
                <w:szCs w:val="18"/>
              </w:rPr>
              <w:t>≥3 moderate only</w:t>
            </w:r>
            <w:r w:rsidRPr="004E2A8C">
              <w:rPr>
                <w:sz w:val="18"/>
                <w:szCs w:val="18"/>
              </w:rPr>
              <w:br/>
            </w:r>
          </w:p>
        </w:tc>
        <w:tc>
          <w:tcPr>
            <w:tcW w:w="1911" w:type="dxa"/>
          </w:tcPr>
          <w:p w14:paraId="434EFE91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3.55 (3.42 – 3.68)</w:t>
            </w:r>
          </w:p>
        </w:tc>
        <w:tc>
          <w:tcPr>
            <w:tcW w:w="1911" w:type="dxa"/>
          </w:tcPr>
          <w:p w14:paraId="4888D75E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3.92 (3.77 – 4.07)</w:t>
            </w:r>
          </w:p>
        </w:tc>
        <w:tc>
          <w:tcPr>
            <w:tcW w:w="1911" w:type="dxa"/>
          </w:tcPr>
          <w:p w14:paraId="44BB110F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1.83 (1.70 – 1.96)</w:t>
            </w:r>
          </w:p>
        </w:tc>
        <w:tc>
          <w:tcPr>
            <w:tcW w:w="1825" w:type="dxa"/>
          </w:tcPr>
          <w:p w14:paraId="578A331B" w14:textId="77777777" w:rsidR="0009105E" w:rsidRPr="000145E9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3.60 (2.41 – 3.78)</w:t>
            </w:r>
          </w:p>
        </w:tc>
        <w:tc>
          <w:tcPr>
            <w:tcW w:w="1825" w:type="dxa"/>
          </w:tcPr>
          <w:p w14:paraId="6BD777A9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3.91 (3.70 – 4.13)</w:t>
            </w:r>
          </w:p>
        </w:tc>
        <w:tc>
          <w:tcPr>
            <w:tcW w:w="1825" w:type="dxa"/>
          </w:tcPr>
          <w:p w14:paraId="44167AF7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2.01 (1.82- 2.23)</w:t>
            </w:r>
          </w:p>
        </w:tc>
      </w:tr>
      <w:tr w:rsidR="0009105E" w14:paraId="2A8851F0" w14:textId="77777777" w:rsidTr="00656F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p w14:paraId="77EAF884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>1 severe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1911" w:type="dxa"/>
          </w:tcPr>
          <w:p w14:paraId="0C4CE15C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2.65 (2.51 – 2.80)</w:t>
            </w:r>
          </w:p>
        </w:tc>
        <w:tc>
          <w:tcPr>
            <w:tcW w:w="1911" w:type="dxa"/>
          </w:tcPr>
          <w:p w14:paraId="7C6E2E35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2.54 (2.39 – 2.71)</w:t>
            </w:r>
          </w:p>
        </w:tc>
        <w:tc>
          <w:tcPr>
            <w:tcW w:w="1911" w:type="dxa"/>
          </w:tcPr>
          <w:p w14:paraId="29EF9267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2.98 (2.75 – 3.22)</w:t>
            </w:r>
          </w:p>
        </w:tc>
        <w:tc>
          <w:tcPr>
            <w:tcW w:w="1825" w:type="dxa"/>
          </w:tcPr>
          <w:p w14:paraId="66D049AA" w14:textId="77777777" w:rsidR="0009105E" w:rsidRPr="000145E9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3.79 (2.57- 3.03)</w:t>
            </w:r>
          </w:p>
        </w:tc>
        <w:tc>
          <w:tcPr>
            <w:tcW w:w="1825" w:type="dxa"/>
          </w:tcPr>
          <w:p w14:paraId="5FA6ED33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2.90 (2.44 – 3.44)</w:t>
            </w:r>
          </w:p>
        </w:tc>
        <w:tc>
          <w:tcPr>
            <w:tcW w:w="1825" w:type="dxa"/>
          </w:tcPr>
          <w:p w14:paraId="21E6B3B1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3.11 (2.74 – 3.54)</w:t>
            </w:r>
          </w:p>
        </w:tc>
      </w:tr>
      <w:tr w:rsidR="0009105E" w14:paraId="0DABF948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bottom w:val="single" w:sz="4" w:space="0" w:color="auto"/>
            </w:tcBorders>
          </w:tcPr>
          <w:p w14:paraId="4ABC2659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>2 severe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2F180D15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3.30 (2.99 – 3.64)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48BAB5EC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2.81 (2.50 – 3.16)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3DE1E9AA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4.79 (4.18 – 5.50)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1ECDEAD0" w14:textId="77777777" w:rsidR="0009105E" w:rsidRPr="000145E9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3.27 (2.83 – 3.77)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5CB5EF0C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2.90 (2.44 – 3.44)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4AA0961F" w14:textId="77777777" w:rsidR="0009105E" w:rsidRPr="009F499D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4.93 (4.02 – 6.05)</w:t>
            </w:r>
          </w:p>
        </w:tc>
      </w:tr>
      <w:tr w:rsidR="0009105E" w14:paraId="1A9AE109" w14:textId="77777777" w:rsidTr="00656FE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198706B7" w14:textId="77777777" w:rsidR="0009105E" w:rsidRPr="004E2A8C" w:rsidRDefault="0009105E" w:rsidP="00656FE7">
            <w:pPr>
              <w:spacing w:after="0" w:line="240" w:lineRule="auto"/>
              <w:rPr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>3 or more severe</w:t>
            </w:r>
          </w:p>
          <w:p w14:paraId="6C195FDD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247F82C5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4.50 (4.07 – 4.98)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4AC87F2E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3.56 (3.11 – 4.06)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08C3E9B9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F499D">
              <w:rPr>
                <w:color w:val="000000"/>
                <w:sz w:val="18"/>
                <w:szCs w:val="18"/>
              </w:rPr>
              <w:t>7.18 (6.14 – 8.40)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EEA01CC" w14:textId="77777777" w:rsidR="0009105E" w:rsidRPr="000145E9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4.04 (3.41 – 4.79)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253D3AA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3.22 (2.59 – 4.00)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74EBF174" w14:textId="77777777" w:rsidR="0009105E" w:rsidRPr="009F499D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0145E9">
              <w:rPr>
                <w:color w:val="000000"/>
                <w:sz w:val="18"/>
                <w:szCs w:val="18"/>
              </w:rPr>
              <w:t>6.89 (5.24 – 9.06)</w:t>
            </w:r>
          </w:p>
        </w:tc>
      </w:tr>
    </w:tbl>
    <w:p w14:paraId="42B7CD58" w14:textId="77777777" w:rsidR="0009105E" w:rsidRDefault="0009105E" w:rsidP="0009105E">
      <w:r w:rsidRPr="00DD6769">
        <w:t xml:space="preserve">* Adjusted for </w:t>
      </w:r>
      <w:r>
        <w:t>all baseline characteristics</w:t>
      </w:r>
      <w:r w:rsidRPr="00F414A4">
        <w:t xml:space="preserve"> </w:t>
      </w:r>
      <w:r>
        <w:t>listed Table 1.</w:t>
      </w:r>
    </w:p>
    <w:p w14:paraId="204D6FDA" w14:textId="77777777" w:rsidR="0009105E" w:rsidRDefault="0009105E" w:rsidP="0009105E"/>
    <w:p w14:paraId="55C8D197" w14:textId="7F74882C" w:rsidR="0009105E" w:rsidRDefault="0009105E" w:rsidP="0009105E"/>
    <w:p w14:paraId="3499019D" w14:textId="77777777" w:rsidR="0009105E" w:rsidRDefault="0009105E" w:rsidP="0009105E"/>
    <w:p w14:paraId="141D6E11" w14:textId="77777777" w:rsidR="0009105E" w:rsidRDefault="0009105E" w:rsidP="0009105E"/>
    <w:p w14:paraId="48143E58" w14:textId="77777777" w:rsidR="0009105E" w:rsidRDefault="0009105E" w:rsidP="0009105E"/>
    <w:p w14:paraId="1BCFF350" w14:textId="36F23DC4" w:rsidR="0009105E" w:rsidRPr="003562B0" w:rsidRDefault="0009105E" w:rsidP="0009105E">
      <w:pPr>
        <w:pStyle w:val="Heading1"/>
        <w:rPr>
          <w:szCs w:val="22"/>
        </w:rPr>
      </w:pPr>
      <w:bookmarkStart w:id="10" w:name="_Toc77089658"/>
      <w:bookmarkStart w:id="11" w:name="_Toc90391204"/>
      <w:r>
        <w:lastRenderedPageBreak/>
        <w:t>Table E</w:t>
      </w:r>
      <w:r w:rsidR="00BB6BFF">
        <w:t>7</w:t>
      </w:r>
      <w:r>
        <w:t xml:space="preserve">. </w:t>
      </w:r>
      <w:r w:rsidRPr="005E4EAC">
        <w:t xml:space="preserve">Incidence rates of future moderate and/or severe </w:t>
      </w:r>
      <w:r>
        <w:rPr>
          <w:lang w:val="en-US"/>
        </w:rPr>
        <w:t xml:space="preserve">exacerbation </w:t>
      </w:r>
      <w:r w:rsidRPr="005E4EAC">
        <w:t xml:space="preserve">during follow-up and incidence rate ratio (IRR) comparing patients categorized by baseline frequency and severity of </w:t>
      </w:r>
      <w:r>
        <w:rPr>
          <w:lang w:val="en-US"/>
        </w:rPr>
        <w:t>exacerbation</w:t>
      </w:r>
      <w:r w:rsidRPr="005E4EAC">
        <w:t xml:space="preserve"> in patients with EOS≥300 </w:t>
      </w:r>
      <w:r>
        <w:t>and in patients with cardiovascular disease.</w:t>
      </w:r>
      <w:bookmarkEnd w:id="10"/>
      <w:bookmarkEnd w:id="11"/>
    </w:p>
    <w:tbl>
      <w:tblPr>
        <w:tblStyle w:val="PlainTable1"/>
        <w:tblW w:w="14098" w:type="dxa"/>
        <w:tblInd w:w="-5" w:type="dxa"/>
        <w:tblLook w:val="04A0" w:firstRow="1" w:lastRow="0" w:firstColumn="1" w:lastColumn="0" w:noHBand="0" w:noVBand="1"/>
      </w:tblPr>
      <w:tblGrid>
        <w:gridCol w:w="2087"/>
        <w:gridCol w:w="2002"/>
        <w:gridCol w:w="2001"/>
        <w:gridCol w:w="2002"/>
        <w:gridCol w:w="2002"/>
        <w:gridCol w:w="2002"/>
        <w:gridCol w:w="2002"/>
      </w:tblGrid>
      <w:tr w:rsidR="0009105E" w14:paraId="5A8E0778" w14:textId="77777777" w:rsidTr="00656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B61763" w14:textId="77777777" w:rsidR="0009105E" w:rsidRPr="003B050C" w:rsidRDefault="0009105E" w:rsidP="00656F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BE3D7" w14:textId="77777777" w:rsidR="0009105E" w:rsidRPr="003B050C" w:rsidRDefault="0009105E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Patients with blood eosinophils </w:t>
            </w:r>
            <w:r w:rsidRPr="005E4EAC">
              <w:t>≥300</w:t>
            </w:r>
            <w:r>
              <w:t>cells/µl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095C2" w14:textId="77777777" w:rsidR="0009105E" w:rsidRPr="003856A3" w:rsidRDefault="0009105E" w:rsidP="00656FE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Patients with cardiovascular disease</w:t>
            </w:r>
          </w:p>
        </w:tc>
      </w:tr>
      <w:tr w:rsidR="0009105E" w14:paraId="68A5A024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C17830" w14:textId="77777777" w:rsidR="0009105E" w:rsidRPr="003B050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B050C">
              <w:rPr>
                <w:sz w:val="18"/>
                <w:szCs w:val="18"/>
              </w:rPr>
              <w:t xml:space="preserve">Baseline </w:t>
            </w:r>
            <w:r>
              <w:rPr>
                <w:lang w:val="en-US"/>
              </w:rPr>
              <w:t>exacerbation</w:t>
            </w:r>
            <w:r w:rsidRPr="003B050C">
              <w:rPr>
                <w:sz w:val="18"/>
                <w:szCs w:val="18"/>
              </w:rPr>
              <w:t>category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A2C8B00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 xml:space="preserve">Adjusted* IRR (95% CI) for all </w:t>
            </w:r>
            <w:r>
              <w:rPr>
                <w:lang w:val="en-US"/>
              </w:rPr>
              <w:t>exacerbation</w:t>
            </w:r>
          </w:p>
          <w:p w14:paraId="59DD565D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>N=27,280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B47260C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 xml:space="preserve">Adjusted* IRR (95% CI) for moderate </w:t>
            </w:r>
            <w:r>
              <w:rPr>
                <w:lang w:val="en-US"/>
              </w:rPr>
              <w:t>exacerbation</w:t>
            </w:r>
            <w:r>
              <w:rPr>
                <w:lang w:val="en-US"/>
              </w:rPr>
              <w:br/>
            </w:r>
            <w:r w:rsidRPr="00020DF6">
              <w:rPr>
                <w:b/>
                <w:bCs/>
                <w:sz w:val="18"/>
                <w:szCs w:val="18"/>
              </w:rPr>
              <w:t>N=27,280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138B624B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 xml:space="preserve">Adjusted* IRR (95% CI) for severe </w:t>
            </w:r>
            <w:r>
              <w:rPr>
                <w:lang w:val="en-US"/>
              </w:rPr>
              <w:t>exacerbation</w:t>
            </w:r>
            <w:r w:rsidRPr="00020DF6">
              <w:rPr>
                <w:b/>
                <w:bCs/>
                <w:sz w:val="18"/>
                <w:szCs w:val="18"/>
              </w:rPr>
              <w:br/>
              <w:t>N=27,280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6546991B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 xml:space="preserve">Adjusted* IRR (95% CI) for all </w:t>
            </w:r>
            <w:r>
              <w:rPr>
                <w:lang w:val="en-US"/>
              </w:rPr>
              <w:t>exacerbation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020DF6">
              <w:rPr>
                <w:b/>
                <w:bCs/>
                <w:sz w:val="18"/>
                <w:szCs w:val="18"/>
              </w:rPr>
              <w:t>N=31,687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606C940C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 xml:space="preserve">Adjusted* IRR (95% CI) for moderate </w:t>
            </w:r>
            <w:r>
              <w:rPr>
                <w:lang w:val="en-US"/>
              </w:rPr>
              <w:t>exacerbation</w:t>
            </w:r>
            <w:r w:rsidRPr="00020DF6">
              <w:rPr>
                <w:b/>
                <w:bCs/>
                <w:sz w:val="18"/>
                <w:szCs w:val="18"/>
              </w:rPr>
              <w:br/>
              <w:t>N=31,687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40787823" w14:textId="77777777" w:rsidR="0009105E" w:rsidRPr="00020DF6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20DF6">
              <w:rPr>
                <w:b/>
                <w:bCs/>
                <w:sz w:val="18"/>
                <w:szCs w:val="18"/>
              </w:rPr>
              <w:t xml:space="preserve">Adjusted* IRR (95% CI) for severe </w:t>
            </w:r>
            <w:r>
              <w:rPr>
                <w:lang w:val="en-US"/>
              </w:rPr>
              <w:t>exacerbation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020DF6">
              <w:rPr>
                <w:b/>
                <w:bCs/>
                <w:sz w:val="18"/>
                <w:szCs w:val="18"/>
              </w:rPr>
              <w:t>N=31,687</w:t>
            </w:r>
          </w:p>
        </w:tc>
      </w:tr>
      <w:tr w:rsidR="0009105E" w14:paraId="4DBCDF5F" w14:textId="77777777" w:rsidTr="00656FE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</w:tcPr>
          <w:p w14:paraId="34FD8595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No </w:t>
            </w:r>
            <w:r>
              <w:rPr>
                <w:lang w:val="en-US"/>
              </w:rPr>
              <w:t>exacerbation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7CFA6C4F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2E1A01F8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1(ref)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36CA56E5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0B7453D4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08C0AE2E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 (ref)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62E6DD18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 (ref)</w:t>
            </w:r>
          </w:p>
        </w:tc>
      </w:tr>
      <w:tr w:rsidR="0009105E" w14:paraId="386F9CBF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D230CD" w14:textId="77777777" w:rsidR="0009105E" w:rsidRPr="004E2A8C" w:rsidRDefault="0009105E" w:rsidP="00656FE7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1 </w:t>
            </w:r>
            <w:r w:rsidRPr="004E2A8C">
              <w:rPr>
                <w:sz w:val="18"/>
                <w:szCs w:val="18"/>
              </w:rPr>
              <w:t>moderate only</w:t>
            </w:r>
          </w:p>
          <w:p w14:paraId="57A71AE3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2089" w:type="dxa"/>
          </w:tcPr>
          <w:p w14:paraId="40BF5E51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1.67 (1.60 – 1.74)</w:t>
            </w:r>
          </w:p>
        </w:tc>
        <w:tc>
          <w:tcPr>
            <w:tcW w:w="2089" w:type="dxa"/>
          </w:tcPr>
          <w:p w14:paraId="089219D4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1.78 (1.70 – 1.86)</w:t>
            </w:r>
          </w:p>
        </w:tc>
        <w:tc>
          <w:tcPr>
            <w:tcW w:w="2090" w:type="dxa"/>
          </w:tcPr>
          <w:p w14:paraId="67F589AB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1.21 (1.12 – 1.31)</w:t>
            </w:r>
          </w:p>
        </w:tc>
        <w:tc>
          <w:tcPr>
            <w:tcW w:w="2090" w:type="dxa"/>
          </w:tcPr>
          <w:p w14:paraId="51AF530A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1.68 (1.61 – 1.75)</w:t>
            </w:r>
          </w:p>
        </w:tc>
        <w:tc>
          <w:tcPr>
            <w:tcW w:w="2090" w:type="dxa"/>
          </w:tcPr>
          <w:p w14:paraId="4E119261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1.78 (1.70 – 1.86)</w:t>
            </w:r>
          </w:p>
        </w:tc>
        <w:tc>
          <w:tcPr>
            <w:tcW w:w="2090" w:type="dxa"/>
          </w:tcPr>
          <w:p w14:paraId="132974B9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1.28 (1.20-1.37)</w:t>
            </w:r>
          </w:p>
        </w:tc>
      </w:tr>
      <w:tr w:rsidR="0009105E" w14:paraId="5E8BEFEF" w14:textId="77777777" w:rsidTr="00656FE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DD266D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2 </w:t>
            </w:r>
            <w:proofErr w:type="gramStart"/>
            <w:r w:rsidRPr="004E2A8C">
              <w:rPr>
                <w:sz w:val="18"/>
                <w:szCs w:val="18"/>
              </w:rPr>
              <w:t>moderate</w:t>
            </w:r>
            <w:proofErr w:type="gramEnd"/>
            <w:r w:rsidRPr="004E2A8C">
              <w:rPr>
                <w:sz w:val="18"/>
                <w:szCs w:val="18"/>
              </w:rPr>
              <w:t xml:space="preserve"> only </w:t>
            </w:r>
          </w:p>
        </w:tc>
        <w:tc>
          <w:tcPr>
            <w:tcW w:w="2089" w:type="dxa"/>
          </w:tcPr>
          <w:p w14:paraId="3B17F1AC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2.23 (2.12 – 2.34)</w:t>
            </w:r>
          </w:p>
        </w:tc>
        <w:tc>
          <w:tcPr>
            <w:tcW w:w="2089" w:type="dxa"/>
          </w:tcPr>
          <w:p w14:paraId="209F37AA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2.44 (2.32 – 2.58)</w:t>
            </w:r>
          </w:p>
        </w:tc>
        <w:tc>
          <w:tcPr>
            <w:tcW w:w="2090" w:type="dxa"/>
          </w:tcPr>
          <w:p w14:paraId="172748FB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1.38 (1.25 – 1.53)</w:t>
            </w:r>
          </w:p>
        </w:tc>
        <w:tc>
          <w:tcPr>
            <w:tcW w:w="2090" w:type="dxa"/>
          </w:tcPr>
          <w:p w14:paraId="59277EF4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2.25 (2.14 – 2.36)</w:t>
            </w:r>
          </w:p>
        </w:tc>
        <w:tc>
          <w:tcPr>
            <w:tcW w:w="2090" w:type="dxa"/>
          </w:tcPr>
          <w:p w14:paraId="5B3E3234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2.47 (2.34 – 2.61)</w:t>
            </w:r>
          </w:p>
        </w:tc>
        <w:tc>
          <w:tcPr>
            <w:tcW w:w="2090" w:type="dxa"/>
          </w:tcPr>
          <w:p w14:paraId="7C18CD61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1.42 (1.31 – 1.54)</w:t>
            </w:r>
          </w:p>
        </w:tc>
      </w:tr>
      <w:tr w:rsidR="0009105E" w14:paraId="0CCEED6E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807AAB" w14:textId="77777777" w:rsidR="0009105E" w:rsidRPr="004E2A8C" w:rsidRDefault="0009105E" w:rsidP="00656FE7">
            <w:pPr>
              <w:spacing w:after="0" w:line="240" w:lineRule="auto"/>
              <w:rPr>
                <w:sz w:val="18"/>
                <w:szCs w:val="18"/>
              </w:rPr>
            </w:pPr>
            <w:r w:rsidRPr="004E2A8C">
              <w:rPr>
                <w:sz w:val="18"/>
                <w:szCs w:val="18"/>
              </w:rPr>
              <w:t>≥3 moderate only</w:t>
            </w:r>
            <w:r w:rsidRPr="004E2A8C">
              <w:rPr>
                <w:sz w:val="18"/>
                <w:szCs w:val="18"/>
              </w:rPr>
              <w:br/>
            </w:r>
          </w:p>
        </w:tc>
        <w:tc>
          <w:tcPr>
            <w:tcW w:w="2089" w:type="dxa"/>
          </w:tcPr>
          <w:p w14:paraId="10EEB99B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3.48 (3.33 – 3.64)</w:t>
            </w:r>
          </w:p>
        </w:tc>
        <w:tc>
          <w:tcPr>
            <w:tcW w:w="2089" w:type="dxa"/>
          </w:tcPr>
          <w:p w14:paraId="31532DBA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3.94 (3.75 – 4.14)</w:t>
            </w:r>
          </w:p>
        </w:tc>
        <w:tc>
          <w:tcPr>
            <w:tcW w:w="2090" w:type="dxa"/>
          </w:tcPr>
          <w:p w14:paraId="5F0DF7CF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1.70 (1.56 -1.84)</w:t>
            </w:r>
          </w:p>
        </w:tc>
        <w:tc>
          <w:tcPr>
            <w:tcW w:w="2090" w:type="dxa"/>
          </w:tcPr>
          <w:p w14:paraId="35E8A5BA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3.49 (3.34 – 3.64)</w:t>
            </w:r>
          </w:p>
        </w:tc>
        <w:tc>
          <w:tcPr>
            <w:tcW w:w="2090" w:type="dxa"/>
          </w:tcPr>
          <w:p w14:paraId="392AAF21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3.97 (3.79 – 4.16)</w:t>
            </w:r>
          </w:p>
        </w:tc>
        <w:tc>
          <w:tcPr>
            <w:tcW w:w="2090" w:type="dxa"/>
          </w:tcPr>
          <w:p w14:paraId="358D67AB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1.75 (1.62 – 1.89)</w:t>
            </w:r>
          </w:p>
        </w:tc>
      </w:tr>
      <w:tr w:rsidR="0009105E" w14:paraId="4C996FAD" w14:textId="77777777" w:rsidTr="00656FE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977546C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>1 severe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2089" w:type="dxa"/>
          </w:tcPr>
          <w:p w14:paraId="71EEADAA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2.57 (2.40 – 2.74)</w:t>
            </w:r>
          </w:p>
        </w:tc>
        <w:tc>
          <w:tcPr>
            <w:tcW w:w="2089" w:type="dxa"/>
          </w:tcPr>
          <w:p w14:paraId="6C894B77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2.48 (2.29 – 2.68)</w:t>
            </w:r>
          </w:p>
        </w:tc>
        <w:tc>
          <w:tcPr>
            <w:tcW w:w="2090" w:type="dxa"/>
          </w:tcPr>
          <w:p w14:paraId="6A21060B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2.66 (2.43 – 2.92)</w:t>
            </w:r>
          </w:p>
        </w:tc>
        <w:tc>
          <w:tcPr>
            <w:tcW w:w="2090" w:type="dxa"/>
          </w:tcPr>
          <w:p w14:paraId="0FF1D0E8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2.45 (2.33 – 2.63)</w:t>
            </w:r>
          </w:p>
        </w:tc>
        <w:tc>
          <w:tcPr>
            <w:tcW w:w="2090" w:type="dxa"/>
          </w:tcPr>
          <w:p w14:paraId="4AE7FFE4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2.44 (2.27 – 2.62)</w:t>
            </w:r>
          </w:p>
        </w:tc>
        <w:tc>
          <w:tcPr>
            <w:tcW w:w="2090" w:type="dxa"/>
          </w:tcPr>
          <w:p w14:paraId="41509CBA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2.56 (2.37 – 2.77)</w:t>
            </w:r>
          </w:p>
        </w:tc>
      </w:tr>
      <w:tr w:rsidR="0009105E" w14:paraId="14394569" w14:textId="77777777" w:rsidTr="0065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</w:tcPr>
          <w:p w14:paraId="355E0D1A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4E2A8C">
              <w:rPr>
                <w:color w:val="000000"/>
                <w:sz w:val="18"/>
                <w:szCs w:val="18"/>
                <w:lang w:eastAsia="en-GB"/>
              </w:rPr>
              <w:t>2 severe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br/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74295C55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2.79 (2.49 – 3.12)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71C82A6D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2.27 (1.96 – 2.62)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7109A0D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3.86 (3.25 – 4.58)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F2A157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2.90 (2.63 – 3.20)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245E6B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2.63 (2.33 – 2.97)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B472A95" w14:textId="77777777" w:rsidR="0009105E" w:rsidRPr="003B050C" w:rsidRDefault="0009105E" w:rsidP="00656F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3.60 (3.11 – 4.16)</w:t>
            </w:r>
          </w:p>
        </w:tc>
      </w:tr>
      <w:tr w:rsidR="0009105E" w14:paraId="15B452E5" w14:textId="77777777" w:rsidTr="00656FE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289838" w14:textId="77777777" w:rsidR="0009105E" w:rsidRPr="004E2A8C" w:rsidRDefault="0009105E" w:rsidP="00656FE7">
            <w:pPr>
              <w:spacing w:after="0" w:line="240" w:lineRule="auto"/>
              <w:rPr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4E2A8C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3</w:t>
            </w:r>
            <w:r w:rsidRPr="004E2A8C">
              <w:rPr>
                <w:color w:val="000000"/>
                <w:sz w:val="18"/>
                <w:szCs w:val="18"/>
                <w:lang w:eastAsia="en-GB"/>
              </w:rPr>
              <w:t xml:space="preserve"> severe</w:t>
            </w:r>
          </w:p>
          <w:p w14:paraId="54649CB2" w14:textId="77777777" w:rsidR="0009105E" w:rsidRPr="004E2A8C" w:rsidRDefault="0009105E" w:rsidP="00656FE7">
            <w:pPr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2DC3859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3.22 (2.74 – 3.78)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56A8673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2.15 (1.71 – 2.69)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22B4B4A2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B050C">
              <w:rPr>
                <w:color w:val="000000"/>
                <w:sz w:val="18"/>
                <w:szCs w:val="18"/>
              </w:rPr>
              <w:t>5.35 (4.33 – 6.61)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09826FF0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3.86 (3.40 – 4.38)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6C0D0FCB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2.64 (2.22 – 3.15)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4C23D522" w14:textId="77777777" w:rsidR="0009105E" w:rsidRPr="003B050C" w:rsidRDefault="0009105E" w:rsidP="00656F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1E7496">
              <w:rPr>
                <w:color w:val="000000"/>
                <w:sz w:val="18"/>
                <w:szCs w:val="18"/>
              </w:rPr>
              <w:t>6.69 (5.62 – 7.97)</w:t>
            </w:r>
          </w:p>
        </w:tc>
      </w:tr>
    </w:tbl>
    <w:p w14:paraId="41DCD0FD" w14:textId="77777777" w:rsidR="0009105E" w:rsidRDefault="0009105E" w:rsidP="0009105E">
      <w:r w:rsidRPr="00DD6769">
        <w:t xml:space="preserve">* Adjusted for </w:t>
      </w:r>
      <w:r>
        <w:t>all baseline characteristics</w:t>
      </w:r>
      <w:r w:rsidRPr="00F414A4">
        <w:t xml:space="preserve"> </w:t>
      </w:r>
      <w:r>
        <w:t xml:space="preserve">listed in Table 1. </w:t>
      </w:r>
    </w:p>
    <w:p w14:paraId="4F4A63C9" w14:textId="77777777" w:rsidR="0009105E" w:rsidRDefault="0009105E" w:rsidP="0009105E"/>
    <w:p w14:paraId="1E331FE4" w14:textId="7BA9701D" w:rsidR="00656FE7" w:rsidRDefault="00656FE7" w:rsidP="00F54B0A">
      <w:pPr>
        <w:pStyle w:val="Caption"/>
      </w:pPr>
    </w:p>
    <w:p w14:paraId="2E3EEFB6" w14:textId="3F7EF79A" w:rsidR="004B0C06" w:rsidRDefault="004B0C06" w:rsidP="004B0C06"/>
    <w:p w14:paraId="04EDAAA9" w14:textId="2CB8D576" w:rsidR="004B0C06" w:rsidRDefault="004B0C06" w:rsidP="004B0C06"/>
    <w:p w14:paraId="14D2867A" w14:textId="77777777" w:rsidR="002822BD" w:rsidRDefault="002822BD" w:rsidP="004B0C06">
      <w:pPr>
        <w:sectPr w:rsidR="002822BD" w:rsidSect="00F54B0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5659080" w14:textId="4C6B380F" w:rsidR="002822BD" w:rsidRPr="002822BD" w:rsidRDefault="002822BD" w:rsidP="002822BD">
      <w:pPr>
        <w:pStyle w:val="Heading1"/>
        <w:rPr>
          <w:b w:val="0"/>
          <w:bCs w:val="0"/>
        </w:rPr>
      </w:pPr>
      <w:bookmarkStart w:id="12" w:name="_Toc90391205"/>
      <w:r w:rsidRPr="002822BD">
        <w:rPr>
          <w:rStyle w:val="Heading1Char"/>
          <w:b/>
          <w:bCs/>
        </w:rPr>
        <w:lastRenderedPageBreak/>
        <w:t xml:space="preserve">Figure </w:t>
      </w:r>
      <w:r>
        <w:rPr>
          <w:rStyle w:val="Heading1Char"/>
          <w:b/>
          <w:bCs/>
        </w:rPr>
        <w:t>E1</w:t>
      </w:r>
      <w:r w:rsidRPr="002822BD">
        <w:rPr>
          <w:rStyle w:val="Heading1Char"/>
          <w:b/>
          <w:bCs/>
        </w:rPr>
        <w:t>. Flow diagram of COPD patients included in the study population.</w:t>
      </w:r>
      <w:bookmarkEnd w:id="12"/>
    </w:p>
    <w:p w14:paraId="32872A69" w14:textId="77777777" w:rsidR="002822BD" w:rsidRDefault="002822BD" w:rsidP="002822BD">
      <w:pPr>
        <w:pStyle w:val="ListParagraph"/>
        <w:jc w:val="center"/>
      </w:pPr>
    </w:p>
    <w:p w14:paraId="4DE5146C" w14:textId="34657004" w:rsidR="002822BD" w:rsidRPr="00EF29EE" w:rsidRDefault="002822BD" w:rsidP="002822BD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38BDC" wp14:editId="2EA96B70">
                <wp:simplePos x="0" y="0"/>
                <wp:positionH relativeFrom="column">
                  <wp:posOffset>3095625</wp:posOffset>
                </wp:positionH>
                <wp:positionV relativeFrom="paragraph">
                  <wp:posOffset>447040</wp:posOffset>
                </wp:positionV>
                <wp:extent cx="0" cy="266700"/>
                <wp:effectExtent l="76200" t="0" r="571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631A6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3.75pt;margin-top:35.2pt;width:0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BF0777">
        <w:t xml:space="preserve">COPD patients aged over 40 years old with CPRD </w:t>
      </w:r>
      <w:proofErr w:type="spellStart"/>
      <w:r w:rsidRPr="00BF0777">
        <w:t>Aurum</w:t>
      </w:r>
      <w:proofErr w:type="spellEnd"/>
      <w:r w:rsidRPr="00BF0777">
        <w:t xml:space="preserve"> data between</w:t>
      </w:r>
      <w:r>
        <w:t xml:space="preserve"> 2004 and 2019</w:t>
      </w:r>
      <w:r>
        <w:br/>
      </w:r>
      <w:r w:rsidRPr="00EF29EE">
        <w:rPr>
          <w:b/>
          <w:bCs/>
        </w:rPr>
        <w:t>N=431,917</w:t>
      </w:r>
    </w:p>
    <w:p w14:paraId="684D3FE2" w14:textId="77777777" w:rsidR="002822BD" w:rsidRPr="00EF29EE" w:rsidRDefault="002822BD" w:rsidP="002822BD">
      <w:pPr>
        <w:pStyle w:val="ListParagraph"/>
        <w:jc w:val="center"/>
      </w:pPr>
    </w:p>
    <w:p w14:paraId="7698BA55" w14:textId="77777777" w:rsidR="002822BD" w:rsidRDefault="002822BD" w:rsidP="002822BD">
      <w:pPr>
        <w:pStyle w:val="ListParagraph"/>
        <w:jc w:val="center"/>
      </w:pPr>
      <w:r w:rsidRPr="00EF29EE">
        <w:t>COPD patients with HES linkage</w:t>
      </w:r>
    </w:p>
    <w:p w14:paraId="5C314B09" w14:textId="77777777" w:rsidR="002822BD" w:rsidRPr="00EF29EE" w:rsidRDefault="002822BD" w:rsidP="002822BD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B6C79" wp14:editId="63CD2E0E">
                <wp:simplePos x="0" y="0"/>
                <wp:positionH relativeFrom="column">
                  <wp:posOffset>3105150</wp:posOffset>
                </wp:positionH>
                <wp:positionV relativeFrom="paragraph">
                  <wp:posOffset>198120</wp:posOffset>
                </wp:positionV>
                <wp:extent cx="0" cy="266700"/>
                <wp:effectExtent l="76200" t="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520B818" id="Straight Arrow Connector 3" o:spid="_x0000_s1026" type="#_x0000_t32" style="position:absolute;margin-left:244.5pt;margin-top:15.6pt;width:0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EF29EE">
        <w:rPr>
          <w:b/>
          <w:bCs/>
        </w:rPr>
        <w:t>N=355,696</w:t>
      </w:r>
    </w:p>
    <w:p w14:paraId="6A18715B" w14:textId="77777777" w:rsidR="002822BD" w:rsidRPr="00EF29EE" w:rsidRDefault="002822BD" w:rsidP="002822BD">
      <w:pPr>
        <w:pStyle w:val="ListParagraph"/>
        <w:jc w:val="center"/>
      </w:pPr>
    </w:p>
    <w:p w14:paraId="46C1AF23" w14:textId="77777777" w:rsidR="002822BD" w:rsidRDefault="002822BD" w:rsidP="002822BD">
      <w:pPr>
        <w:pStyle w:val="ListParagraph"/>
        <w:jc w:val="center"/>
      </w:pPr>
      <w:r w:rsidRPr="00EF29EE">
        <w:t>COPD patients with current or ex-smoking status</w:t>
      </w:r>
    </w:p>
    <w:p w14:paraId="0F68ADF4" w14:textId="77777777" w:rsidR="002822BD" w:rsidRDefault="002822BD" w:rsidP="002822BD">
      <w:pPr>
        <w:pStyle w:val="ListParagraph"/>
        <w:jc w:val="center"/>
      </w:pPr>
      <w:r w:rsidRPr="00EF29EE">
        <w:rPr>
          <w:b/>
          <w:bCs/>
        </w:rPr>
        <w:t>N=340,515</w:t>
      </w:r>
    </w:p>
    <w:p w14:paraId="436A51DE" w14:textId="184B7B2A" w:rsidR="002822BD" w:rsidRPr="00D7472D" w:rsidRDefault="002822BD" w:rsidP="002822BD">
      <w:pPr>
        <w:pStyle w:val="Caption"/>
        <w:rPr>
          <w:b w:val="0"/>
          <w:bCs w:val="0"/>
        </w:rPr>
        <w:sectPr w:rsidR="002822BD" w:rsidRPr="00D7472D" w:rsidSect="00656FE7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  <w:t xml:space="preserve">Legend: </w:t>
      </w:r>
      <w:r>
        <w:rPr>
          <w:b w:val="0"/>
          <w:bCs w:val="0"/>
        </w:rPr>
        <w:t>CPRD (Clinical Practice Research Datalink); HES (Hospital Episode Statistics)</w:t>
      </w:r>
    </w:p>
    <w:p w14:paraId="33B0186F" w14:textId="08043430" w:rsidR="004B0C06" w:rsidRDefault="004B0C06" w:rsidP="00EB7520">
      <w:pPr>
        <w:pStyle w:val="Heading1"/>
      </w:pPr>
      <w:bookmarkStart w:id="13" w:name="_Toc90391206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A63CA2" wp14:editId="5570D251">
            <wp:simplePos x="0" y="0"/>
            <wp:positionH relativeFrom="margin">
              <wp:align>left</wp:align>
            </wp:positionH>
            <wp:positionV relativeFrom="paragraph">
              <wp:posOffset>554355</wp:posOffset>
            </wp:positionV>
            <wp:extent cx="6264910" cy="2990850"/>
            <wp:effectExtent l="0" t="0" r="2540" b="0"/>
            <wp:wrapSquare wrapText="bothSides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D444D5F0-2277-4140-8A6A-56714C2E1E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Pr="00931E9D">
        <w:t xml:space="preserve">Figure </w:t>
      </w:r>
      <w:r w:rsidR="00EB7520">
        <w:t>E</w:t>
      </w:r>
      <w:r w:rsidR="002822BD">
        <w:t>2</w:t>
      </w:r>
      <w:r>
        <w:t xml:space="preserve">. </w:t>
      </w:r>
      <w:r>
        <w:rPr>
          <w:lang w:val="en-US"/>
        </w:rPr>
        <w:t>Exacerbation</w:t>
      </w:r>
      <w:r w:rsidRPr="00C5214C">
        <w:t xml:space="preserve"> frequency and severity in patients with active follow-up for each calendar year of follow-up</w:t>
      </w:r>
      <w:r>
        <w:t>.</w:t>
      </w:r>
      <w:bookmarkEnd w:id="13"/>
      <w:r>
        <w:br/>
      </w:r>
    </w:p>
    <w:p w14:paraId="4EF23536" w14:textId="3CF049AF" w:rsidR="00EB7520" w:rsidRPr="004B0C06" w:rsidRDefault="00EB7520" w:rsidP="004B0C06">
      <w:r w:rsidRPr="00C31F6D">
        <w:rPr>
          <w:b/>
          <w:bCs/>
        </w:rPr>
        <w:t>Legend:</w:t>
      </w:r>
      <w:r>
        <w:t xml:space="preserve"> AECOPD (acute exacerbations of COPD).</w:t>
      </w:r>
    </w:p>
    <w:sectPr w:rsidR="00EB7520" w:rsidRPr="004B0C06" w:rsidSect="00282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A09D7" w14:textId="77777777" w:rsidR="00CA4A70" w:rsidRDefault="00CA4A70">
      <w:pPr>
        <w:spacing w:after="0" w:line="240" w:lineRule="auto"/>
      </w:pPr>
      <w:r>
        <w:separator/>
      </w:r>
    </w:p>
  </w:endnote>
  <w:endnote w:type="continuationSeparator" w:id="0">
    <w:p w14:paraId="0B169E40" w14:textId="77777777" w:rsidR="00CA4A70" w:rsidRDefault="00CA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6431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93242" w14:textId="77777777" w:rsidR="00656FE7" w:rsidRDefault="006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89886" w14:textId="77777777" w:rsidR="00CA4A70" w:rsidRDefault="00CA4A70">
      <w:pPr>
        <w:spacing w:after="0" w:line="240" w:lineRule="auto"/>
      </w:pPr>
      <w:r>
        <w:separator/>
      </w:r>
    </w:p>
  </w:footnote>
  <w:footnote w:type="continuationSeparator" w:id="0">
    <w:p w14:paraId="05A2988B" w14:textId="77777777" w:rsidR="00CA4A70" w:rsidRDefault="00CA4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275AF"/>
    <w:multiLevelType w:val="multilevel"/>
    <w:tmpl w:val="2CF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97F52"/>
    <w:multiLevelType w:val="multilevel"/>
    <w:tmpl w:val="A7E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C7708"/>
    <w:multiLevelType w:val="multilevel"/>
    <w:tmpl w:val="736C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03842"/>
    <w:multiLevelType w:val="multilevel"/>
    <w:tmpl w:val="DC08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82"/>
    <w:rsid w:val="0009105E"/>
    <w:rsid w:val="00172E82"/>
    <w:rsid w:val="002822BD"/>
    <w:rsid w:val="00443B54"/>
    <w:rsid w:val="004B0C06"/>
    <w:rsid w:val="0059150F"/>
    <w:rsid w:val="006328FC"/>
    <w:rsid w:val="00656FE7"/>
    <w:rsid w:val="006669BE"/>
    <w:rsid w:val="006E7CE8"/>
    <w:rsid w:val="006F3138"/>
    <w:rsid w:val="0072026B"/>
    <w:rsid w:val="00835562"/>
    <w:rsid w:val="008563A9"/>
    <w:rsid w:val="00894F51"/>
    <w:rsid w:val="0094595A"/>
    <w:rsid w:val="00BB6BFF"/>
    <w:rsid w:val="00C51F5F"/>
    <w:rsid w:val="00C87215"/>
    <w:rsid w:val="00CA4A70"/>
    <w:rsid w:val="00CC39CD"/>
    <w:rsid w:val="00DE5311"/>
    <w:rsid w:val="00EB7520"/>
    <w:rsid w:val="00F10464"/>
    <w:rsid w:val="00F54B0A"/>
    <w:rsid w:val="00FD7416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D405"/>
  <w15:chartTrackingRefBased/>
  <w15:docId w15:val="{6336F02B-59A2-4CE2-A875-C6DB9AE3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82"/>
    <w:pPr>
      <w:spacing w:after="120" w:line="36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215"/>
    <w:pPr>
      <w:keepNext/>
      <w:keepLines/>
      <w:spacing w:before="240" w:after="0"/>
      <w:outlineLvl w:val="0"/>
    </w:pPr>
    <w:rPr>
      <w:rFonts w:eastAsiaTheme="maj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8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172E82"/>
    <w:pPr>
      <w:spacing w:before="120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172E82"/>
    <w:rPr>
      <w:sz w:val="16"/>
      <w:szCs w:val="16"/>
    </w:rPr>
  </w:style>
  <w:style w:type="table" w:styleId="PlainTable1">
    <w:name w:val="Plain Table 1"/>
    <w:basedOn w:val="TableNormal"/>
    <w:uiPriority w:val="41"/>
    <w:rsid w:val="00F54B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721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87215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556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3556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4B0C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C0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1,Bullet 1,Bullet List,Table Legend,Footer Setting,FooterText,List Paragraph1,numbered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2822BD"/>
    <w:pPr>
      <w:ind w:left="720"/>
      <w:contextualSpacing/>
    </w:pPr>
  </w:style>
  <w:style w:type="character" w:customStyle="1" w:styleId="ListParagraphChar">
    <w:name w:val="List Paragraph Char"/>
    <w:aliases w:val="Bullet1 Char,Bullet 1 Char,Bullet List Char,Table Legend Char,Footer Setting Char,FooterText Char,List Paragraph1 Char,numbered Char,Paragraphe de liste1 Char,Bulletr List Paragraph Char,列出段落 Char,列出段落1 Char,List Paragraph2 Char"/>
    <w:link w:val="ListParagraph"/>
    <w:uiPriority w:val="34"/>
    <w:locked/>
    <w:rsid w:val="002822BD"/>
    <w:rPr>
      <w:rFonts w:ascii="Times New Roman" w:eastAsia="Times New Roman" w:hAnsi="Times New Roman" w:cs="Times New Roman"/>
      <w:szCs w:val="20"/>
    </w:rPr>
  </w:style>
  <w:style w:type="paragraph" w:styleId="Footer">
    <w:name w:val="footer"/>
    <w:link w:val="FooterChar"/>
    <w:uiPriority w:val="99"/>
    <w:rsid w:val="002822BD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22BD"/>
    <w:rPr>
      <w:rFonts w:ascii="Times New Roman" w:eastAsia="Times New Roman" w:hAnsi="Times New Roman" w:cs="Times New Roman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F5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F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cnas2.cc.ic.ac.uk\hwhittak\Documents\AZ\AECOPD%20frequency%20per%20ye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AECOPD frequency and severity by year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714993511479015"/>
          <c:y val="0.11575978375837348"/>
          <c:w val="0.84811497691108073"/>
          <c:h val="0.66989731460806201"/>
        </c:manualLayout>
      </c:layout>
      <c:lineChart>
        <c:grouping val="standard"/>
        <c:varyColors val="0"/>
        <c:ser>
          <c:idx val="0"/>
          <c:order val="0"/>
          <c:tx>
            <c:strRef>
              <c:f>Sheet1!$A$50</c:f>
              <c:strCache>
                <c:ptCount val="1"/>
                <c:pt idx="0">
                  <c:v>No AECOPD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Sheet1!$B$50:$O$50</c:f>
              <c:numCache>
                <c:formatCode>General</c:formatCode>
                <c:ptCount val="14"/>
                <c:pt idx="0">
                  <c:v>50.3</c:v>
                </c:pt>
                <c:pt idx="1">
                  <c:v>51.2</c:v>
                </c:pt>
                <c:pt idx="2">
                  <c:v>50.4</c:v>
                </c:pt>
                <c:pt idx="3">
                  <c:v>49.8</c:v>
                </c:pt>
                <c:pt idx="4">
                  <c:v>50.97</c:v>
                </c:pt>
                <c:pt idx="5">
                  <c:v>50.25</c:v>
                </c:pt>
                <c:pt idx="6">
                  <c:v>50.6</c:v>
                </c:pt>
                <c:pt idx="7">
                  <c:v>50.47</c:v>
                </c:pt>
                <c:pt idx="8">
                  <c:v>54.27</c:v>
                </c:pt>
                <c:pt idx="9">
                  <c:v>56.93</c:v>
                </c:pt>
                <c:pt idx="10">
                  <c:v>58.98</c:v>
                </c:pt>
                <c:pt idx="11">
                  <c:v>59.03</c:v>
                </c:pt>
                <c:pt idx="12">
                  <c:v>59.03</c:v>
                </c:pt>
                <c:pt idx="13">
                  <c:v>58.23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D2-44FF-B339-BDF62C5BC452}"/>
            </c:ext>
          </c:extLst>
        </c:ser>
        <c:ser>
          <c:idx val="1"/>
          <c:order val="1"/>
          <c:tx>
            <c:strRef>
              <c:f>Sheet1!$A$51</c:f>
              <c:strCache>
                <c:ptCount val="1"/>
                <c:pt idx="0">
                  <c:v>1 moderate AECOPD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Sheet1!$B$51:$O$51</c:f>
              <c:numCache>
                <c:formatCode>General</c:formatCode>
                <c:ptCount val="14"/>
                <c:pt idx="0">
                  <c:v>22.6</c:v>
                </c:pt>
                <c:pt idx="1">
                  <c:v>22.1</c:v>
                </c:pt>
                <c:pt idx="2">
                  <c:v>22.2</c:v>
                </c:pt>
                <c:pt idx="3">
                  <c:v>22.4</c:v>
                </c:pt>
                <c:pt idx="4">
                  <c:v>22.26</c:v>
                </c:pt>
                <c:pt idx="5">
                  <c:v>22.39</c:v>
                </c:pt>
                <c:pt idx="6">
                  <c:v>22.1</c:v>
                </c:pt>
                <c:pt idx="7">
                  <c:v>22.07</c:v>
                </c:pt>
                <c:pt idx="8">
                  <c:v>20.77</c:v>
                </c:pt>
                <c:pt idx="9">
                  <c:v>19.88</c:v>
                </c:pt>
                <c:pt idx="10">
                  <c:v>18.899999999999999</c:v>
                </c:pt>
                <c:pt idx="11">
                  <c:v>18.89</c:v>
                </c:pt>
                <c:pt idx="12">
                  <c:v>18.87</c:v>
                </c:pt>
                <c:pt idx="13">
                  <c:v>19.39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D2-44FF-B339-BDF62C5BC452}"/>
            </c:ext>
          </c:extLst>
        </c:ser>
        <c:ser>
          <c:idx val="2"/>
          <c:order val="2"/>
          <c:tx>
            <c:strRef>
              <c:f>Sheet1!$A$52</c:f>
              <c:strCache>
                <c:ptCount val="1"/>
                <c:pt idx="0">
                  <c:v>2 moderate AECOPD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Sheet1!$B$52:$O$52</c:f>
              <c:numCache>
                <c:formatCode>General</c:formatCode>
                <c:ptCount val="14"/>
                <c:pt idx="0">
                  <c:v>11.06</c:v>
                </c:pt>
                <c:pt idx="1">
                  <c:v>11.3</c:v>
                </c:pt>
                <c:pt idx="2">
                  <c:v>11.6</c:v>
                </c:pt>
                <c:pt idx="3">
                  <c:v>11.6</c:v>
                </c:pt>
                <c:pt idx="4">
                  <c:v>11.3</c:v>
                </c:pt>
                <c:pt idx="5">
                  <c:v>11.56</c:v>
                </c:pt>
                <c:pt idx="6">
                  <c:v>11.4</c:v>
                </c:pt>
                <c:pt idx="7">
                  <c:v>11.06</c:v>
                </c:pt>
                <c:pt idx="8">
                  <c:v>9.4600000000000009</c:v>
                </c:pt>
                <c:pt idx="9">
                  <c:v>8.16</c:v>
                </c:pt>
                <c:pt idx="10">
                  <c:v>7.2</c:v>
                </c:pt>
                <c:pt idx="11">
                  <c:v>6.59</c:v>
                </c:pt>
                <c:pt idx="12">
                  <c:v>6.31</c:v>
                </c:pt>
                <c:pt idx="13">
                  <c:v>4.71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D2-44FF-B339-BDF62C5BC452}"/>
            </c:ext>
          </c:extLst>
        </c:ser>
        <c:ser>
          <c:idx val="3"/>
          <c:order val="3"/>
          <c:tx>
            <c:strRef>
              <c:f>Sheet1!$A$53</c:f>
              <c:strCache>
                <c:ptCount val="1"/>
                <c:pt idx="0">
                  <c:v>3+ moderate AECOPD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Sheet1!$B$53:$O$53</c:f>
              <c:numCache>
                <c:formatCode>General</c:formatCode>
                <c:ptCount val="14"/>
                <c:pt idx="0">
                  <c:v>5.67</c:v>
                </c:pt>
                <c:pt idx="1">
                  <c:v>5.8</c:v>
                </c:pt>
                <c:pt idx="2">
                  <c:v>6.3</c:v>
                </c:pt>
                <c:pt idx="3">
                  <c:v>6.2</c:v>
                </c:pt>
                <c:pt idx="4">
                  <c:v>5.96</c:v>
                </c:pt>
                <c:pt idx="5">
                  <c:v>6.11</c:v>
                </c:pt>
                <c:pt idx="6">
                  <c:v>6.06</c:v>
                </c:pt>
                <c:pt idx="7">
                  <c:v>5.95</c:v>
                </c:pt>
                <c:pt idx="8">
                  <c:v>4.82</c:v>
                </c:pt>
                <c:pt idx="9">
                  <c:v>3.92</c:v>
                </c:pt>
                <c:pt idx="10">
                  <c:v>3.25</c:v>
                </c:pt>
                <c:pt idx="11">
                  <c:v>2.86</c:v>
                </c:pt>
                <c:pt idx="12">
                  <c:v>2.5099999999999998</c:v>
                </c:pt>
                <c:pt idx="13">
                  <c:v>2.0699999999999998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7D2-44FF-B339-BDF62C5BC452}"/>
            </c:ext>
          </c:extLst>
        </c:ser>
        <c:ser>
          <c:idx val="4"/>
          <c:order val="4"/>
          <c:tx>
            <c:strRef>
              <c:f>Sheet1!$A$54</c:f>
              <c:strCache>
                <c:ptCount val="1"/>
                <c:pt idx="0">
                  <c:v>1 severe AECOPD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Sheet1!$B$54:$O$54</c:f>
              <c:numCache>
                <c:formatCode>General</c:formatCode>
                <c:ptCount val="14"/>
                <c:pt idx="0">
                  <c:v>7.79</c:v>
                </c:pt>
                <c:pt idx="1">
                  <c:v>7.2</c:v>
                </c:pt>
                <c:pt idx="2">
                  <c:v>7.2</c:v>
                </c:pt>
                <c:pt idx="3">
                  <c:v>7.6</c:v>
                </c:pt>
                <c:pt idx="4">
                  <c:v>7.18</c:v>
                </c:pt>
                <c:pt idx="5">
                  <c:v>7.4</c:v>
                </c:pt>
                <c:pt idx="6">
                  <c:v>7.38</c:v>
                </c:pt>
                <c:pt idx="7">
                  <c:v>7.92</c:v>
                </c:pt>
                <c:pt idx="8">
                  <c:v>8.06</c:v>
                </c:pt>
                <c:pt idx="9">
                  <c:v>8.39</c:v>
                </c:pt>
                <c:pt idx="10">
                  <c:v>8.77</c:v>
                </c:pt>
                <c:pt idx="11">
                  <c:v>9.4499999999999993</c:v>
                </c:pt>
                <c:pt idx="12">
                  <c:v>10</c:v>
                </c:pt>
                <c:pt idx="13">
                  <c:v>11.13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7D2-44FF-B339-BDF62C5BC452}"/>
            </c:ext>
          </c:extLst>
        </c:ser>
        <c:ser>
          <c:idx val="5"/>
          <c:order val="5"/>
          <c:tx>
            <c:strRef>
              <c:f>Sheet1!$A$55</c:f>
              <c:strCache>
                <c:ptCount val="1"/>
                <c:pt idx="0">
                  <c:v>2 severe AECOPD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Sheet1!$B$55:$O$55</c:f>
              <c:numCache>
                <c:formatCode>General</c:formatCode>
                <c:ptCount val="14"/>
                <c:pt idx="0">
                  <c:v>1.87</c:v>
                </c:pt>
                <c:pt idx="1">
                  <c:v>1.7</c:v>
                </c:pt>
                <c:pt idx="2">
                  <c:v>1.72</c:v>
                </c:pt>
                <c:pt idx="3">
                  <c:v>1.8</c:v>
                </c:pt>
                <c:pt idx="4">
                  <c:v>1.75</c:v>
                </c:pt>
                <c:pt idx="5">
                  <c:v>1.7</c:v>
                </c:pt>
                <c:pt idx="6">
                  <c:v>1.82</c:v>
                </c:pt>
                <c:pt idx="7">
                  <c:v>1.9</c:v>
                </c:pt>
                <c:pt idx="8">
                  <c:v>2</c:v>
                </c:pt>
                <c:pt idx="9">
                  <c:v>2.0499999999999998</c:v>
                </c:pt>
                <c:pt idx="10">
                  <c:v>2.1800000000000002</c:v>
                </c:pt>
                <c:pt idx="11">
                  <c:v>2.4</c:v>
                </c:pt>
                <c:pt idx="12">
                  <c:v>2.4700000000000002</c:v>
                </c:pt>
                <c:pt idx="13">
                  <c:v>2.62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7D2-44FF-B339-BDF62C5BC452}"/>
            </c:ext>
          </c:extLst>
        </c:ser>
        <c:ser>
          <c:idx val="6"/>
          <c:order val="6"/>
          <c:tx>
            <c:strRef>
              <c:f>Sheet1!$A$56</c:f>
              <c:strCache>
                <c:ptCount val="1"/>
                <c:pt idx="0">
                  <c:v>3+ severe AECOPD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Sheet1!$B$49:$O$49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Sheet1!$B$56:$O$56</c:f>
              <c:numCache>
                <c:formatCode>General</c:formatCode>
                <c:ptCount val="14"/>
                <c:pt idx="0">
                  <c:v>0.69</c:v>
                </c:pt>
                <c:pt idx="1">
                  <c:v>0.6</c:v>
                </c:pt>
                <c:pt idx="2">
                  <c:v>0.5</c:v>
                </c:pt>
                <c:pt idx="3">
                  <c:v>0.6</c:v>
                </c:pt>
                <c:pt idx="4">
                  <c:v>0.56999999999999995</c:v>
                </c:pt>
                <c:pt idx="5">
                  <c:v>0.57999999999999996</c:v>
                </c:pt>
                <c:pt idx="6">
                  <c:v>0.6</c:v>
                </c:pt>
                <c:pt idx="7">
                  <c:v>0.6</c:v>
                </c:pt>
                <c:pt idx="8">
                  <c:v>0.6</c:v>
                </c:pt>
                <c:pt idx="9">
                  <c:v>0.67</c:v>
                </c:pt>
                <c:pt idx="10">
                  <c:v>0.71</c:v>
                </c:pt>
                <c:pt idx="11">
                  <c:v>0.78</c:v>
                </c:pt>
                <c:pt idx="12">
                  <c:v>0.79</c:v>
                </c:pt>
                <c:pt idx="13">
                  <c:v>0.86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7D2-44FF-B339-BDF62C5BC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9299592"/>
        <c:axId val="419301232"/>
      </c:lineChart>
      <c:catAx>
        <c:axId val="419299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301232"/>
        <c:crosses val="autoZero"/>
        <c:auto val="1"/>
        <c:lblAlgn val="ctr"/>
        <c:lblOffset val="100"/>
        <c:noMultiLvlLbl val="0"/>
      </c:catAx>
      <c:valAx>
        <c:axId val="419301232"/>
        <c:scaling>
          <c:orientation val="minMax"/>
          <c:max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900"/>
                  <a:t>Frequency of AECOPD in patients with</a:t>
                </a:r>
                <a:r>
                  <a:rPr lang="en-GB" sz="900" baseline="0"/>
                  <a:t> active follow-up for each year</a:t>
                </a:r>
                <a:endParaRPr lang="en-GB" sz="900"/>
              </a:p>
            </c:rich>
          </c:tx>
          <c:layout>
            <c:manualLayout>
              <c:xMode val="edge"/>
              <c:yMode val="edge"/>
              <c:x val="1.0170618214048304E-2"/>
              <c:y val="7.453933913534067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299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860314231179161E-2"/>
          <c:y val="0.8759019032726667"/>
          <c:w val="0.94006361325374987"/>
          <c:h val="8.4537943084294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B6C86CBFF914B9D3F8D992BEC512C" ma:contentTypeVersion="12" ma:contentTypeDescription="Create a new document." ma:contentTypeScope="" ma:versionID="f21030e9df69cbd9ad4202253d2ca801">
  <xsd:schema xmlns:xsd="http://www.w3.org/2001/XMLSchema" xmlns:xs="http://www.w3.org/2001/XMLSchema" xmlns:p="http://schemas.microsoft.com/office/2006/metadata/properties" xmlns:ns3="f482bcbe-20d5-41f7-9c5a-c08200f4ffc4" xmlns:ns4="7a6763c4-bc6f-4b17-b9d8-94a5ed62ccb1" targetNamespace="http://schemas.microsoft.com/office/2006/metadata/properties" ma:root="true" ma:fieldsID="a7cbd03aa3dddbce9d27306c9bc401a2" ns3:_="" ns4:_="">
    <xsd:import namespace="f482bcbe-20d5-41f7-9c5a-c08200f4ffc4"/>
    <xsd:import namespace="7a6763c4-bc6f-4b17-b9d8-94a5ed62c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bcbe-20d5-41f7-9c5a-c08200f4f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763c4-bc6f-4b17-b9d8-94a5ed62c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D23C6-985D-4982-9E25-F77FE02AA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92632-BEF6-410F-8FAB-2DD677828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C38EB-69AD-4441-B1E0-10F2DA9D5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63190-FAAF-44B3-9DF2-9A4C62E05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2bcbe-20d5-41f7-9c5a-c08200f4ffc4"/>
    <ds:schemaRef ds:uri="7a6763c4-bc6f-4b17-b9d8-94a5ed62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Whittaker, Hannah R</dc:creator>
  <cp:keywords/>
  <dc:description/>
  <cp:lastModifiedBy>Whittaker, Hannah R</cp:lastModifiedBy>
  <cp:revision>2</cp:revision>
  <dcterms:created xsi:type="dcterms:W3CDTF">2021-12-22T15:20:00Z</dcterms:created>
  <dcterms:modified xsi:type="dcterms:W3CDTF">2021-12-22T15:20:00Z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0x010100F49B6C86CBFF914B9D3F8D992BEC512C</vt:lpwstr>
  </property>
</Properties>
</file>