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6BA2" w:rsidRPr="00B11365" w:rsidRDefault="00A66BA2" w:rsidP="00A66BA2">
      <w:pPr>
        <w:spacing w:line="480" w:lineRule="auto"/>
        <w:jc w:val="center"/>
        <w:rPr>
          <w:rFonts w:ascii="Times New Roman" w:hAnsi="Times New Roman" w:cs="Times New Roman"/>
          <w:b/>
          <w:lang w:val="en-US"/>
        </w:rPr>
      </w:pPr>
      <w:bookmarkStart w:id="0" w:name="_Toc66120091"/>
      <w:r>
        <w:rPr>
          <w:rFonts w:ascii="Times New Roman" w:hAnsi="Times New Roman" w:cs="Times New Roman"/>
          <w:b/>
          <w:lang w:val="en-US"/>
        </w:rPr>
        <w:t xml:space="preserve">Increased long-term risk of mortality associated with isolation of </w:t>
      </w:r>
      <w:r w:rsidRPr="00B11365">
        <w:rPr>
          <w:rFonts w:ascii="Times New Roman" w:hAnsi="Times New Roman" w:cs="Times New Roman"/>
          <w:b/>
          <w:i/>
          <w:lang w:val="en-US"/>
        </w:rPr>
        <w:t>Pseudomonas aeruginosa</w:t>
      </w:r>
      <w:r w:rsidRPr="00B11365">
        <w:rPr>
          <w:rFonts w:ascii="Times New Roman" w:hAnsi="Times New Roman" w:cs="Times New Roman"/>
          <w:b/>
          <w:lang w:val="en-US"/>
        </w:rPr>
        <w:t xml:space="preserve"> </w:t>
      </w:r>
      <w:r>
        <w:rPr>
          <w:rFonts w:ascii="Times New Roman" w:hAnsi="Times New Roman" w:cs="Times New Roman"/>
          <w:b/>
          <w:lang w:val="en-US"/>
        </w:rPr>
        <w:t xml:space="preserve">in </w:t>
      </w:r>
      <w:r w:rsidRPr="00B11365">
        <w:rPr>
          <w:rFonts w:ascii="Times New Roman" w:hAnsi="Times New Roman" w:cs="Times New Roman"/>
          <w:b/>
          <w:lang w:val="en-US"/>
        </w:rPr>
        <w:t>COPD: a systematic review and meta-analysis</w:t>
      </w:r>
    </w:p>
    <w:p w:rsidR="00A66BA2" w:rsidRPr="00A66BA2" w:rsidRDefault="006F337A" w:rsidP="00A66BA2">
      <w:pPr>
        <w:keepNext/>
        <w:keepLines/>
        <w:spacing w:before="480" w:line="276" w:lineRule="auto"/>
        <w:jc w:val="both"/>
        <w:outlineLvl w:val="0"/>
        <w:rPr>
          <w:rFonts w:ascii="Calibri" w:eastAsia="Times New Roman" w:hAnsi="Calibri" w:cs="Times New Roman"/>
          <w:b/>
          <w:bCs/>
          <w:color w:val="365F91"/>
          <w:sz w:val="28"/>
          <w:szCs w:val="28"/>
          <w:lang w:val="en-GB"/>
        </w:rPr>
      </w:pPr>
      <w:bookmarkStart w:id="1" w:name="_Toc66120092"/>
      <w:bookmarkEnd w:id="0"/>
      <w:r>
        <w:rPr>
          <w:rFonts w:ascii="Calibri" w:eastAsia="Times New Roman" w:hAnsi="Calibri" w:cs="Times New Roman"/>
          <w:b/>
          <w:bCs/>
          <w:color w:val="365F91"/>
          <w:sz w:val="28"/>
          <w:szCs w:val="28"/>
          <w:lang w:val="en-GB"/>
        </w:rPr>
        <w:t>Supplementary material</w:t>
      </w:r>
    </w:p>
    <w:p w:rsidR="00A66BA2" w:rsidRPr="00A66BA2" w:rsidRDefault="006F337A" w:rsidP="00A66BA2">
      <w:pPr>
        <w:keepNext/>
        <w:keepLines/>
        <w:spacing w:before="200" w:line="276" w:lineRule="auto"/>
        <w:jc w:val="both"/>
        <w:outlineLvl w:val="1"/>
        <w:rPr>
          <w:rFonts w:ascii="Calibri" w:eastAsia="Times New Roman" w:hAnsi="Calibri" w:cs="Times New Roman"/>
          <w:b/>
          <w:bCs/>
          <w:color w:val="4F81BD"/>
          <w:sz w:val="26"/>
          <w:szCs w:val="26"/>
          <w:lang w:val="en-GB"/>
        </w:rPr>
      </w:pPr>
      <w:r>
        <w:rPr>
          <w:rFonts w:ascii="Calibri" w:eastAsia="Times New Roman" w:hAnsi="Calibri" w:cs="Times New Roman"/>
          <w:b/>
          <w:bCs/>
          <w:color w:val="4F81BD"/>
          <w:sz w:val="26"/>
          <w:szCs w:val="26"/>
          <w:lang w:val="en-GB"/>
        </w:rPr>
        <w:t xml:space="preserve">Table </w:t>
      </w:r>
      <w:r w:rsidR="00FF550A">
        <w:rPr>
          <w:rFonts w:ascii="Calibri" w:eastAsia="Times New Roman" w:hAnsi="Calibri" w:cs="Times New Roman"/>
          <w:b/>
          <w:bCs/>
          <w:color w:val="4F81BD"/>
          <w:sz w:val="26"/>
          <w:szCs w:val="26"/>
          <w:lang w:val="en-GB"/>
        </w:rPr>
        <w:t>S</w:t>
      </w:r>
      <w:r w:rsidR="00A66BA2" w:rsidRPr="00A66BA2">
        <w:rPr>
          <w:rFonts w:ascii="Calibri" w:eastAsia="Times New Roman" w:hAnsi="Calibri" w:cs="Times New Roman"/>
          <w:b/>
          <w:bCs/>
          <w:color w:val="4F81BD"/>
          <w:sz w:val="26"/>
          <w:szCs w:val="26"/>
          <w:lang w:val="en-GB"/>
        </w:rPr>
        <w:t>1. Detailed bibliographic search strategy</w:t>
      </w:r>
      <w:bookmarkEnd w:id="1"/>
    </w:p>
    <w:p w:rsidR="00A66BA2" w:rsidRPr="00A66BA2" w:rsidRDefault="00A66BA2" w:rsidP="00A66BA2">
      <w:pPr>
        <w:spacing w:after="200" w:line="276" w:lineRule="auto"/>
        <w:rPr>
          <w:rFonts w:ascii="Calibri" w:eastAsia="Calibri" w:hAnsi="Calibri" w:cs="Times New Roman"/>
          <w:sz w:val="22"/>
          <w:szCs w:val="22"/>
          <w:lang w:val="en-GB"/>
        </w:rPr>
      </w:pPr>
    </w:p>
    <w:tbl>
      <w:tblPr>
        <w:tblStyle w:val="Taulaambquadrcula"/>
        <w:tblW w:w="0" w:type="auto"/>
        <w:tblLook w:val="04A0"/>
      </w:tblPr>
      <w:tblGrid>
        <w:gridCol w:w="7018"/>
      </w:tblGrid>
      <w:tr w:rsidR="00362B75" w:rsidRPr="00A66BA2" w:rsidTr="00362B75">
        <w:tc>
          <w:tcPr>
            <w:tcW w:w="7018" w:type="dxa"/>
          </w:tcPr>
          <w:p w:rsidR="00362B75" w:rsidRPr="00A66BA2" w:rsidRDefault="00362B75" w:rsidP="00A66BA2">
            <w:pPr>
              <w:jc w:val="both"/>
              <w:rPr>
                <w:rFonts w:ascii="Calibri" w:eastAsia="Calibri" w:hAnsi="Calibri" w:cs="Times New Roman"/>
                <w:sz w:val="20"/>
                <w:lang w:val="en-GB"/>
              </w:rPr>
            </w:pPr>
            <w:r w:rsidRPr="00A66BA2">
              <w:rPr>
                <w:rFonts w:ascii="Calibri" w:eastAsia="Calibri" w:hAnsi="Calibri" w:cs="Times New Roman"/>
                <w:b/>
                <w:sz w:val="20"/>
                <w:lang w:val="en-GB"/>
              </w:rPr>
              <w:t>MEDLINE (PubMed)</w:t>
            </w:r>
            <w:r w:rsidRPr="00A66BA2">
              <w:rPr>
                <w:rFonts w:ascii="Calibri" w:eastAsia="Calibri" w:hAnsi="Calibri" w:cs="Times New Roman"/>
                <w:sz w:val="20"/>
                <w:lang w:val="en-GB"/>
              </w:rPr>
              <w:t xml:space="preserve"> </w:t>
            </w:r>
            <w:r>
              <w:rPr>
                <w:rFonts w:ascii="Calibri" w:eastAsia="Calibri" w:hAnsi="Calibri" w:cs="Times New Roman"/>
                <w:sz w:val="20"/>
                <w:lang w:val="en-GB"/>
              </w:rPr>
              <w:t>21</w:t>
            </w:r>
            <w:r w:rsidRPr="00A66BA2">
              <w:rPr>
                <w:rFonts w:ascii="Calibri" w:eastAsia="Calibri" w:hAnsi="Calibri" w:cs="Times New Roman"/>
                <w:sz w:val="20"/>
                <w:lang w:val="en-GB"/>
              </w:rPr>
              <w:t>/1</w:t>
            </w:r>
            <w:r>
              <w:rPr>
                <w:rFonts w:ascii="Calibri" w:eastAsia="Calibri" w:hAnsi="Calibri" w:cs="Times New Roman"/>
                <w:sz w:val="20"/>
                <w:lang w:val="en-GB"/>
              </w:rPr>
              <w:t>2</w:t>
            </w:r>
            <w:r w:rsidRPr="00A66BA2">
              <w:rPr>
                <w:rFonts w:ascii="Calibri" w:eastAsia="Calibri" w:hAnsi="Calibri" w:cs="Times New Roman"/>
                <w:sz w:val="20"/>
                <w:lang w:val="en-GB"/>
              </w:rPr>
              <w:t>/202</w:t>
            </w:r>
            <w:r>
              <w:rPr>
                <w:rFonts w:ascii="Calibri" w:eastAsia="Calibri" w:hAnsi="Calibri" w:cs="Times New Roman"/>
                <w:sz w:val="20"/>
                <w:lang w:val="en-GB"/>
              </w:rPr>
              <w:t>1</w:t>
            </w:r>
          </w:p>
        </w:tc>
      </w:tr>
      <w:tr w:rsidR="00362B75" w:rsidRPr="00A66BA2" w:rsidTr="00362B75">
        <w:tc>
          <w:tcPr>
            <w:tcW w:w="7018" w:type="dxa"/>
          </w:tcPr>
          <w:p w:rsidR="00362B75" w:rsidRPr="00A66BA2" w:rsidRDefault="00362B75" w:rsidP="00A66BA2">
            <w:pPr>
              <w:jc w:val="both"/>
              <w:rPr>
                <w:rFonts w:ascii="Calibri" w:eastAsia="Calibri" w:hAnsi="Calibri" w:cs="Times New Roman"/>
                <w:sz w:val="20"/>
                <w:lang w:val="en-GB"/>
              </w:rPr>
            </w:pPr>
            <w:r w:rsidRPr="00A66BA2">
              <w:rPr>
                <w:rFonts w:ascii="Calibri" w:eastAsia="Calibri" w:hAnsi="Calibri" w:cs="Times New Roman"/>
                <w:sz w:val="20"/>
                <w:lang w:val="en-GB"/>
              </w:rPr>
              <w:t>#1</w:t>
            </w:r>
            <w:r w:rsidRPr="00A66BA2">
              <w:rPr>
                <w:rFonts w:ascii="Calibri" w:eastAsia="Calibri" w:hAnsi="Calibri" w:cs="Times New Roman"/>
                <w:sz w:val="20"/>
                <w:lang w:val="en-GB"/>
              </w:rPr>
              <w:tab/>
              <w:t xml:space="preserve">"Pulmonary Disease, Chronic Obstructive"[Mesh] </w:t>
            </w:r>
            <w:r w:rsidRPr="00A66BA2">
              <w:rPr>
                <w:rFonts w:ascii="Calibri" w:eastAsia="Calibri" w:hAnsi="Calibri" w:cs="Times New Roman"/>
                <w:sz w:val="20"/>
                <w:lang w:val="en-GB"/>
              </w:rPr>
              <w:tab/>
            </w:r>
          </w:p>
          <w:p w:rsidR="00362B75" w:rsidRPr="00A66BA2" w:rsidRDefault="00362B75" w:rsidP="00A66BA2">
            <w:pPr>
              <w:jc w:val="both"/>
              <w:rPr>
                <w:rFonts w:ascii="Calibri" w:eastAsia="Calibri" w:hAnsi="Calibri" w:cs="Times New Roman"/>
                <w:sz w:val="20"/>
                <w:lang w:val="en-GB"/>
              </w:rPr>
            </w:pPr>
            <w:r w:rsidRPr="00A66BA2">
              <w:rPr>
                <w:rFonts w:ascii="Calibri" w:eastAsia="Calibri" w:hAnsi="Calibri" w:cs="Times New Roman"/>
                <w:sz w:val="20"/>
                <w:lang w:val="en-GB"/>
              </w:rPr>
              <w:t>#2</w:t>
            </w:r>
            <w:r w:rsidRPr="00A66BA2">
              <w:rPr>
                <w:rFonts w:ascii="Calibri" w:eastAsia="Calibri" w:hAnsi="Calibri" w:cs="Times New Roman"/>
                <w:sz w:val="20"/>
                <w:lang w:val="en-GB"/>
              </w:rPr>
              <w:tab/>
              <w:t xml:space="preserve">chronic obstructive pulmonary disease[tiab] </w:t>
            </w:r>
            <w:r w:rsidRPr="00A66BA2">
              <w:rPr>
                <w:rFonts w:ascii="Calibri" w:eastAsia="Calibri" w:hAnsi="Calibri" w:cs="Times New Roman"/>
                <w:sz w:val="20"/>
                <w:lang w:val="en-GB"/>
              </w:rPr>
              <w:tab/>
            </w:r>
          </w:p>
          <w:p w:rsidR="00362B75" w:rsidRPr="00A66BA2" w:rsidRDefault="00362B75" w:rsidP="00A66BA2">
            <w:pPr>
              <w:jc w:val="both"/>
              <w:rPr>
                <w:rFonts w:ascii="Calibri" w:eastAsia="Calibri" w:hAnsi="Calibri" w:cs="Times New Roman"/>
                <w:sz w:val="20"/>
                <w:lang w:val="en-GB"/>
              </w:rPr>
            </w:pPr>
            <w:r w:rsidRPr="00A66BA2">
              <w:rPr>
                <w:rFonts w:ascii="Calibri" w:eastAsia="Calibri" w:hAnsi="Calibri" w:cs="Times New Roman"/>
                <w:sz w:val="20"/>
                <w:lang w:val="en-GB"/>
              </w:rPr>
              <w:t>#3</w:t>
            </w:r>
            <w:r w:rsidRPr="00A66BA2">
              <w:rPr>
                <w:rFonts w:ascii="Calibri" w:eastAsia="Calibri" w:hAnsi="Calibri" w:cs="Times New Roman"/>
                <w:sz w:val="20"/>
                <w:lang w:val="en-GB"/>
              </w:rPr>
              <w:tab/>
              <w:t xml:space="preserve">COPD[tiab] </w:t>
            </w:r>
            <w:r w:rsidRPr="00A66BA2">
              <w:rPr>
                <w:rFonts w:ascii="Calibri" w:eastAsia="Calibri" w:hAnsi="Calibri" w:cs="Times New Roman"/>
                <w:sz w:val="20"/>
                <w:lang w:val="en-GB"/>
              </w:rPr>
              <w:tab/>
            </w:r>
          </w:p>
          <w:p w:rsidR="00362B75" w:rsidRPr="00A66BA2" w:rsidRDefault="00362B75" w:rsidP="00A66BA2">
            <w:pPr>
              <w:jc w:val="both"/>
              <w:rPr>
                <w:rFonts w:ascii="Calibri" w:eastAsia="Calibri" w:hAnsi="Calibri" w:cs="Times New Roman"/>
                <w:sz w:val="20"/>
                <w:lang w:val="en-GB"/>
              </w:rPr>
            </w:pPr>
            <w:r w:rsidRPr="00A66BA2">
              <w:rPr>
                <w:rFonts w:ascii="Calibri" w:eastAsia="Calibri" w:hAnsi="Calibri" w:cs="Times New Roman"/>
                <w:sz w:val="20"/>
                <w:lang w:val="en-GB"/>
              </w:rPr>
              <w:t>#4</w:t>
            </w:r>
            <w:r w:rsidRPr="00A66BA2">
              <w:rPr>
                <w:rFonts w:ascii="Calibri" w:eastAsia="Calibri" w:hAnsi="Calibri" w:cs="Times New Roman"/>
                <w:sz w:val="20"/>
                <w:lang w:val="en-GB"/>
              </w:rPr>
              <w:tab/>
              <w:t xml:space="preserve">AECOPD[tiab] </w:t>
            </w:r>
            <w:r w:rsidRPr="00A66BA2">
              <w:rPr>
                <w:rFonts w:ascii="Calibri" w:eastAsia="Calibri" w:hAnsi="Calibri" w:cs="Times New Roman"/>
                <w:sz w:val="20"/>
                <w:lang w:val="en-GB"/>
              </w:rPr>
              <w:tab/>
            </w:r>
          </w:p>
          <w:p w:rsidR="00362B75" w:rsidRPr="00A66BA2" w:rsidRDefault="00362B75" w:rsidP="00A66BA2">
            <w:pPr>
              <w:jc w:val="both"/>
              <w:rPr>
                <w:rFonts w:ascii="Calibri" w:eastAsia="Calibri" w:hAnsi="Calibri" w:cs="Times New Roman"/>
                <w:sz w:val="20"/>
                <w:lang w:val="en-GB"/>
              </w:rPr>
            </w:pPr>
            <w:r w:rsidRPr="00A66BA2">
              <w:rPr>
                <w:rFonts w:ascii="Calibri" w:eastAsia="Calibri" w:hAnsi="Calibri" w:cs="Times New Roman"/>
                <w:sz w:val="20"/>
                <w:lang w:val="en-GB"/>
              </w:rPr>
              <w:t>#5</w:t>
            </w:r>
            <w:r w:rsidRPr="00A66BA2">
              <w:rPr>
                <w:rFonts w:ascii="Calibri" w:eastAsia="Calibri" w:hAnsi="Calibri" w:cs="Times New Roman"/>
                <w:sz w:val="20"/>
                <w:lang w:val="en-GB"/>
              </w:rPr>
              <w:tab/>
              <w:t xml:space="preserve">#1 OR #2 OR #3 OR #4 </w:t>
            </w:r>
            <w:r w:rsidRPr="00A66BA2">
              <w:rPr>
                <w:rFonts w:ascii="Calibri" w:eastAsia="Calibri" w:hAnsi="Calibri" w:cs="Times New Roman"/>
                <w:sz w:val="20"/>
                <w:lang w:val="en-GB"/>
              </w:rPr>
              <w:tab/>
            </w:r>
          </w:p>
          <w:p w:rsidR="00362B75" w:rsidRPr="00A66BA2" w:rsidRDefault="00362B75" w:rsidP="00A66BA2">
            <w:pPr>
              <w:spacing w:after="200" w:line="276" w:lineRule="auto"/>
              <w:jc w:val="both"/>
              <w:rPr>
                <w:rFonts w:ascii="Calibri" w:eastAsia="Calibri" w:hAnsi="Calibri" w:cs="Times New Roman"/>
                <w:sz w:val="20"/>
                <w:lang w:val="es-ES"/>
              </w:rPr>
            </w:pPr>
            <w:r w:rsidRPr="00A66BA2">
              <w:rPr>
                <w:rFonts w:ascii="Calibri" w:eastAsia="Calibri" w:hAnsi="Calibri" w:cs="Times New Roman"/>
                <w:sz w:val="20"/>
                <w:lang w:val="es-ES"/>
              </w:rPr>
              <w:t>#6</w:t>
            </w:r>
            <w:r w:rsidRPr="00A66BA2">
              <w:rPr>
                <w:rFonts w:ascii="Calibri" w:eastAsia="Calibri" w:hAnsi="Calibri" w:cs="Times New Roman"/>
                <w:sz w:val="20"/>
                <w:lang w:val="es-ES"/>
              </w:rPr>
              <w:tab/>
              <w:t xml:space="preserve">"Pseudomonas Infections"[Mesh] </w:t>
            </w:r>
            <w:r w:rsidRPr="00A66BA2">
              <w:rPr>
                <w:rFonts w:ascii="Calibri" w:eastAsia="Calibri" w:hAnsi="Calibri" w:cs="Times New Roman"/>
                <w:sz w:val="20"/>
                <w:lang w:val="es-ES"/>
              </w:rPr>
              <w:tab/>
            </w:r>
          </w:p>
          <w:p w:rsidR="00362B75" w:rsidRPr="00A66BA2" w:rsidRDefault="00362B75" w:rsidP="00A66BA2">
            <w:pPr>
              <w:spacing w:after="200" w:line="276" w:lineRule="auto"/>
              <w:jc w:val="both"/>
              <w:rPr>
                <w:rFonts w:ascii="Calibri" w:eastAsia="Calibri" w:hAnsi="Calibri" w:cs="Times New Roman"/>
                <w:sz w:val="20"/>
                <w:lang w:val="es-ES"/>
              </w:rPr>
            </w:pPr>
            <w:r w:rsidRPr="00A66BA2">
              <w:rPr>
                <w:rFonts w:ascii="Calibri" w:eastAsia="Calibri" w:hAnsi="Calibri" w:cs="Times New Roman"/>
                <w:sz w:val="20"/>
                <w:lang w:val="es-ES"/>
              </w:rPr>
              <w:t>#7</w:t>
            </w:r>
            <w:r w:rsidRPr="00A66BA2">
              <w:rPr>
                <w:rFonts w:ascii="Calibri" w:eastAsia="Calibri" w:hAnsi="Calibri" w:cs="Times New Roman"/>
                <w:sz w:val="20"/>
                <w:lang w:val="es-ES"/>
              </w:rPr>
              <w:tab/>
              <w:t xml:space="preserve">"Pseudomonas aeruginosa"[Mesh] </w:t>
            </w:r>
            <w:r w:rsidRPr="00A66BA2">
              <w:rPr>
                <w:rFonts w:ascii="Calibri" w:eastAsia="Calibri" w:hAnsi="Calibri" w:cs="Times New Roman"/>
                <w:sz w:val="20"/>
                <w:lang w:val="es-ES"/>
              </w:rPr>
              <w:tab/>
            </w:r>
          </w:p>
          <w:p w:rsidR="00362B75" w:rsidRPr="00A66BA2" w:rsidRDefault="00362B75" w:rsidP="00A66BA2">
            <w:pPr>
              <w:spacing w:after="200" w:line="276" w:lineRule="auto"/>
              <w:jc w:val="both"/>
              <w:rPr>
                <w:rFonts w:ascii="Calibri" w:eastAsia="Calibri" w:hAnsi="Calibri" w:cs="Times New Roman"/>
                <w:sz w:val="20"/>
                <w:lang w:val="es-ES"/>
              </w:rPr>
            </w:pPr>
            <w:r w:rsidRPr="00A66BA2">
              <w:rPr>
                <w:rFonts w:ascii="Calibri" w:eastAsia="Calibri" w:hAnsi="Calibri" w:cs="Times New Roman"/>
                <w:sz w:val="20"/>
                <w:lang w:val="es-ES"/>
              </w:rPr>
              <w:t>#8</w:t>
            </w:r>
            <w:r w:rsidRPr="00A66BA2">
              <w:rPr>
                <w:rFonts w:ascii="Calibri" w:eastAsia="Calibri" w:hAnsi="Calibri" w:cs="Times New Roman"/>
                <w:sz w:val="20"/>
                <w:lang w:val="es-ES"/>
              </w:rPr>
              <w:tab/>
              <w:t xml:space="preserve">pseudomona*[tiab] </w:t>
            </w:r>
            <w:r w:rsidRPr="00A66BA2">
              <w:rPr>
                <w:rFonts w:ascii="Calibri" w:eastAsia="Calibri" w:hAnsi="Calibri" w:cs="Times New Roman"/>
                <w:sz w:val="20"/>
                <w:lang w:val="es-ES"/>
              </w:rPr>
              <w:tab/>
            </w:r>
          </w:p>
          <w:p w:rsidR="00362B75" w:rsidRPr="00A66BA2" w:rsidRDefault="00362B75" w:rsidP="00A66BA2">
            <w:pPr>
              <w:spacing w:after="200" w:line="276" w:lineRule="auto"/>
              <w:jc w:val="both"/>
              <w:rPr>
                <w:rFonts w:ascii="Calibri" w:eastAsia="Calibri" w:hAnsi="Calibri" w:cs="Times New Roman"/>
                <w:sz w:val="20"/>
                <w:lang w:val="es-ES"/>
              </w:rPr>
            </w:pPr>
            <w:r w:rsidRPr="00A66BA2">
              <w:rPr>
                <w:rFonts w:ascii="Calibri" w:eastAsia="Calibri" w:hAnsi="Calibri" w:cs="Times New Roman"/>
                <w:sz w:val="20"/>
                <w:lang w:val="es-ES"/>
              </w:rPr>
              <w:t>#9</w:t>
            </w:r>
            <w:r w:rsidRPr="00A66BA2">
              <w:rPr>
                <w:rFonts w:ascii="Calibri" w:eastAsia="Calibri" w:hAnsi="Calibri" w:cs="Times New Roman"/>
                <w:sz w:val="20"/>
                <w:lang w:val="es-ES"/>
              </w:rPr>
              <w:tab/>
              <w:t xml:space="preserve">P aeruginosa[tiab] </w:t>
            </w:r>
            <w:r w:rsidRPr="00A66BA2">
              <w:rPr>
                <w:rFonts w:ascii="Calibri" w:eastAsia="Calibri" w:hAnsi="Calibri" w:cs="Times New Roman"/>
                <w:sz w:val="20"/>
                <w:lang w:val="es-ES"/>
              </w:rPr>
              <w:tab/>
            </w:r>
          </w:p>
          <w:p w:rsidR="00362B75" w:rsidRPr="00A66BA2" w:rsidRDefault="00362B75" w:rsidP="00A66BA2">
            <w:pPr>
              <w:jc w:val="both"/>
              <w:rPr>
                <w:rFonts w:ascii="Calibri" w:eastAsia="Calibri" w:hAnsi="Calibri" w:cs="Times New Roman"/>
                <w:sz w:val="20"/>
                <w:lang w:val="en-GB"/>
              </w:rPr>
            </w:pPr>
            <w:r w:rsidRPr="00A66BA2">
              <w:rPr>
                <w:rFonts w:ascii="Calibri" w:eastAsia="Calibri" w:hAnsi="Calibri" w:cs="Times New Roman"/>
                <w:sz w:val="20"/>
                <w:lang w:val="en-GB"/>
              </w:rPr>
              <w:t>#10</w:t>
            </w:r>
            <w:r w:rsidRPr="00A66BA2">
              <w:rPr>
                <w:rFonts w:ascii="Calibri" w:eastAsia="Calibri" w:hAnsi="Calibri" w:cs="Times New Roman"/>
                <w:sz w:val="20"/>
                <w:lang w:val="en-GB"/>
              </w:rPr>
              <w:tab/>
              <w:t xml:space="preserve">#6 OR #7 OR #8 OR #9 </w:t>
            </w:r>
            <w:r w:rsidRPr="00A66BA2">
              <w:rPr>
                <w:rFonts w:ascii="Calibri" w:eastAsia="Calibri" w:hAnsi="Calibri" w:cs="Times New Roman"/>
                <w:sz w:val="20"/>
                <w:lang w:val="en-GB"/>
              </w:rPr>
              <w:tab/>
            </w:r>
          </w:p>
          <w:p w:rsidR="00362B75" w:rsidRPr="00A66BA2" w:rsidRDefault="00362B75" w:rsidP="00A66BA2">
            <w:pPr>
              <w:jc w:val="both"/>
              <w:rPr>
                <w:rFonts w:ascii="Calibri" w:eastAsia="Calibri" w:hAnsi="Calibri" w:cs="Times New Roman"/>
                <w:b/>
                <w:sz w:val="20"/>
                <w:lang w:val="en-GB"/>
              </w:rPr>
            </w:pPr>
            <w:r w:rsidRPr="00A66BA2">
              <w:rPr>
                <w:rFonts w:ascii="Calibri" w:eastAsia="Calibri" w:hAnsi="Calibri" w:cs="Times New Roman"/>
                <w:b/>
                <w:sz w:val="20"/>
                <w:lang w:val="en-GB"/>
              </w:rPr>
              <w:t>#11</w:t>
            </w:r>
            <w:r w:rsidRPr="00A66BA2">
              <w:rPr>
                <w:rFonts w:ascii="Calibri" w:eastAsia="Calibri" w:hAnsi="Calibri" w:cs="Times New Roman"/>
                <w:b/>
                <w:sz w:val="20"/>
                <w:lang w:val="en-GB"/>
              </w:rPr>
              <w:tab/>
              <w:t xml:space="preserve">#5 AND #10 </w:t>
            </w:r>
            <w:r w:rsidRPr="00A66BA2">
              <w:rPr>
                <w:rFonts w:ascii="Calibri" w:eastAsia="Calibri" w:hAnsi="Calibri" w:cs="Times New Roman"/>
                <w:b/>
                <w:sz w:val="20"/>
                <w:lang w:val="en-GB"/>
              </w:rPr>
              <w:tab/>
            </w:r>
          </w:p>
        </w:tc>
      </w:tr>
    </w:tbl>
    <w:p w:rsidR="00A66BA2" w:rsidRPr="00A66BA2" w:rsidRDefault="00A66BA2" w:rsidP="00A66BA2">
      <w:pPr>
        <w:spacing w:after="200" w:line="276" w:lineRule="auto"/>
        <w:jc w:val="both"/>
        <w:rPr>
          <w:rFonts w:ascii="Calibri" w:eastAsia="Calibri" w:hAnsi="Calibri" w:cs="Times New Roman"/>
          <w:sz w:val="20"/>
          <w:szCs w:val="22"/>
          <w:lang w:val="en-GB"/>
        </w:rPr>
      </w:pPr>
    </w:p>
    <w:tbl>
      <w:tblPr>
        <w:tblStyle w:val="Taulaambquadrcula"/>
        <w:tblW w:w="0" w:type="auto"/>
        <w:tblLook w:val="04A0"/>
      </w:tblPr>
      <w:tblGrid>
        <w:gridCol w:w="6996"/>
      </w:tblGrid>
      <w:tr w:rsidR="00362B75" w:rsidRPr="00A66BA2" w:rsidTr="00362B75">
        <w:tc>
          <w:tcPr>
            <w:tcW w:w="6996" w:type="dxa"/>
          </w:tcPr>
          <w:p w:rsidR="00362B75" w:rsidRPr="00A66BA2" w:rsidRDefault="00362B75" w:rsidP="00A66BA2">
            <w:pPr>
              <w:jc w:val="both"/>
              <w:rPr>
                <w:rFonts w:ascii="Calibri" w:eastAsia="Calibri" w:hAnsi="Calibri" w:cs="Times New Roman"/>
                <w:sz w:val="20"/>
                <w:lang w:val="en-GB"/>
              </w:rPr>
            </w:pPr>
            <w:r w:rsidRPr="00A66BA2">
              <w:rPr>
                <w:rFonts w:ascii="Calibri" w:eastAsia="Calibri" w:hAnsi="Calibri" w:cs="Times New Roman"/>
                <w:b/>
                <w:sz w:val="20"/>
                <w:lang w:val="en-GB"/>
              </w:rPr>
              <w:t>Embase (embase.com)</w:t>
            </w:r>
            <w:r w:rsidRPr="00A66BA2">
              <w:rPr>
                <w:rFonts w:ascii="Calibri" w:eastAsia="Calibri" w:hAnsi="Calibri" w:cs="Times New Roman"/>
                <w:sz w:val="20"/>
                <w:lang w:val="en-GB"/>
              </w:rPr>
              <w:t xml:space="preserve"> </w:t>
            </w:r>
            <w:r>
              <w:rPr>
                <w:rFonts w:ascii="Calibri" w:eastAsia="Calibri" w:hAnsi="Calibri" w:cs="Times New Roman"/>
                <w:sz w:val="20"/>
                <w:lang w:val="en-GB"/>
              </w:rPr>
              <w:t>21</w:t>
            </w:r>
            <w:r w:rsidRPr="00A66BA2">
              <w:rPr>
                <w:rFonts w:ascii="Calibri" w:eastAsia="Calibri" w:hAnsi="Calibri" w:cs="Times New Roman"/>
                <w:sz w:val="20"/>
                <w:lang w:val="en-GB"/>
              </w:rPr>
              <w:t>/1</w:t>
            </w:r>
            <w:r>
              <w:rPr>
                <w:rFonts w:ascii="Calibri" w:eastAsia="Calibri" w:hAnsi="Calibri" w:cs="Times New Roman"/>
                <w:sz w:val="20"/>
                <w:lang w:val="en-GB"/>
              </w:rPr>
              <w:t>2</w:t>
            </w:r>
            <w:r w:rsidRPr="00A66BA2">
              <w:rPr>
                <w:rFonts w:ascii="Calibri" w:eastAsia="Calibri" w:hAnsi="Calibri" w:cs="Times New Roman"/>
                <w:sz w:val="20"/>
                <w:lang w:val="en-GB"/>
              </w:rPr>
              <w:t>/202</w:t>
            </w:r>
            <w:r>
              <w:rPr>
                <w:rFonts w:ascii="Calibri" w:eastAsia="Calibri" w:hAnsi="Calibri" w:cs="Times New Roman"/>
                <w:sz w:val="20"/>
                <w:lang w:val="en-GB"/>
              </w:rPr>
              <w:t>1</w:t>
            </w:r>
          </w:p>
        </w:tc>
      </w:tr>
      <w:tr w:rsidR="00362B75" w:rsidRPr="00A66BA2" w:rsidTr="00362B75">
        <w:tc>
          <w:tcPr>
            <w:tcW w:w="6996" w:type="dxa"/>
          </w:tcPr>
          <w:p w:rsidR="00362B75" w:rsidRPr="00A66BA2" w:rsidRDefault="00362B75" w:rsidP="00A66BA2">
            <w:pPr>
              <w:jc w:val="both"/>
              <w:rPr>
                <w:rFonts w:ascii="Calibri" w:eastAsia="Calibri" w:hAnsi="Calibri" w:cs="Times New Roman"/>
                <w:sz w:val="20"/>
                <w:lang w:val="en-GB"/>
              </w:rPr>
            </w:pPr>
            <w:r w:rsidRPr="00A66BA2">
              <w:rPr>
                <w:rFonts w:ascii="Calibri" w:eastAsia="Calibri" w:hAnsi="Calibri" w:cs="Times New Roman"/>
                <w:sz w:val="20"/>
                <w:lang w:val="en-GB"/>
              </w:rPr>
              <w:t>#1</w:t>
            </w:r>
            <w:r w:rsidRPr="00A66BA2">
              <w:rPr>
                <w:rFonts w:ascii="Calibri" w:eastAsia="Calibri" w:hAnsi="Calibri" w:cs="Times New Roman"/>
                <w:sz w:val="20"/>
                <w:lang w:val="en-GB"/>
              </w:rPr>
              <w:tab/>
              <w:t>'chronic obstructive lung disease'/exp</w:t>
            </w:r>
            <w:r w:rsidRPr="00A66BA2">
              <w:rPr>
                <w:rFonts w:ascii="Calibri" w:eastAsia="Calibri" w:hAnsi="Calibri" w:cs="Times New Roman"/>
                <w:sz w:val="20"/>
                <w:lang w:val="en-GB"/>
              </w:rPr>
              <w:tab/>
            </w:r>
          </w:p>
          <w:p w:rsidR="00362B75" w:rsidRPr="00A66BA2" w:rsidRDefault="00362B75" w:rsidP="00A66BA2">
            <w:pPr>
              <w:jc w:val="both"/>
              <w:rPr>
                <w:rFonts w:ascii="Calibri" w:eastAsia="Calibri" w:hAnsi="Calibri" w:cs="Times New Roman"/>
                <w:sz w:val="20"/>
                <w:lang w:val="en-GB"/>
              </w:rPr>
            </w:pPr>
            <w:r w:rsidRPr="00A66BA2">
              <w:rPr>
                <w:rFonts w:ascii="Calibri" w:eastAsia="Calibri" w:hAnsi="Calibri" w:cs="Times New Roman"/>
                <w:sz w:val="20"/>
                <w:lang w:val="en-GB"/>
              </w:rPr>
              <w:t>#2</w:t>
            </w:r>
            <w:r w:rsidRPr="00A66BA2">
              <w:rPr>
                <w:rFonts w:ascii="Calibri" w:eastAsia="Calibri" w:hAnsi="Calibri" w:cs="Times New Roman"/>
                <w:sz w:val="20"/>
                <w:lang w:val="en-GB"/>
              </w:rPr>
              <w:tab/>
              <w:t>'chronic obstructive pulmonary disease':ti,ab</w:t>
            </w:r>
            <w:r w:rsidRPr="00A66BA2">
              <w:rPr>
                <w:rFonts w:ascii="Calibri" w:eastAsia="Calibri" w:hAnsi="Calibri" w:cs="Times New Roman"/>
                <w:sz w:val="20"/>
                <w:lang w:val="en-GB"/>
              </w:rPr>
              <w:tab/>
            </w:r>
          </w:p>
          <w:p w:rsidR="00362B75" w:rsidRPr="00D921A4" w:rsidRDefault="00362B75" w:rsidP="00A66BA2">
            <w:pPr>
              <w:jc w:val="both"/>
              <w:rPr>
                <w:rFonts w:ascii="Calibri" w:eastAsia="Calibri" w:hAnsi="Calibri" w:cs="Times New Roman"/>
                <w:sz w:val="20"/>
                <w:lang w:val="de-DE"/>
              </w:rPr>
            </w:pPr>
            <w:r w:rsidRPr="00D921A4">
              <w:rPr>
                <w:rFonts w:ascii="Calibri" w:eastAsia="Calibri" w:hAnsi="Calibri" w:cs="Times New Roman"/>
                <w:sz w:val="20"/>
                <w:lang w:val="de-DE"/>
              </w:rPr>
              <w:t>#3</w:t>
            </w:r>
            <w:r w:rsidRPr="00D921A4">
              <w:rPr>
                <w:rFonts w:ascii="Calibri" w:eastAsia="Calibri" w:hAnsi="Calibri" w:cs="Times New Roman"/>
                <w:sz w:val="20"/>
                <w:lang w:val="de-DE"/>
              </w:rPr>
              <w:tab/>
              <w:t>copd:ti,ab</w:t>
            </w:r>
            <w:r w:rsidRPr="00D921A4">
              <w:rPr>
                <w:rFonts w:ascii="Calibri" w:eastAsia="Calibri" w:hAnsi="Calibri" w:cs="Times New Roman"/>
                <w:sz w:val="20"/>
                <w:lang w:val="de-DE"/>
              </w:rPr>
              <w:tab/>
            </w:r>
          </w:p>
          <w:p w:rsidR="00362B75" w:rsidRPr="00D921A4" w:rsidRDefault="00362B75" w:rsidP="00A66BA2">
            <w:pPr>
              <w:jc w:val="both"/>
              <w:rPr>
                <w:rFonts w:ascii="Calibri" w:eastAsia="Calibri" w:hAnsi="Calibri" w:cs="Times New Roman"/>
                <w:sz w:val="20"/>
                <w:lang w:val="de-DE"/>
              </w:rPr>
            </w:pPr>
            <w:r w:rsidRPr="00D921A4">
              <w:rPr>
                <w:rFonts w:ascii="Calibri" w:eastAsia="Calibri" w:hAnsi="Calibri" w:cs="Times New Roman"/>
                <w:sz w:val="20"/>
                <w:lang w:val="de-DE"/>
              </w:rPr>
              <w:t>#4</w:t>
            </w:r>
            <w:r w:rsidRPr="00D921A4">
              <w:rPr>
                <w:rFonts w:ascii="Calibri" w:eastAsia="Calibri" w:hAnsi="Calibri" w:cs="Times New Roman"/>
                <w:sz w:val="20"/>
                <w:lang w:val="de-DE"/>
              </w:rPr>
              <w:tab/>
              <w:t>aecopd:ti,ab</w:t>
            </w:r>
            <w:r w:rsidRPr="00D921A4">
              <w:rPr>
                <w:rFonts w:ascii="Calibri" w:eastAsia="Calibri" w:hAnsi="Calibri" w:cs="Times New Roman"/>
                <w:sz w:val="20"/>
                <w:lang w:val="de-DE"/>
              </w:rPr>
              <w:tab/>
            </w:r>
          </w:p>
          <w:p w:rsidR="00362B75" w:rsidRPr="00A66BA2" w:rsidRDefault="00362B75" w:rsidP="00A66BA2">
            <w:pPr>
              <w:jc w:val="both"/>
              <w:rPr>
                <w:rFonts w:ascii="Calibri" w:eastAsia="Calibri" w:hAnsi="Calibri" w:cs="Times New Roman"/>
                <w:sz w:val="20"/>
                <w:lang w:val="en-GB"/>
              </w:rPr>
            </w:pPr>
            <w:r w:rsidRPr="00A66BA2">
              <w:rPr>
                <w:rFonts w:ascii="Calibri" w:eastAsia="Calibri" w:hAnsi="Calibri" w:cs="Times New Roman"/>
                <w:sz w:val="20"/>
                <w:lang w:val="en-GB"/>
              </w:rPr>
              <w:t>#5</w:t>
            </w:r>
            <w:r w:rsidRPr="00A66BA2">
              <w:rPr>
                <w:rFonts w:ascii="Calibri" w:eastAsia="Calibri" w:hAnsi="Calibri" w:cs="Times New Roman"/>
                <w:sz w:val="20"/>
                <w:lang w:val="en-GB"/>
              </w:rPr>
              <w:tab/>
              <w:t>#1 OR #2 OR #3 OR #4</w:t>
            </w:r>
            <w:r w:rsidRPr="00A66BA2">
              <w:rPr>
                <w:rFonts w:ascii="Calibri" w:eastAsia="Calibri" w:hAnsi="Calibri" w:cs="Times New Roman"/>
                <w:sz w:val="20"/>
                <w:lang w:val="en-GB"/>
              </w:rPr>
              <w:tab/>
            </w:r>
          </w:p>
          <w:p w:rsidR="00362B75" w:rsidRPr="00A66BA2" w:rsidRDefault="00362B75" w:rsidP="00A66BA2">
            <w:pPr>
              <w:jc w:val="both"/>
              <w:rPr>
                <w:rFonts w:ascii="Calibri" w:eastAsia="Calibri" w:hAnsi="Calibri" w:cs="Times New Roman"/>
                <w:sz w:val="20"/>
                <w:lang w:val="en-GB"/>
              </w:rPr>
            </w:pPr>
            <w:r w:rsidRPr="00A66BA2">
              <w:rPr>
                <w:rFonts w:ascii="Calibri" w:eastAsia="Calibri" w:hAnsi="Calibri" w:cs="Times New Roman"/>
                <w:sz w:val="20"/>
                <w:lang w:val="en-GB"/>
              </w:rPr>
              <w:t>#6</w:t>
            </w:r>
            <w:r w:rsidRPr="00A66BA2">
              <w:rPr>
                <w:rFonts w:ascii="Calibri" w:eastAsia="Calibri" w:hAnsi="Calibri" w:cs="Times New Roman"/>
                <w:sz w:val="20"/>
                <w:lang w:val="en-GB"/>
              </w:rPr>
              <w:tab/>
              <w:t>'pseudomonas infection'/exp</w:t>
            </w:r>
            <w:r w:rsidRPr="00A66BA2">
              <w:rPr>
                <w:rFonts w:ascii="Calibri" w:eastAsia="Calibri" w:hAnsi="Calibri" w:cs="Times New Roman"/>
                <w:sz w:val="20"/>
                <w:lang w:val="en-GB"/>
              </w:rPr>
              <w:tab/>
            </w:r>
          </w:p>
          <w:p w:rsidR="00362B75" w:rsidRPr="00A66BA2" w:rsidRDefault="00362B75" w:rsidP="00A66BA2">
            <w:pPr>
              <w:spacing w:after="200" w:line="276" w:lineRule="auto"/>
              <w:jc w:val="both"/>
              <w:rPr>
                <w:rFonts w:ascii="Calibri" w:eastAsia="Calibri" w:hAnsi="Calibri" w:cs="Times New Roman"/>
                <w:sz w:val="20"/>
                <w:lang w:val="es-ES"/>
              </w:rPr>
            </w:pPr>
            <w:r w:rsidRPr="00A66BA2">
              <w:rPr>
                <w:rFonts w:ascii="Calibri" w:eastAsia="Calibri" w:hAnsi="Calibri" w:cs="Times New Roman"/>
                <w:sz w:val="20"/>
                <w:lang w:val="es-ES"/>
              </w:rPr>
              <w:t>#7</w:t>
            </w:r>
            <w:r w:rsidRPr="00A66BA2">
              <w:rPr>
                <w:rFonts w:ascii="Calibri" w:eastAsia="Calibri" w:hAnsi="Calibri" w:cs="Times New Roman"/>
                <w:sz w:val="20"/>
                <w:lang w:val="es-ES"/>
              </w:rPr>
              <w:tab/>
              <w:t>'pseudomonas aeruginosa'/exp</w:t>
            </w:r>
            <w:r w:rsidRPr="00A66BA2">
              <w:rPr>
                <w:rFonts w:ascii="Calibri" w:eastAsia="Calibri" w:hAnsi="Calibri" w:cs="Times New Roman"/>
                <w:sz w:val="20"/>
                <w:lang w:val="es-ES"/>
              </w:rPr>
              <w:tab/>
            </w:r>
          </w:p>
          <w:p w:rsidR="00362B75" w:rsidRPr="007703C1" w:rsidRDefault="00362B75" w:rsidP="00A66BA2">
            <w:pPr>
              <w:spacing w:after="200" w:line="276" w:lineRule="auto"/>
              <w:jc w:val="both"/>
              <w:rPr>
                <w:rFonts w:ascii="Calibri" w:eastAsia="Calibri" w:hAnsi="Calibri" w:cs="Times New Roman"/>
                <w:sz w:val="20"/>
                <w:lang w:val="es-ES"/>
              </w:rPr>
            </w:pPr>
            <w:r w:rsidRPr="007703C1">
              <w:rPr>
                <w:rFonts w:ascii="Calibri" w:eastAsia="Calibri" w:hAnsi="Calibri" w:cs="Times New Roman"/>
                <w:sz w:val="20"/>
                <w:lang w:val="es-ES"/>
              </w:rPr>
              <w:t>#8</w:t>
            </w:r>
            <w:r w:rsidRPr="007703C1">
              <w:rPr>
                <w:rFonts w:ascii="Calibri" w:eastAsia="Calibri" w:hAnsi="Calibri" w:cs="Times New Roman"/>
                <w:sz w:val="20"/>
                <w:lang w:val="es-ES"/>
              </w:rPr>
              <w:tab/>
              <w:t>pseudomona*:ti,ab</w:t>
            </w:r>
            <w:r w:rsidRPr="007703C1">
              <w:rPr>
                <w:rFonts w:ascii="Calibri" w:eastAsia="Calibri" w:hAnsi="Calibri" w:cs="Times New Roman"/>
                <w:sz w:val="20"/>
                <w:lang w:val="es-ES"/>
              </w:rPr>
              <w:tab/>
            </w:r>
          </w:p>
          <w:p w:rsidR="00362B75" w:rsidRPr="007D4A32" w:rsidRDefault="00362B75" w:rsidP="00A66BA2">
            <w:pPr>
              <w:spacing w:after="200" w:line="276" w:lineRule="auto"/>
              <w:jc w:val="both"/>
              <w:rPr>
                <w:rFonts w:ascii="Calibri" w:eastAsia="Calibri" w:hAnsi="Calibri" w:cs="Times New Roman"/>
                <w:sz w:val="20"/>
                <w:lang w:val="en-US"/>
              </w:rPr>
            </w:pPr>
            <w:r w:rsidRPr="007D4A32">
              <w:rPr>
                <w:rFonts w:ascii="Calibri" w:eastAsia="Calibri" w:hAnsi="Calibri" w:cs="Times New Roman"/>
                <w:sz w:val="20"/>
                <w:lang w:val="en-US"/>
              </w:rPr>
              <w:t>#9</w:t>
            </w:r>
            <w:r w:rsidRPr="007D4A32">
              <w:rPr>
                <w:rFonts w:ascii="Calibri" w:eastAsia="Calibri" w:hAnsi="Calibri" w:cs="Times New Roman"/>
                <w:sz w:val="20"/>
                <w:lang w:val="en-US"/>
              </w:rPr>
              <w:tab/>
              <w:t>'p aeruginosa':ti,ab</w:t>
            </w:r>
            <w:r w:rsidRPr="007D4A32">
              <w:rPr>
                <w:rFonts w:ascii="Calibri" w:eastAsia="Calibri" w:hAnsi="Calibri" w:cs="Times New Roman"/>
                <w:sz w:val="20"/>
                <w:lang w:val="en-US"/>
              </w:rPr>
              <w:tab/>
            </w:r>
          </w:p>
          <w:p w:rsidR="00362B75" w:rsidRPr="00A66BA2" w:rsidRDefault="00362B75" w:rsidP="00A66BA2">
            <w:pPr>
              <w:jc w:val="both"/>
              <w:rPr>
                <w:rFonts w:ascii="Calibri" w:eastAsia="Calibri" w:hAnsi="Calibri" w:cs="Times New Roman"/>
                <w:sz w:val="20"/>
                <w:lang w:val="en-GB"/>
              </w:rPr>
            </w:pPr>
            <w:r w:rsidRPr="00A66BA2">
              <w:rPr>
                <w:rFonts w:ascii="Calibri" w:eastAsia="Calibri" w:hAnsi="Calibri" w:cs="Times New Roman"/>
                <w:sz w:val="20"/>
                <w:lang w:val="en-GB"/>
              </w:rPr>
              <w:t>#10</w:t>
            </w:r>
            <w:r w:rsidRPr="00A66BA2">
              <w:rPr>
                <w:rFonts w:ascii="Calibri" w:eastAsia="Calibri" w:hAnsi="Calibri" w:cs="Times New Roman"/>
                <w:sz w:val="20"/>
                <w:lang w:val="en-GB"/>
              </w:rPr>
              <w:tab/>
              <w:t>#6 OR #7 OR #8 OR #9</w:t>
            </w:r>
            <w:r w:rsidRPr="00A66BA2">
              <w:rPr>
                <w:rFonts w:ascii="Calibri" w:eastAsia="Calibri" w:hAnsi="Calibri" w:cs="Times New Roman"/>
                <w:sz w:val="20"/>
                <w:lang w:val="en-GB"/>
              </w:rPr>
              <w:tab/>
            </w:r>
          </w:p>
          <w:p w:rsidR="00362B75" w:rsidRPr="00A66BA2" w:rsidRDefault="00362B75" w:rsidP="00A66BA2">
            <w:pPr>
              <w:jc w:val="both"/>
              <w:rPr>
                <w:rFonts w:ascii="Calibri" w:eastAsia="Calibri" w:hAnsi="Calibri" w:cs="Times New Roman"/>
                <w:b/>
                <w:sz w:val="20"/>
                <w:lang w:val="en-GB"/>
              </w:rPr>
            </w:pPr>
            <w:r w:rsidRPr="00A66BA2">
              <w:rPr>
                <w:rFonts w:ascii="Calibri" w:eastAsia="Calibri" w:hAnsi="Calibri" w:cs="Times New Roman"/>
                <w:b/>
                <w:sz w:val="20"/>
                <w:lang w:val="en-GB"/>
              </w:rPr>
              <w:t>#11</w:t>
            </w:r>
            <w:r w:rsidRPr="00A66BA2">
              <w:rPr>
                <w:rFonts w:ascii="Calibri" w:eastAsia="Calibri" w:hAnsi="Calibri" w:cs="Times New Roman"/>
                <w:b/>
                <w:sz w:val="20"/>
                <w:lang w:val="en-GB"/>
              </w:rPr>
              <w:tab/>
              <w:t>#5 AND #10</w:t>
            </w:r>
            <w:r w:rsidRPr="00A66BA2">
              <w:rPr>
                <w:rFonts w:ascii="Calibri" w:eastAsia="Calibri" w:hAnsi="Calibri" w:cs="Times New Roman"/>
                <w:b/>
                <w:sz w:val="20"/>
                <w:lang w:val="en-GB"/>
              </w:rPr>
              <w:tab/>
            </w:r>
          </w:p>
        </w:tc>
      </w:tr>
    </w:tbl>
    <w:p w:rsidR="00A66BA2" w:rsidRPr="00A66BA2" w:rsidRDefault="00A66BA2" w:rsidP="00A66BA2">
      <w:pPr>
        <w:spacing w:after="200" w:line="276" w:lineRule="auto"/>
        <w:rPr>
          <w:rFonts w:ascii="Calibri" w:eastAsia="Calibri" w:hAnsi="Calibri" w:cs="Times New Roman"/>
          <w:sz w:val="22"/>
          <w:szCs w:val="22"/>
          <w:lang w:val="en-GB"/>
        </w:rPr>
      </w:pPr>
    </w:p>
    <w:p w:rsidR="007703C1" w:rsidRDefault="00A66BA2" w:rsidP="006F337A">
      <w:pPr>
        <w:pStyle w:val="Ttol2"/>
        <w:jc w:val="both"/>
        <w:rPr>
          <w:rFonts w:ascii="Calibri" w:eastAsia="Calibri" w:hAnsi="Calibri" w:cs="Times New Roman"/>
          <w:sz w:val="22"/>
          <w:szCs w:val="22"/>
          <w:lang w:val="en-GB"/>
        </w:rPr>
      </w:pPr>
      <w:r w:rsidRPr="00A66BA2">
        <w:rPr>
          <w:rFonts w:ascii="Calibri" w:eastAsia="Calibri" w:hAnsi="Calibri" w:cs="Times New Roman"/>
          <w:sz w:val="22"/>
          <w:szCs w:val="22"/>
          <w:lang w:val="en-GB"/>
        </w:rPr>
        <w:br w:type="page"/>
      </w:r>
      <w:bookmarkStart w:id="2" w:name="_Toc66120094"/>
    </w:p>
    <w:p w:rsidR="007703C1" w:rsidRPr="007703C1" w:rsidRDefault="00E51D76" w:rsidP="007703C1">
      <w:pPr>
        <w:keepNext/>
        <w:keepLines/>
        <w:spacing w:before="200" w:line="276" w:lineRule="auto"/>
        <w:jc w:val="both"/>
        <w:outlineLvl w:val="1"/>
        <w:rPr>
          <w:rFonts w:ascii="Calibri" w:eastAsia="Times New Roman" w:hAnsi="Calibri" w:cs="Times New Roman"/>
          <w:b/>
          <w:bCs/>
          <w:color w:val="4F81BD"/>
          <w:sz w:val="26"/>
          <w:szCs w:val="26"/>
          <w:lang w:val="en-GB"/>
        </w:rPr>
      </w:pPr>
      <w:bookmarkStart w:id="3" w:name="_Toc66120093"/>
      <w:r>
        <w:rPr>
          <w:rFonts w:ascii="Calibri" w:eastAsia="Times New Roman" w:hAnsi="Calibri" w:cs="Times New Roman"/>
          <w:b/>
          <w:bCs/>
          <w:color w:val="4F81BD"/>
          <w:sz w:val="26"/>
          <w:szCs w:val="26"/>
          <w:lang w:val="en-GB"/>
        </w:rPr>
        <w:lastRenderedPageBreak/>
        <w:t>Supplementary material</w:t>
      </w:r>
      <w:r w:rsidR="007D4A32">
        <w:rPr>
          <w:rFonts w:ascii="Calibri" w:eastAsia="Times New Roman" w:hAnsi="Calibri" w:cs="Times New Roman"/>
          <w:b/>
          <w:bCs/>
          <w:color w:val="4F81BD"/>
          <w:sz w:val="26"/>
          <w:szCs w:val="26"/>
          <w:lang w:val="en-GB"/>
        </w:rPr>
        <w:t xml:space="preserve"> 1</w:t>
      </w:r>
      <w:r>
        <w:rPr>
          <w:rFonts w:ascii="Calibri" w:eastAsia="Times New Roman" w:hAnsi="Calibri" w:cs="Times New Roman"/>
          <w:b/>
          <w:bCs/>
          <w:color w:val="4F81BD"/>
          <w:sz w:val="26"/>
          <w:szCs w:val="26"/>
          <w:lang w:val="en-GB"/>
        </w:rPr>
        <w:t xml:space="preserve">. </w:t>
      </w:r>
      <w:r w:rsidR="007703C1" w:rsidRPr="007703C1">
        <w:rPr>
          <w:rFonts w:ascii="Calibri" w:eastAsia="Times New Roman" w:hAnsi="Calibri" w:cs="Times New Roman"/>
          <w:b/>
          <w:bCs/>
          <w:color w:val="4F81BD"/>
          <w:sz w:val="26"/>
          <w:szCs w:val="26"/>
          <w:lang w:val="en-GB"/>
        </w:rPr>
        <w:t>Template of QUIPS adaptations with respect to Hayden original proposal</w:t>
      </w:r>
      <w:bookmarkEnd w:id="3"/>
      <w:r w:rsidR="007703C1" w:rsidRPr="007703C1">
        <w:rPr>
          <w:rFonts w:ascii="Calibri" w:eastAsia="Times New Roman" w:hAnsi="Calibri" w:cs="Times New Roman"/>
          <w:b/>
          <w:bCs/>
          <w:color w:val="4F81BD"/>
          <w:sz w:val="26"/>
          <w:szCs w:val="26"/>
          <w:lang w:val="en-GB"/>
        </w:rPr>
        <w:t xml:space="preserve"> </w:t>
      </w:r>
    </w:p>
    <w:p w:rsidR="007703C1" w:rsidRPr="007703C1" w:rsidRDefault="007703C1" w:rsidP="007703C1">
      <w:pPr>
        <w:spacing w:after="200" w:line="276" w:lineRule="auto"/>
        <w:rPr>
          <w:rFonts w:ascii="Calibri" w:eastAsia="Calibri" w:hAnsi="Calibri" w:cs="Times New Roman"/>
          <w:sz w:val="22"/>
          <w:szCs w:val="22"/>
          <w:lang w:val="en-GB"/>
        </w:rPr>
      </w:pPr>
      <w:r w:rsidRPr="007703C1">
        <w:rPr>
          <w:rFonts w:ascii="Calibri" w:eastAsia="Calibri" w:hAnsi="Calibri" w:cs="Times New Roman"/>
          <w:sz w:val="22"/>
          <w:szCs w:val="22"/>
          <w:lang w:val="en-GB"/>
        </w:rPr>
        <w:t xml:space="preserve">The rationale behind the adaptation of QUIPS tool signalling questions is detailed below. </w:t>
      </w:r>
    </w:p>
    <w:p w:rsidR="007703C1" w:rsidRPr="007703C1" w:rsidRDefault="007703C1" w:rsidP="007703C1">
      <w:pPr>
        <w:spacing w:after="200" w:line="276" w:lineRule="auto"/>
        <w:rPr>
          <w:rFonts w:ascii="Calibri" w:eastAsia="Calibri" w:hAnsi="Calibri" w:cs="Times New Roman"/>
          <w:b/>
          <w:bCs/>
          <w:sz w:val="22"/>
          <w:szCs w:val="22"/>
          <w:lang w:val="en-GB"/>
        </w:rPr>
      </w:pPr>
      <w:r w:rsidRPr="007703C1">
        <w:rPr>
          <w:rFonts w:ascii="Calibri" w:eastAsia="Calibri" w:hAnsi="Calibri" w:cs="Times New Roman"/>
          <w:b/>
          <w:bCs/>
          <w:sz w:val="22"/>
          <w:szCs w:val="22"/>
          <w:lang w:val="en-GB"/>
        </w:rPr>
        <w:t>1. Study Participation</w:t>
      </w:r>
    </w:p>
    <w:p w:rsidR="007703C1" w:rsidRPr="007703C1" w:rsidRDefault="007703C1" w:rsidP="007703C1">
      <w:pPr>
        <w:spacing w:after="200" w:line="276" w:lineRule="auto"/>
        <w:rPr>
          <w:rFonts w:ascii="Calibri" w:eastAsia="Calibri" w:hAnsi="Calibri" w:cs="Times New Roman"/>
          <w:sz w:val="22"/>
          <w:szCs w:val="22"/>
          <w:lang w:val="en-GB"/>
        </w:rPr>
      </w:pPr>
      <w:r w:rsidRPr="007703C1">
        <w:rPr>
          <w:rFonts w:ascii="Calibri" w:eastAsia="Calibri" w:hAnsi="Calibri" w:cs="Times New Roman"/>
          <w:sz w:val="22"/>
          <w:szCs w:val="22"/>
          <w:lang w:val="en-GB"/>
        </w:rPr>
        <w:t xml:space="preserve">The signalling question </w:t>
      </w:r>
      <w:r w:rsidRPr="007703C1">
        <w:rPr>
          <w:rFonts w:ascii="Calibri" w:eastAsia="Calibri" w:hAnsi="Calibri" w:cs="Times New Roman"/>
          <w:i/>
          <w:iCs/>
          <w:sz w:val="22"/>
          <w:szCs w:val="22"/>
          <w:lang w:val="en-GB"/>
        </w:rPr>
        <w:t>“Population of interest: Severity of the condition and criteria to define it”</w:t>
      </w:r>
      <w:r w:rsidRPr="007703C1">
        <w:rPr>
          <w:rFonts w:ascii="Calibri" w:eastAsia="Calibri" w:hAnsi="Calibri" w:cs="Times New Roman"/>
          <w:sz w:val="22"/>
          <w:szCs w:val="22"/>
          <w:lang w:val="en-GB"/>
        </w:rPr>
        <w:t xml:space="preserve"> include the original items </w:t>
      </w:r>
      <w:r w:rsidRPr="007703C1">
        <w:rPr>
          <w:rFonts w:ascii="Calibri" w:eastAsia="Calibri" w:hAnsi="Calibri" w:cs="Times New Roman"/>
          <w:i/>
          <w:iCs/>
          <w:sz w:val="22"/>
          <w:szCs w:val="22"/>
          <w:lang w:val="en-GB"/>
        </w:rPr>
        <w:t>“Adequate participation in the study by eligible persons”</w:t>
      </w:r>
      <w:r w:rsidRPr="007703C1">
        <w:rPr>
          <w:rFonts w:ascii="Calibri" w:eastAsia="Calibri" w:hAnsi="Calibri" w:cs="Times New Roman"/>
          <w:sz w:val="22"/>
          <w:szCs w:val="22"/>
          <w:lang w:val="en-GB"/>
        </w:rPr>
        <w:t xml:space="preserve"> and </w:t>
      </w:r>
      <w:r w:rsidRPr="007703C1">
        <w:rPr>
          <w:rFonts w:ascii="Calibri" w:eastAsia="Calibri" w:hAnsi="Calibri" w:cs="Times New Roman"/>
          <w:i/>
          <w:iCs/>
          <w:sz w:val="22"/>
          <w:szCs w:val="22"/>
          <w:lang w:val="en-GB"/>
        </w:rPr>
        <w:t>“Description of the source population or population of interest”</w:t>
      </w:r>
      <w:r w:rsidRPr="007703C1">
        <w:rPr>
          <w:rFonts w:ascii="Calibri" w:eastAsia="Calibri" w:hAnsi="Calibri" w:cs="Times New Roman"/>
          <w:sz w:val="22"/>
          <w:szCs w:val="22"/>
          <w:lang w:val="en-GB"/>
        </w:rPr>
        <w:t>. The reviewers considered that the study sample adequately represents the COPD population of interest if the diagnostic criteria and severity are well described.</w:t>
      </w:r>
    </w:p>
    <w:p w:rsidR="007703C1" w:rsidRPr="007703C1" w:rsidRDefault="007703C1" w:rsidP="007703C1">
      <w:pPr>
        <w:spacing w:after="200" w:line="276" w:lineRule="auto"/>
        <w:rPr>
          <w:rFonts w:ascii="Calibri" w:eastAsia="Calibri" w:hAnsi="Calibri" w:cs="Times New Roman"/>
          <w:sz w:val="22"/>
          <w:szCs w:val="22"/>
          <w:lang w:val="en-GB"/>
        </w:rPr>
      </w:pPr>
      <w:r w:rsidRPr="007703C1">
        <w:rPr>
          <w:rFonts w:ascii="Calibri" w:eastAsia="Calibri" w:hAnsi="Calibri" w:cs="Times New Roman"/>
          <w:sz w:val="22"/>
          <w:szCs w:val="22"/>
          <w:lang w:val="en-GB"/>
        </w:rPr>
        <w:t xml:space="preserve">The signalling questions </w:t>
      </w:r>
      <w:r w:rsidRPr="007703C1">
        <w:rPr>
          <w:rFonts w:ascii="Calibri" w:eastAsia="Calibri" w:hAnsi="Calibri" w:cs="Times New Roman"/>
          <w:i/>
          <w:iCs/>
          <w:sz w:val="22"/>
          <w:szCs w:val="22"/>
          <w:lang w:val="en-GB"/>
        </w:rPr>
        <w:t xml:space="preserve">“Adequate description of the period and place of recruitment” </w:t>
      </w:r>
      <w:r w:rsidRPr="007703C1">
        <w:rPr>
          <w:rFonts w:ascii="Calibri" w:eastAsia="Calibri" w:hAnsi="Calibri" w:cs="Times New Roman"/>
          <w:sz w:val="22"/>
          <w:szCs w:val="22"/>
          <w:lang w:val="en-GB"/>
        </w:rPr>
        <w:t xml:space="preserve">was considered to also answer </w:t>
      </w:r>
      <w:r w:rsidRPr="007703C1">
        <w:rPr>
          <w:rFonts w:ascii="Calibri" w:eastAsia="Calibri" w:hAnsi="Calibri" w:cs="Times New Roman"/>
          <w:i/>
          <w:iCs/>
          <w:sz w:val="22"/>
          <w:szCs w:val="22"/>
          <w:lang w:val="en-GB"/>
        </w:rPr>
        <w:t>“Adequate description of the sampling frame and recruitment”</w:t>
      </w:r>
      <w:r w:rsidRPr="007703C1">
        <w:rPr>
          <w:rFonts w:ascii="Calibri" w:eastAsia="Calibri" w:hAnsi="Calibri" w:cs="Times New Roman"/>
          <w:sz w:val="22"/>
          <w:szCs w:val="22"/>
          <w:lang w:val="en-GB"/>
        </w:rPr>
        <w:t xml:space="preserve">  </w:t>
      </w:r>
    </w:p>
    <w:p w:rsidR="007703C1" w:rsidRPr="007703C1" w:rsidRDefault="007703C1" w:rsidP="007703C1">
      <w:pPr>
        <w:spacing w:after="200" w:line="276" w:lineRule="auto"/>
        <w:rPr>
          <w:rFonts w:ascii="Calibri" w:eastAsia="Calibri" w:hAnsi="Calibri" w:cs="Times New Roman"/>
          <w:b/>
          <w:bCs/>
          <w:sz w:val="22"/>
          <w:szCs w:val="22"/>
          <w:lang w:val="en-GB"/>
        </w:rPr>
      </w:pPr>
      <w:r w:rsidRPr="007703C1">
        <w:rPr>
          <w:rFonts w:ascii="Calibri" w:eastAsia="Calibri" w:hAnsi="Calibri" w:cs="Times New Roman"/>
          <w:b/>
          <w:bCs/>
          <w:sz w:val="22"/>
          <w:szCs w:val="22"/>
          <w:lang w:val="en-GB"/>
        </w:rPr>
        <w:t>2. Study Attrition</w:t>
      </w:r>
    </w:p>
    <w:p w:rsidR="007703C1" w:rsidRPr="007703C1" w:rsidRDefault="007703C1" w:rsidP="007703C1">
      <w:pPr>
        <w:spacing w:after="200" w:line="276" w:lineRule="auto"/>
        <w:rPr>
          <w:rFonts w:ascii="Calibri" w:eastAsia="Calibri" w:hAnsi="Calibri" w:cs="Times New Roman"/>
          <w:sz w:val="22"/>
          <w:szCs w:val="22"/>
          <w:lang w:val="en-GB"/>
        </w:rPr>
      </w:pPr>
      <w:r w:rsidRPr="007703C1">
        <w:rPr>
          <w:rFonts w:ascii="Calibri" w:eastAsia="Calibri" w:hAnsi="Calibri" w:cs="Times New Roman"/>
          <w:sz w:val="22"/>
          <w:szCs w:val="22"/>
          <w:lang w:val="en-GB"/>
        </w:rPr>
        <w:t>No modifications were made to the original questions</w:t>
      </w:r>
    </w:p>
    <w:p w:rsidR="007703C1" w:rsidRPr="007703C1" w:rsidRDefault="007703C1" w:rsidP="007703C1">
      <w:pPr>
        <w:spacing w:after="200" w:line="276" w:lineRule="auto"/>
        <w:rPr>
          <w:rFonts w:ascii="Calibri" w:eastAsia="Calibri" w:hAnsi="Calibri" w:cs="Times New Roman"/>
          <w:b/>
          <w:bCs/>
          <w:sz w:val="22"/>
          <w:szCs w:val="22"/>
          <w:lang w:val="en-GB"/>
        </w:rPr>
      </w:pPr>
      <w:r w:rsidRPr="007703C1">
        <w:rPr>
          <w:rFonts w:ascii="Calibri" w:eastAsia="Calibri" w:hAnsi="Calibri" w:cs="Times New Roman"/>
          <w:b/>
          <w:bCs/>
          <w:sz w:val="22"/>
          <w:szCs w:val="22"/>
          <w:lang w:val="en-GB"/>
        </w:rPr>
        <w:t>3. Prognostic Factor Measurement</w:t>
      </w:r>
    </w:p>
    <w:p w:rsidR="007703C1" w:rsidRPr="007703C1" w:rsidRDefault="007703C1" w:rsidP="007703C1">
      <w:pPr>
        <w:spacing w:after="200" w:line="276" w:lineRule="auto"/>
        <w:rPr>
          <w:rFonts w:ascii="Calibri" w:eastAsia="Calibri" w:hAnsi="Calibri" w:cs="Times New Roman"/>
          <w:sz w:val="22"/>
          <w:szCs w:val="22"/>
          <w:lang w:val="en-GB"/>
        </w:rPr>
      </w:pPr>
      <w:r w:rsidRPr="007703C1">
        <w:rPr>
          <w:rFonts w:ascii="Calibri" w:eastAsia="Calibri" w:hAnsi="Calibri" w:cs="Times New Roman"/>
          <w:sz w:val="22"/>
          <w:szCs w:val="22"/>
          <w:lang w:val="en-GB"/>
        </w:rPr>
        <w:t xml:space="preserve">The signalling questions </w:t>
      </w:r>
      <w:r w:rsidRPr="007703C1">
        <w:rPr>
          <w:rFonts w:ascii="Calibri" w:eastAsia="Calibri" w:hAnsi="Calibri" w:cs="Times New Roman"/>
          <w:i/>
          <w:iCs/>
          <w:sz w:val="22"/>
          <w:szCs w:val="22"/>
          <w:lang w:val="en-GB"/>
        </w:rPr>
        <w:t>“Continuous variables are reported or appropriate cut points are used”</w:t>
      </w:r>
      <w:r w:rsidRPr="007703C1">
        <w:rPr>
          <w:rFonts w:ascii="Calibri" w:eastAsia="Calibri" w:hAnsi="Calibri" w:cs="Times New Roman"/>
          <w:sz w:val="22"/>
          <w:szCs w:val="22"/>
          <w:lang w:val="en-GB"/>
        </w:rPr>
        <w:t xml:space="preserve"> and </w:t>
      </w:r>
      <w:r w:rsidRPr="007703C1">
        <w:rPr>
          <w:rFonts w:ascii="Calibri" w:eastAsia="Calibri" w:hAnsi="Calibri" w:cs="Times New Roman"/>
          <w:i/>
          <w:iCs/>
          <w:sz w:val="22"/>
          <w:szCs w:val="22"/>
          <w:lang w:val="en-GB"/>
        </w:rPr>
        <w:t>“Appropriate methods of imputation are used for missing PF data”</w:t>
      </w:r>
      <w:r w:rsidRPr="007703C1">
        <w:rPr>
          <w:rFonts w:ascii="Calibri" w:eastAsia="Calibri" w:hAnsi="Calibri" w:cs="Times New Roman"/>
          <w:sz w:val="22"/>
          <w:szCs w:val="22"/>
          <w:lang w:val="en-GB"/>
        </w:rPr>
        <w:t xml:space="preserve"> were not used. The considered prognostic factor “presence of Pseudomonas aeruginosa in airways” is a binary (YES/NOT) condition and cut points and imputation of missing data are nor relevant. </w:t>
      </w:r>
    </w:p>
    <w:p w:rsidR="007703C1" w:rsidRPr="007703C1" w:rsidRDefault="007703C1" w:rsidP="007703C1">
      <w:pPr>
        <w:spacing w:after="200" w:line="276" w:lineRule="auto"/>
        <w:rPr>
          <w:rFonts w:ascii="Calibri" w:eastAsia="Calibri" w:hAnsi="Calibri" w:cs="Times New Roman"/>
          <w:b/>
          <w:bCs/>
          <w:sz w:val="22"/>
          <w:szCs w:val="22"/>
          <w:lang w:val="en-GB"/>
        </w:rPr>
      </w:pPr>
      <w:r w:rsidRPr="007703C1">
        <w:rPr>
          <w:rFonts w:ascii="Calibri" w:eastAsia="Calibri" w:hAnsi="Calibri" w:cs="Times New Roman"/>
          <w:b/>
          <w:bCs/>
          <w:sz w:val="22"/>
          <w:szCs w:val="22"/>
          <w:lang w:val="en-GB"/>
        </w:rPr>
        <w:t>4. Outcome Measurement</w:t>
      </w:r>
    </w:p>
    <w:p w:rsidR="007703C1" w:rsidRPr="007703C1" w:rsidRDefault="007703C1" w:rsidP="007703C1">
      <w:pPr>
        <w:spacing w:after="200" w:line="276" w:lineRule="auto"/>
        <w:rPr>
          <w:rFonts w:ascii="Calibri" w:eastAsia="Calibri" w:hAnsi="Calibri" w:cs="Times New Roman"/>
          <w:sz w:val="22"/>
          <w:szCs w:val="22"/>
          <w:lang w:val="en-GB"/>
        </w:rPr>
      </w:pPr>
      <w:r w:rsidRPr="007703C1">
        <w:rPr>
          <w:rFonts w:ascii="Calibri" w:eastAsia="Calibri" w:hAnsi="Calibri" w:cs="Times New Roman"/>
          <w:sz w:val="22"/>
          <w:szCs w:val="22"/>
          <w:lang w:val="en-GB"/>
        </w:rPr>
        <w:t>No modifications were made to the original questions</w:t>
      </w:r>
    </w:p>
    <w:p w:rsidR="007703C1" w:rsidRPr="007703C1" w:rsidRDefault="007703C1" w:rsidP="007703C1">
      <w:pPr>
        <w:spacing w:after="200" w:line="276" w:lineRule="auto"/>
        <w:rPr>
          <w:rFonts w:ascii="Calibri" w:eastAsia="Calibri" w:hAnsi="Calibri" w:cs="Times New Roman"/>
          <w:b/>
          <w:bCs/>
          <w:sz w:val="22"/>
          <w:szCs w:val="22"/>
          <w:lang w:val="en-GB"/>
        </w:rPr>
      </w:pPr>
      <w:r w:rsidRPr="007703C1">
        <w:rPr>
          <w:rFonts w:ascii="Calibri" w:eastAsia="Calibri" w:hAnsi="Calibri" w:cs="Times New Roman"/>
          <w:b/>
          <w:bCs/>
          <w:sz w:val="22"/>
          <w:szCs w:val="22"/>
          <w:lang w:val="en-GB"/>
        </w:rPr>
        <w:t>5. Study Confounding</w:t>
      </w:r>
    </w:p>
    <w:p w:rsidR="007703C1" w:rsidRPr="007703C1" w:rsidRDefault="007703C1" w:rsidP="007703C1">
      <w:pPr>
        <w:spacing w:after="200" w:line="276" w:lineRule="auto"/>
        <w:rPr>
          <w:rFonts w:ascii="Calibri" w:eastAsia="Calibri" w:hAnsi="Calibri" w:cs="Times New Roman"/>
          <w:sz w:val="22"/>
          <w:szCs w:val="22"/>
          <w:lang w:val="en-GB"/>
        </w:rPr>
      </w:pPr>
      <w:r w:rsidRPr="007703C1">
        <w:rPr>
          <w:rFonts w:ascii="Calibri" w:eastAsia="Calibri" w:hAnsi="Calibri" w:cs="Times New Roman"/>
          <w:sz w:val="22"/>
          <w:szCs w:val="22"/>
          <w:lang w:val="en-GB"/>
        </w:rPr>
        <w:t xml:space="preserve">The wording of the signalling questions </w:t>
      </w:r>
      <w:r w:rsidRPr="007703C1">
        <w:rPr>
          <w:rFonts w:ascii="Calibri" w:eastAsia="Calibri" w:hAnsi="Calibri" w:cs="Times New Roman"/>
          <w:i/>
          <w:iCs/>
          <w:sz w:val="22"/>
          <w:szCs w:val="22"/>
          <w:lang w:val="en-GB"/>
        </w:rPr>
        <w:t>“All important confounders are measured, accounted for in the analysis and in the study design”</w:t>
      </w:r>
      <w:r w:rsidRPr="007703C1">
        <w:rPr>
          <w:rFonts w:ascii="Calibri" w:eastAsia="Calibri" w:hAnsi="Calibri" w:cs="Times New Roman"/>
          <w:sz w:val="22"/>
          <w:szCs w:val="22"/>
          <w:lang w:val="en-GB"/>
        </w:rPr>
        <w:t xml:space="preserve"> consider and include the following three independent items: </w:t>
      </w:r>
      <w:r w:rsidRPr="007703C1">
        <w:rPr>
          <w:rFonts w:ascii="Calibri" w:eastAsia="Calibri" w:hAnsi="Calibri" w:cs="Times New Roman"/>
          <w:i/>
          <w:iCs/>
          <w:sz w:val="22"/>
          <w:szCs w:val="22"/>
          <w:lang w:val="en-GB"/>
        </w:rPr>
        <w:t>“All important confounders are measured”</w:t>
      </w:r>
      <w:r w:rsidRPr="007703C1">
        <w:rPr>
          <w:rFonts w:ascii="Calibri" w:eastAsia="Calibri" w:hAnsi="Calibri" w:cs="Times New Roman"/>
          <w:sz w:val="22"/>
          <w:szCs w:val="22"/>
          <w:lang w:val="en-GB"/>
        </w:rPr>
        <w:t xml:space="preserve">; </w:t>
      </w:r>
      <w:r w:rsidRPr="007703C1">
        <w:rPr>
          <w:rFonts w:ascii="Calibri" w:eastAsia="Calibri" w:hAnsi="Calibri" w:cs="Times New Roman"/>
          <w:i/>
          <w:iCs/>
          <w:sz w:val="22"/>
          <w:szCs w:val="22"/>
          <w:lang w:val="en-GB"/>
        </w:rPr>
        <w:t>“Important potential confounders are accounted for in the study design”</w:t>
      </w:r>
      <w:r w:rsidRPr="007703C1">
        <w:rPr>
          <w:rFonts w:ascii="Calibri" w:eastAsia="Calibri" w:hAnsi="Calibri" w:cs="Times New Roman"/>
          <w:sz w:val="22"/>
          <w:szCs w:val="22"/>
          <w:lang w:val="en-GB"/>
        </w:rPr>
        <w:t xml:space="preserve">; </w:t>
      </w:r>
      <w:r w:rsidRPr="007703C1">
        <w:rPr>
          <w:rFonts w:ascii="Calibri" w:eastAsia="Calibri" w:hAnsi="Calibri" w:cs="Times New Roman"/>
          <w:i/>
          <w:iCs/>
          <w:sz w:val="22"/>
          <w:szCs w:val="22"/>
          <w:lang w:val="en-GB"/>
        </w:rPr>
        <w:t>“Important potential confounders are accounted for in the analysis”</w:t>
      </w:r>
      <w:r w:rsidRPr="007703C1">
        <w:rPr>
          <w:rFonts w:ascii="Calibri" w:eastAsia="Calibri" w:hAnsi="Calibri" w:cs="Times New Roman"/>
          <w:sz w:val="22"/>
          <w:szCs w:val="22"/>
          <w:lang w:val="en-GB"/>
        </w:rPr>
        <w:t>.</w:t>
      </w:r>
    </w:p>
    <w:p w:rsidR="007703C1" w:rsidRPr="007703C1" w:rsidRDefault="007703C1" w:rsidP="007703C1">
      <w:pPr>
        <w:spacing w:after="200" w:line="276" w:lineRule="auto"/>
        <w:rPr>
          <w:rFonts w:ascii="Calibri" w:eastAsia="Calibri" w:hAnsi="Calibri" w:cs="Times New Roman"/>
          <w:b/>
          <w:bCs/>
          <w:sz w:val="22"/>
          <w:szCs w:val="22"/>
          <w:lang w:val="en-GB"/>
        </w:rPr>
      </w:pPr>
      <w:r w:rsidRPr="007703C1">
        <w:rPr>
          <w:rFonts w:ascii="Calibri" w:eastAsia="Calibri" w:hAnsi="Calibri" w:cs="Times New Roman"/>
          <w:b/>
          <w:bCs/>
          <w:sz w:val="22"/>
          <w:szCs w:val="22"/>
          <w:lang w:val="en-GB"/>
        </w:rPr>
        <w:t>6. Statistical Analysis and Reporting</w:t>
      </w:r>
    </w:p>
    <w:p w:rsidR="007703C1" w:rsidRPr="007703C1" w:rsidRDefault="007703C1" w:rsidP="007703C1">
      <w:pPr>
        <w:spacing w:after="200" w:line="276" w:lineRule="auto"/>
        <w:rPr>
          <w:rFonts w:ascii="Calibri" w:eastAsia="Calibri" w:hAnsi="Calibri" w:cs="Times New Roman"/>
          <w:i/>
          <w:iCs/>
          <w:sz w:val="22"/>
          <w:szCs w:val="22"/>
          <w:lang w:val="en-GB"/>
        </w:rPr>
      </w:pPr>
      <w:r w:rsidRPr="007703C1">
        <w:rPr>
          <w:rFonts w:ascii="Calibri" w:eastAsia="Calibri" w:hAnsi="Calibri" w:cs="Times New Roman"/>
          <w:sz w:val="22"/>
          <w:szCs w:val="22"/>
          <w:lang w:val="en-GB"/>
        </w:rPr>
        <w:t xml:space="preserve">It was considered that the signalling questions </w:t>
      </w:r>
      <w:r w:rsidRPr="007703C1">
        <w:rPr>
          <w:rFonts w:ascii="Calibri" w:eastAsia="Calibri" w:hAnsi="Calibri" w:cs="Times New Roman"/>
          <w:i/>
          <w:iCs/>
          <w:sz w:val="22"/>
          <w:szCs w:val="22"/>
          <w:lang w:val="en-GB"/>
        </w:rPr>
        <w:t>“Sufficient presentation of data (including the statistical model) to assess the adequacy of the analytic strategy”</w:t>
      </w:r>
      <w:r w:rsidRPr="007703C1">
        <w:rPr>
          <w:rFonts w:ascii="Calibri" w:eastAsia="Calibri" w:hAnsi="Calibri" w:cs="Times New Roman"/>
          <w:sz w:val="22"/>
          <w:szCs w:val="22"/>
          <w:lang w:val="en-GB"/>
        </w:rPr>
        <w:t xml:space="preserve"> summarised and was representative of the following QUIPS items: </w:t>
      </w:r>
      <w:r w:rsidRPr="007703C1">
        <w:rPr>
          <w:rFonts w:ascii="Calibri" w:eastAsia="Calibri" w:hAnsi="Calibri" w:cs="Times New Roman"/>
          <w:i/>
          <w:iCs/>
          <w:sz w:val="22"/>
          <w:szCs w:val="22"/>
          <w:lang w:val="en-GB"/>
        </w:rPr>
        <w:t>“Sufficient presentation of data to assess the adequacy of the analytic strategy”</w:t>
      </w:r>
      <w:r w:rsidRPr="007703C1">
        <w:rPr>
          <w:rFonts w:ascii="Calibri" w:eastAsia="Calibri" w:hAnsi="Calibri" w:cs="Times New Roman"/>
          <w:sz w:val="22"/>
          <w:szCs w:val="22"/>
          <w:lang w:val="en-GB"/>
        </w:rPr>
        <w:t xml:space="preserve">; </w:t>
      </w:r>
      <w:r w:rsidRPr="007703C1">
        <w:rPr>
          <w:rFonts w:ascii="Calibri" w:eastAsia="Calibri" w:hAnsi="Calibri" w:cs="Times New Roman"/>
          <w:i/>
          <w:iCs/>
          <w:sz w:val="22"/>
          <w:szCs w:val="22"/>
          <w:lang w:val="en-GB"/>
        </w:rPr>
        <w:t>“Strategy for model building is appropriate and is based on a conceptual framework or model”</w:t>
      </w:r>
      <w:r w:rsidRPr="007703C1">
        <w:rPr>
          <w:rFonts w:ascii="Calibri" w:eastAsia="Calibri" w:hAnsi="Calibri" w:cs="Times New Roman"/>
          <w:sz w:val="22"/>
          <w:szCs w:val="22"/>
          <w:lang w:val="en-GB"/>
        </w:rPr>
        <w:t xml:space="preserve">; </w:t>
      </w:r>
      <w:r w:rsidRPr="007703C1">
        <w:rPr>
          <w:rFonts w:ascii="Calibri" w:eastAsia="Calibri" w:hAnsi="Calibri" w:cs="Times New Roman"/>
          <w:i/>
          <w:iCs/>
          <w:sz w:val="22"/>
          <w:szCs w:val="22"/>
          <w:lang w:val="en-GB"/>
        </w:rPr>
        <w:t>“The selected statistical model is adequate for the design of the study”</w:t>
      </w:r>
    </w:p>
    <w:p w:rsidR="007703C1" w:rsidRPr="007703C1" w:rsidRDefault="007703C1" w:rsidP="007703C1">
      <w:pPr>
        <w:spacing w:after="200" w:line="276" w:lineRule="auto"/>
        <w:rPr>
          <w:rFonts w:ascii="Calibri" w:eastAsia="Calibri" w:hAnsi="Calibri" w:cs="Times New Roman"/>
          <w:sz w:val="22"/>
          <w:szCs w:val="22"/>
          <w:lang w:val="en-GB"/>
        </w:rPr>
      </w:pPr>
      <w:r w:rsidRPr="007703C1">
        <w:rPr>
          <w:rFonts w:ascii="Calibri" w:eastAsia="Calibri" w:hAnsi="Calibri" w:cs="Times New Roman"/>
          <w:sz w:val="22"/>
          <w:szCs w:val="22"/>
          <w:lang w:val="en-GB"/>
        </w:rPr>
        <w:t>We anticipated finding few or no studies including a conceptual framework / statistical model in their methods thus the wording of the item was simplified.</w:t>
      </w:r>
    </w:p>
    <w:p w:rsidR="007703C1" w:rsidRDefault="007703C1" w:rsidP="007703C1">
      <w:pPr>
        <w:spacing w:after="200" w:line="276" w:lineRule="auto"/>
        <w:rPr>
          <w:rFonts w:ascii="Calibri" w:eastAsia="Calibri" w:hAnsi="Calibri" w:cs="Times New Roman"/>
          <w:sz w:val="22"/>
          <w:szCs w:val="22"/>
          <w:lang w:val="en-GB"/>
        </w:rPr>
        <w:sectPr w:rsidR="007703C1" w:rsidSect="00CF4FD4">
          <w:headerReference w:type="even" r:id="rId7"/>
          <w:headerReference w:type="default" r:id="rId8"/>
          <w:pgSz w:w="11906" w:h="16838"/>
          <w:pgMar w:top="1417" w:right="1701" w:bottom="1417" w:left="1701" w:header="708" w:footer="708" w:gutter="0"/>
          <w:cols w:space="708"/>
          <w:docGrid w:linePitch="360"/>
        </w:sectPr>
      </w:pPr>
    </w:p>
    <w:p w:rsidR="007703C1" w:rsidRPr="007703C1" w:rsidRDefault="007703C1" w:rsidP="007703C1">
      <w:pPr>
        <w:spacing w:after="200" w:line="276" w:lineRule="auto"/>
        <w:rPr>
          <w:rFonts w:ascii="Calibri" w:eastAsia="Calibri" w:hAnsi="Calibri" w:cs="Times New Roman"/>
          <w:sz w:val="22"/>
          <w:szCs w:val="22"/>
          <w:lang w:val="en-GB"/>
        </w:rPr>
      </w:pPr>
    </w:p>
    <w:p w:rsidR="007703C1" w:rsidRPr="007703C1" w:rsidRDefault="00305ED5" w:rsidP="007703C1">
      <w:pPr>
        <w:contextualSpacing/>
        <w:rPr>
          <w:rFonts w:ascii="Calibri" w:eastAsia="Times New Roman" w:hAnsi="Calibri" w:cs="Times New Roman"/>
          <w:spacing w:val="-10"/>
          <w:kern w:val="28"/>
          <w:sz w:val="56"/>
          <w:szCs w:val="56"/>
          <w:lang w:val="en-GB"/>
        </w:rPr>
      </w:pPr>
      <w:r>
        <w:rPr>
          <w:rFonts w:ascii="Calibri" w:eastAsia="Times New Roman" w:hAnsi="Calibri" w:cs="Times New Roman"/>
          <w:spacing w:val="-10"/>
          <w:kern w:val="28"/>
          <w:sz w:val="56"/>
          <w:szCs w:val="56"/>
          <w:lang w:val="en-GB"/>
        </w:rPr>
        <w:t>Table S2</w:t>
      </w:r>
      <w:r w:rsidR="00E51D76">
        <w:rPr>
          <w:rFonts w:ascii="Calibri" w:eastAsia="Times New Roman" w:hAnsi="Calibri" w:cs="Times New Roman"/>
          <w:spacing w:val="-10"/>
          <w:kern w:val="28"/>
          <w:sz w:val="56"/>
          <w:szCs w:val="56"/>
          <w:lang w:val="en-GB"/>
        </w:rPr>
        <w:t>a</w:t>
      </w:r>
      <w:r>
        <w:rPr>
          <w:rFonts w:ascii="Calibri" w:eastAsia="Times New Roman" w:hAnsi="Calibri" w:cs="Times New Roman"/>
          <w:spacing w:val="-10"/>
          <w:kern w:val="28"/>
          <w:sz w:val="56"/>
          <w:szCs w:val="56"/>
          <w:lang w:val="en-GB"/>
        </w:rPr>
        <w:t xml:space="preserve">. </w:t>
      </w:r>
      <w:r w:rsidR="007703C1" w:rsidRPr="007703C1">
        <w:rPr>
          <w:rFonts w:ascii="Calibri" w:eastAsia="Times New Roman" w:hAnsi="Calibri" w:cs="Times New Roman"/>
          <w:spacing w:val="-10"/>
          <w:kern w:val="28"/>
          <w:sz w:val="56"/>
          <w:szCs w:val="56"/>
          <w:lang w:val="en-GB"/>
        </w:rPr>
        <w:t>QUIPS Tool template</w:t>
      </w:r>
    </w:p>
    <w:p w:rsidR="007703C1" w:rsidRDefault="007703C1" w:rsidP="007703C1">
      <w:pPr>
        <w:spacing w:after="160" w:line="259" w:lineRule="auto"/>
        <w:ind w:left="720"/>
        <w:contextualSpacing/>
        <w:rPr>
          <w:rFonts w:ascii="Calibri" w:eastAsia="Calibri" w:hAnsi="Calibri" w:cs="Times New Roman"/>
          <w:sz w:val="22"/>
          <w:szCs w:val="22"/>
          <w:lang w:val="en-GB"/>
        </w:rPr>
      </w:pPr>
    </w:p>
    <w:tbl>
      <w:tblPr>
        <w:tblW w:w="13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679"/>
        <w:gridCol w:w="1680"/>
        <w:gridCol w:w="1680"/>
        <w:gridCol w:w="1680"/>
        <w:gridCol w:w="1376"/>
        <w:gridCol w:w="1378"/>
        <w:gridCol w:w="1378"/>
        <w:gridCol w:w="1376"/>
        <w:gridCol w:w="1376"/>
      </w:tblGrid>
      <w:tr w:rsidR="00362B75" w:rsidRPr="007703C1" w:rsidTr="00362B75">
        <w:trPr>
          <w:trHeight w:val="793"/>
        </w:trPr>
        <w:tc>
          <w:tcPr>
            <w:tcW w:w="6719" w:type="dxa"/>
            <w:gridSpan w:val="4"/>
            <w:shd w:val="clear" w:color="auto" w:fill="auto"/>
            <w:hideMark/>
          </w:tcPr>
          <w:p w:rsidR="00362B75" w:rsidRPr="007703C1" w:rsidRDefault="00362B75" w:rsidP="00362B75">
            <w:pPr>
              <w:rPr>
                <w:rFonts w:ascii="Calibri" w:eastAsia="Times New Roman" w:hAnsi="Calibri" w:cs="Calibri"/>
                <w:b/>
                <w:bCs/>
                <w:color w:val="1F497D"/>
                <w:sz w:val="30"/>
                <w:szCs w:val="30"/>
                <w:lang w:val="en-GB" w:eastAsia="ca-ES"/>
              </w:rPr>
            </w:pPr>
            <w:r w:rsidRPr="00242F1D">
              <w:rPr>
                <w:rFonts w:ascii="Calibri" w:eastAsia="Times New Roman" w:hAnsi="Calibri" w:cs="Calibri"/>
                <w:b/>
                <w:bCs/>
                <w:color w:val="1F497D"/>
                <w:sz w:val="30"/>
                <w:szCs w:val="30"/>
                <w:lang w:val="en-GB" w:eastAsia="ca-ES"/>
              </w:rPr>
              <w:t>Study Participation</w:t>
            </w:r>
          </w:p>
        </w:tc>
        <w:tc>
          <w:tcPr>
            <w:tcW w:w="6884" w:type="dxa"/>
            <w:gridSpan w:val="5"/>
            <w:shd w:val="clear" w:color="auto" w:fill="auto"/>
            <w:hideMark/>
          </w:tcPr>
          <w:p w:rsidR="00362B75" w:rsidRPr="007703C1" w:rsidRDefault="00362B75" w:rsidP="00362B75">
            <w:pPr>
              <w:rPr>
                <w:rFonts w:ascii="Calibri" w:eastAsia="Times New Roman" w:hAnsi="Calibri" w:cs="Calibri"/>
                <w:b/>
                <w:bCs/>
                <w:color w:val="1F497D"/>
                <w:sz w:val="30"/>
                <w:szCs w:val="30"/>
                <w:lang w:val="en-GB" w:eastAsia="ca-ES"/>
              </w:rPr>
            </w:pPr>
            <w:r w:rsidRPr="00242F1D">
              <w:rPr>
                <w:rFonts w:ascii="Calibri" w:eastAsia="Times New Roman" w:hAnsi="Calibri" w:cs="Calibri"/>
                <w:b/>
                <w:bCs/>
                <w:color w:val="1F497D"/>
                <w:sz w:val="30"/>
                <w:szCs w:val="30"/>
                <w:lang w:val="en-GB" w:eastAsia="ca-ES"/>
              </w:rPr>
              <w:t>Study Attrition</w:t>
            </w:r>
          </w:p>
        </w:tc>
      </w:tr>
      <w:tr w:rsidR="00362B75" w:rsidRPr="007D4A32" w:rsidTr="00362B75">
        <w:trPr>
          <w:trHeight w:val="2235"/>
        </w:trPr>
        <w:tc>
          <w:tcPr>
            <w:tcW w:w="6719" w:type="dxa"/>
            <w:gridSpan w:val="4"/>
            <w:shd w:val="clear" w:color="auto" w:fill="auto"/>
            <w:hideMark/>
          </w:tcPr>
          <w:p w:rsidR="00362B75" w:rsidRPr="007703C1" w:rsidRDefault="00362B75" w:rsidP="00362B75">
            <w:pPr>
              <w:rPr>
                <w:rFonts w:ascii="Calibri" w:eastAsia="Times New Roman" w:hAnsi="Calibri" w:cs="Calibri"/>
                <w:b/>
                <w:bCs/>
                <w:color w:val="000000"/>
                <w:sz w:val="22"/>
                <w:szCs w:val="22"/>
                <w:lang w:val="en-GB" w:eastAsia="ca-ES"/>
              </w:rPr>
            </w:pPr>
            <w:r w:rsidRPr="00242F1D">
              <w:rPr>
                <w:rFonts w:ascii="Calibri" w:eastAsia="Times New Roman" w:hAnsi="Calibri" w:cs="Calibri"/>
                <w:b/>
                <w:bCs/>
                <w:color w:val="000000"/>
                <w:lang w:val="en-GB" w:eastAsia="ca-ES"/>
              </w:rPr>
              <w:t xml:space="preserve">The study sample adequately represents the population of interest. </w:t>
            </w:r>
          </w:p>
        </w:tc>
        <w:tc>
          <w:tcPr>
            <w:tcW w:w="6884" w:type="dxa"/>
            <w:gridSpan w:val="5"/>
            <w:shd w:val="clear" w:color="auto" w:fill="auto"/>
            <w:hideMark/>
          </w:tcPr>
          <w:p w:rsidR="00362B75" w:rsidRPr="007703C1" w:rsidRDefault="00362B75" w:rsidP="00362B75">
            <w:pPr>
              <w:rPr>
                <w:rFonts w:ascii="Calibri" w:eastAsia="Times New Roman" w:hAnsi="Calibri" w:cs="Calibri"/>
                <w:b/>
                <w:bCs/>
                <w:color w:val="000000"/>
                <w:sz w:val="22"/>
                <w:szCs w:val="22"/>
                <w:lang w:val="en-GB" w:eastAsia="ca-ES"/>
              </w:rPr>
            </w:pPr>
            <w:r w:rsidRPr="00242F1D">
              <w:rPr>
                <w:rFonts w:ascii="Calibri" w:eastAsia="Times New Roman" w:hAnsi="Calibri" w:cs="Calibri"/>
                <w:b/>
                <w:bCs/>
                <w:color w:val="000000"/>
                <w:lang w:val="en-GB" w:eastAsia="ca-ES"/>
              </w:rPr>
              <w:t>The study data available (i.e. participants not lost to follow-up) adequately represent the study sample</w:t>
            </w:r>
          </w:p>
        </w:tc>
      </w:tr>
      <w:tr w:rsidR="00362B75" w:rsidRPr="007D4A32" w:rsidTr="00362B75">
        <w:trPr>
          <w:trHeight w:val="2610"/>
        </w:trPr>
        <w:tc>
          <w:tcPr>
            <w:tcW w:w="1679" w:type="dxa"/>
            <w:shd w:val="clear" w:color="auto" w:fill="auto"/>
            <w:hideMark/>
          </w:tcPr>
          <w:p w:rsidR="00362B75" w:rsidRPr="007703C1" w:rsidRDefault="00362B75" w:rsidP="00362B75">
            <w:pPr>
              <w:rPr>
                <w:rFonts w:ascii="Calibri" w:eastAsia="Times New Roman" w:hAnsi="Calibri" w:cs="Calibri"/>
                <w:i/>
                <w:iCs/>
                <w:sz w:val="22"/>
                <w:szCs w:val="22"/>
                <w:lang w:val="en-GB" w:eastAsia="ca-ES"/>
              </w:rPr>
            </w:pPr>
            <w:r w:rsidRPr="00242F1D">
              <w:rPr>
                <w:rFonts w:ascii="Calibri" w:eastAsia="Times New Roman" w:hAnsi="Calibri" w:cs="Calibri"/>
                <w:i/>
                <w:iCs/>
                <w:lang w:val="en-GB" w:eastAsia="ca-ES"/>
              </w:rPr>
              <w:t xml:space="preserve">Population of interest: Severity of the condition and criteria to define it </w:t>
            </w:r>
            <w:r w:rsidRPr="00242F1D">
              <w:rPr>
                <w:rFonts w:ascii="Calibri" w:eastAsia="Times New Roman" w:hAnsi="Calibri" w:cs="Calibri"/>
                <w:i/>
                <w:iCs/>
                <w:vertAlign w:val="superscript"/>
                <w:lang w:val="en-GB" w:eastAsia="ca-ES"/>
              </w:rPr>
              <w:t>(1)</w:t>
            </w:r>
          </w:p>
        </w:tc>
        <w:tc>
          <w:tcPr>
            <w:tcW w:w="1680" w:type="dxa"/>
            <w:shd w:val="clear" w:color="auto" w:fill="auto"/>
            <w:hideMark/>
          </w:tcPr>
          <w:p w:rsidR="00362B75" w:rsidRPr="007703C1" w:rsidRDefault="00362B75" w:rsidP="00362B75">
            <w:pPr>
              <w:rPr>
                <w:rFonts w:ascii="Calibri" w:eastAsia="Times New Roman" w:hAnsi="Calibri" w:cs="Calibri"/>
                <w:i/>
                <w:iCs/>
                <w:sz w:val="22"/>
                <w:szCs w:val="22"/>
                <w:lang w:val="en-GB" w:eastAsia="ca-ES"/>
              </w:rPr>
            </w:pPr>
            <w:r w:rsidRPr="00242F1D">
              <w:rPr>
                <w:rFonts w:ascii="Calibri" w:eastAsia="Times New Roman" w:hAnsi="Calibri" w:cs="Calibri"/>
                <w:i/>
                <w:iCs/>
                <w:lang w:val="en-GB" w:eastAsia="ca-ES"/>
              </w:rPr>
              <w:t>Description of the baseline study sample</w:t>
            </w:r>
          </w:p>
        </w:tc>
        <w:tc>
          <w:tcPr>
            <w:tcW w:w="1680" w:type="dxa"/>
            <w:shd w:val="clear" w:color="auto" w:fill="auto"/>
            <w:hideMark/>
          </w:tcPr>
          <w:p w:rsidR="00362B75" w:rsidRPr="007703C1" w:rsidRDefault="00362B75" w:rsidP="00362B75">
            <w:pPr>
              <w:rPr>
                <w:rFonts w:ascii="Calibri" w:eastAsia="Times New Roman" w:hAnsi="Calibri" w:cs="Calibri"/>
                <w:i/>
                <w:iCs/>
                <w:sz w:val="22"/>
                <w:szCs w:val="22"/>
                <w:lang w:val="en-GB" w:eastAsia="ca-ES"/>
              </w:rPr>
            </w:pPr>
            <w:r w:rsidRPr="00242F1D">
              <w:rPr>
                <w:rFonts w:ascii="Calibri" w:eastAsia="Times New Roman" w:hAnsi="Calibri" w:cs="Calibri"/>
                <w:i/>
                <w:iCs/>
                <w:lang w:val="en-GB" w:eastAsia="ca-ES"/>
              </w:rPr>
              <w:t>Adequate description of the period and place of recruitment</w:t>
            </w:r>
            <w:r>
              <w:rPr>
                <w:rFonts w:ascii="Calibri" w:eastAsia="Times New Roman" w:hAnsi="Calibri" w:cs="Calibri"/>
                <w:i/>
                <w:iCs/>
                <w:lang w:val="en-GB" w:eastAsia="ca-ES"/>
              </w:rPr>
              <w:t xml:space="preserve"> </w:t>
            </w:r>
            <w:r w:rsidRPr="00242F1D">
              <w:rPr>
                <w:rFonts w:ascii="Calibri" w:eastAsia="Times New Roman" w:hAnsi="Calibri" w:cs="Calibri"/>
                <w:i/>
                <w:iCs/>
                <w:vertAlign w:val="superscript"/>
                <w:lang w:val="en-GB" w:eastAsia="ca-ES"/>
              </w:rPr>
              <w:t>(2)</w:t>
            </w:r>
          </w:p>
        </w:tc>
        <w:tc>
          <w:tcPr>
            <w:tcW w:w="1680" w:type="dxa"/>
            <w:shd w:val="clear" w:color="auto" w:fill="auto"/>
            <w:hideMark/>
          </w:tcPr>
          <w:p w:rsidR="00362B75" w:rsidRPr="007703C1" w:rsidRDefault="00362B75" w:rsidP="00362B75">
            <w:pPr>
              <w:rPr>
                <w:rFonts w:ascii="Calibri" w:eastAsia="Times New Roman" w:hAnsi="Calibri" w:cs="Calibri"/>
                <w:i/>
                <w:iCs/>
                <w:sz w:val="22"/>
                <w:szCs w:val="22"/>
                <w:lang w:val="en-GB" w:eastAsia="ca-ES"/>
              </w:rPr>
            </w:pPr>
            <w:r w:rsidRPr="00242F1D">
              <w:rPr>
                <w:rFonts w:ascii="Calibri" w:eastAsia="Times New Roman" w:hAnsi="Calibri" w:cs="Calibri"/>
                <w:i/>
                <w:iCs/>
                <w:lang w:val="en-GB" w:eastAsia="ca-ES"/>
              </w:rPr>
              <w:t>Adequate description of inclusion and exclusion criteria</w:t>
            </w:r>
          </w:p>
        </w:tc>
        <w:tc>
          <w:tcPr>
            <w:tcW w:w="1376" w:type="dxa"/>
            <w:shd w:val="clear" w:color="auto" w:fill="auto"/>
            <w:hideMark/>
          </w:tcPr>
          <w:p w:rsidR="00362B75" w:rsidRPr="007703C1" w:rsidRDefault="00362B75" w:rsidP="00362B75">
            <w:pPr>
              <w:rPr>
                <w:rFonts w:ascii="Calibri" w:eastAsia="Times New Roman" w:hAnsi="Calibri" w:cs="Calibri"/>
                <w:i/>
                <w:iCs/>
                <w:sz w:val="22"/>
                <w:szCs w:val="22"/>
                <w:lang w:val="en-GB" w:eastAsia="ca-ES"/>
              </w:rPr>
            </w:pPr>
            <w:r w:rsidRPr="00242F1D">
              <w:rPr>
                <w:rFonts w:ascii="Calibri" w:eastAsia="Times New Roman" w:hAnsi="Calibri" w:cs="Calibri"/>
                <w:i/>
                <w:iCs/>
                <w:lang w:val="en-GB" w:eastAsia="ca-ES"/>
              </w:rPr>
              <w:t>Adequate response rate for study participants</w:t>
            </w:r>
          </w:p>
        </w:tc>
        <w:tc>
          <w:tcPr>
            <w:tcW w:w="1378" w:type="dxa"/>
            <w:shd w:val="clear" w:color="auto" w:fill="auto"/>
          </w:tcPr>
          <w:p w:rsidR="00362B75" w:rsidRPr="007703C1" w:rsidRDefault="00362B75" w:rsidP="00362B75">
            <w:pPr>
              <w:rPr>
                <w:rFonts w:ascii="Calibri" w:eastAsia="Times New Roman" w:hAnsi="Calibri" w:cs="Calibri"/>
                <w:i/>
                <w:iCs/>
                <w:sz w:val="22"/>
                <w:szCs w:val="22"/>
                <w:lang w:val="en-GB" w:eastAsia="ca-ES"/>
              </w:rPr>
            </w:pPr>
            <w:r w:rsidRPr="00242F1D">
              <w:rPr>
                <w:rFonts w:ascii="Calibri" w:eastAsia="Times New Roman" w:hAnsi="Calibri" w:cs="Calibri"/>
                <w:i/>
                <w:iCs/>
                <w:lang w:val="en-GB" w:eastAsia="ca-ES"/>
              </w:rPr>
              <w:t>Description of attempts to collect information on participants who dropped out</w:t>
            </w:r>
          </w:p>
        </w:tc>
        <w:tc>
          <w:tcPr>
            <w:tcW w:w="1378" w:type="dxa"/>
            <w:shd w:val="clear" w:color="auto" w:fill="auto"/>
          </w:tcPr>
          <w:p w:rsidR="00362B75" w:rsidRPr="007703C1" w:rsidRDefault="00362B75" w:rsidP="00362B75">
            <w:pPr>
              <w:rPr>
                <w:rFonts w:ascii="Calibri" w:eastAsia="Times New Roman" w:hAnsi="Calibri" w:cs="Calibri"/>
                <w:i/>
                <w:iCs/>
                <w:sz w:val="22"/>
                <w:szCs w:val="22"/>
                <w:lang w:val="en-GB" w:eastAsia="ca-ES"/>
              </w:rPr>
            </w:pPr>
            <w:r w:rsidRPr="00242F1D">
              <w:rPr>
                <w:rFonts w:ascii="Calibri" w:eastAsia="Times New Roman" w:hAnsi="Calibri" w:cs="Calibri"/>
                <w:i/>
                <w:iCs/>
                <w:lang w:val="en-GB" w:eastAsia="ca-ES"/>
              </w:rPr>
              <w:t>Reasons for loss to follow-up are provided</w:t>
            </w:r>
          </w:p>
        </w:tc>
        <w:tc>
          <w:tcPr>
            <w:tcW w:w="1376" w:type="dxa"/>
            <w:shd w:val="clear" w:color="auto" w:fill="auto"/>
          </w:tcPr>
          <w:p w:rsidR="00362B75" w:rsidRPr="007703C1" w:rsidRDefault="00362B75" w:rsidP="00362B75">
            <w:pPr>
              <w:rPr>
                <w:rFonts w:ascii="Calibri" w:eastAsia="Times New Roman" w:hAnsi="Calibri" w:cs="Calibri"/>
                <w:i/>
                <w:iCs/>
                <w:sz w:val="22"/>
                <w:szCs w:val="22"/>
                <w:lang w:val="en-GB" w:eastAsia="ca-ES"/>
              </w:rPr>
            </w:pPr>
            <w:r w:rsidRPr="00242F1D">
              <w:rPr>
                <w:rFonts w:ascii="Calibri" w:eastAsia="Times New Roman" w:hAnsi="Calibri" w:cs="Calibri"/>
                <w:i/>
                <w:iCs/>
                <w:lang w:val="en-GB" w:eastAsia="ca-ES"/>
              </w:rPr>
              <w:t>Adequate description of participants lost to follow-up</w:t>
            </w:r>
          </w:p>
        </w:tc>
        <w:tc>
          <w:tcPr>
            <w:tcW w:w="1376" w:type="dxa"/>
            <w:shd w:val="clear" w:color="auto" w:fill="auto"/>
          </w:tcPr>
          <w:p w:rsidR="00362B75" w:rsidRPr="007703C1" w:rsidRDefault="00362B75" w:rsidP="00362B75">
            <w:pPr>
              <w:rPr>
                <w:rFonts w:ascii="Calibri" w:eastAsia="Times New Roman" w:hAnsi="Calibri" w:cs="Calibri"/>
                <w:i/>
                <w:iCs/>
                <w:sz w:val="22"/>
                <w:szCs w:val="22"/>
                <w:lang w:val="en-GB" w:eastAsia="ca-ES"/>
              </w:rPr>
            </w:pPr>
            <w:r w:rsidRPr="00242F1D">
              <w:rPr>
                <w:rFonts w:ascii="Calibri" w:eastAsia="Times New Roman" w:hAnsi="Calibri" w:cs="Calibri"/>
                <w:i/>
                <w:iCs/>
                <w:lang w:val="en-GB" w:eastAsia="ca-ES"/>
              </w:rPr>
              <w:t>There are no important differences between participants who completed the study and those who did not</w:t>
            </w:r>
          </w:p>
        </w:tc>
      </w:tr>
    </w:tbl>
    <w:p w:rsidR="00362B75" w:rsidRPr="00362B75" w:rsidRDefault="00362B75" w:rsidP="00362B75">
      <w:pPr>
        <w:spacing w:after="160" w:line="259" w:lineRule="auto"/>
        <w:ind w:left="720"/>
        <w:contextualSpacing/>
        <w:rPr>
          <w:rFonts w:ascii="Calibri" w:eastAsia="Calibri" w:hAnsi="Calibri" w:cs="Times New Roman"/>
          <w:sz w:val="22"/>
          <w:szCs w:val="22"/>
          <w:lang w:val="en-GB"/>
        </w:rPr>
      </w:pPr>
      <w:r w:rsidRPr="00362B75">
        <w:rPr>
          <w:rFonts w:ascii="Calibri" w:eastAsia="Calibri" w:hAnsi="Calibri" w:cs="Times New Roman"/>
          <w:sz w:val="22"/>
          <w:szCs w:val="22"/>
          <w:lang w:val="en-GB"/>
        </w:rPr>
        <w:t>1.</w:t>
      </w:r>
      <w:r w:rsidRPr="00362B75">
        <w:rPr>
          <w:rFonts w:ascii="Calibri" w:eastAsia="Calibri" w:hAnsi="Calibri" w:cs="Times New Roman"/>
          <w:sz w:val="22"/>
          <w:szCs w:val="22"/>
          <w:lang w:val="en-GB"/>
        </w:rPr>
        <w:tab/>
        <w:t>The item summarises QUIPS questions: “Adequate participation in the study by eligible persons”; “Description of the source population or population of interest”</w:t>
      </w:r>
    </w:p>
    <w:p w:rsidR="00362B75" w:rsidRDefault="00362B75" w:rsidP="00362B75">
      <w:pPr>
        <w:spacing w:after="160" w:line="259" w:lineRule="auto"/>
        <w:ind w:left="720"/>
        <w:contextualSpacing/>
        <w:rPr>
          <w:rFonts w:ascii="Calibri" w:eastAsia="Calibri" w:hAnsi="Calibri" w:cs="Times New Roman"/>
          <w:sz w:val="22"/>
          <w:szCs w:val="22"/>
          <w:lang w:val="en-GB"/>
        </w:rPr>
      </w:pPr>
      <w:r w:rsidRPr="00362B75">
        <w:rPr>
          <w:rFonts w:ascii="Calibri" w:eastAsia="Calibri" w:hAnsi="Calibri" w:cs="Times New Roman"/>
          <w:sz w:val="22"/>
          <w:szCs w:val="22"/>
          <w:lang w:val="en-GB"/>
        </w:rPr>
        <w:t>2.</w:t>
      </w:r>
      <w:r w:rsidRPr="00362B75">
        <w:rPr>
          <w:rFonts w:ascii="Calibri" w:eastAsia="Calibri" w:hAnsi="Calibri" w:cs="Times New Roman"/>
          <w:sz w:val="22"/>
          <w:szCs w:val="22"/>
          <w:lang w:val="en-GB"/>
        </w:rPr>
        <w:tab/>
        <w:t>The following QUIPS questions was not used: “Adequate description of the sampling frame and recruitment”</w:t>
      </w:r>
    </w:p>
    <w:p w:rsidR="00362B75" w:rsidRDefault="00362B75" w:rsidP="007703C1">
      <w:pPr>
        <w:spacing w:after="160" w:line="259" w:lineRule="auto"/>
        <w:ind w:left="720"/>
        <w:contextualSpacing/>
        <w:rPr>
          <w:rFonts w:ascii="Calibri" w:eastAsia="Calibri" w:hAnsi="Calibri" w:cs="Times New Roman"/>
          <w:sz w:val="22"/>
          <w:szCs w:val="22"/>
          <w:lang w:val="en-GB"/>
        </w:rPr>
      </w:pPr>
    </w:p>
    <w:p w:rsidR="00362B75" w:rsidRPr="007703C1" w:rsidRDefault="00362B75" w:rsidP="007703C1">
      <w:pPr>
        <w:spacing w:after="160" w:line="259" w:lineRule="auto"/>
        <w:ind w:left="720"/>
        <w:contextualSpacing/>
        <w:rPr>
          <w:rFonts w:ascii="Calibri" w:eastAsia="Calibri" w:hAnsi="Calibri" w:cs="Times New Roman"/>
          <w:sz w:val="22"/>
          <w:szCs w:val="22"/>
          <w:lang w:val="en-GB"/>
        </w:rPr>
      </w:pPr>
    </w:p>
    <w:tbl>
      <w:tblPr>
        <w:tblW w:w="13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680"/>
        <w:gridCol w:w="1680"/>
        <w:gridCol w:w="1680"/>
        <w:gridCol w:w="1680"/>
        <w:gridCol w:w="2294"/>
        <w:gridCol w:w="2294"/>
        <w:gridCol w:w="2295"/>
      </w:tblGrid>
      <w:tr w:rsidR="007703C1" w:rsidRPr="007703C1" w:rsidTr="00FF2FFC">
        <w:trPr>
          <w:trHeight w:val="793"/>
        </w:trPr>
        <w:tc>
          <w:tcPr>
            <w:tcW w:w="6720" w:type="dxa"/>
            <w:gridSpan w:val="4"/>
            <w:shd w:val="clear" w:color="auto" w:fill="auto"/>
            <w:hideMark/>
          </w:tcPr>
          <w:p w:rsidR="007703C1" w:rsidRPr="007703C1" w:rsidRDefault="007703C1" w:rsidP="007703C1">
            <w:pPr>
              <w:rPr>
                <w:rFonts w:ascii="Calibri" w:eastAsia="Times New Roman" w:hAnsi="Calibri" w:cs="Calibri"/>
                <w:b/>
                <w:bCs/>
                <w:color w:val="1F497D"/>
                <w:sz w:val="30"/>
                <w:szCs w:val="30"/>
                <w:lang w:val="en-GB" w:eastAsia="ca-ES"/>
              </w:rPr>
            </w:pPr>
            <w:r w:rsidRPr="007703C1">
              <w:rPr>
                <w:rFonts w:ascii="Calibri" w:eastAsia="Times New Roman" w:hAnsi="Calibri" w:cs="Calibri"/>
                <w:b/>
                <w:bCs/>
                <w:color w:val="1F497D"/>
                <w:sz w:val="30"/>
                <w:szCs w:val="30"/>
                <w:lang w:val="en-GB" w:eastAsia="ca-ES"/>
              </w:rPr>
              <w:t>Prognostic Factor Measurement</w:t>
            </w:r>
          </w:p>
        </w:tc>
        <w:tc>
          <w:tcPr>
            <w:tcW w:w="6883" w:type="dxa"/>
            <w:gridSpan w:val="3"/>
            <w:shd w:val="clear" w:color="auto" w:fill="auto"/>
            <w:hideMark/>
          </w:tcPr>
          <w:p w:rsidR="007703C1" w:rsidRPr="007703C1" w:rsidRDefault="007703C1" w:rsidP="007703C1">
            <w:pPr>
              <w:rPr>
                <w:rFonts w:ascii="Calibri" w:eastAsia="Times New Roman" w:hAnsi="Calibri" w:cs="Calibri"/>
                <w:b/>
                <w:bCs/>
                <w:color w:val="1F497D"/>
                <w:sz w:val="30"/>
                <w:szCs w:val="30"/>
                <w:lang w:val="en-GB" w:eastAsia="ca-ES"/>
              </w:rPr>
            </w:pPr>
            <w:r w:rsidRPr="007703C1">
              <w:rPr>
                <w:rFonts w:ascii="Calibri" w:eastAsia="Times New Roman" w:hAnsi="Calibri" w:cs="Calibri"/>
                <w:b/>
                <w:bCs/>
                <w:color w:val="1F497D"/>
                <w:sz w:val="30"/>
                <w:szCs w:val="30"/>
                <w:lang w:val="en-GB" w:eastAsia="ca-ES"/>
              </w:rPr>
              <w:t>Outcome Measurement</w:t>
            </w:r>
          </w:p>
        </w:tc>
      </w:tr>
      <w:tr w:rsidR="007703C1" w:rsidRPr="007D4A32" w:rsidTr="00FF2FFC">
        <w:trPr>
          <w:trHeight w:val="2235"/>
        </w:trPr>
        <w:tc>
          <w:tcPr>
            <w:tcW w:w="6720" w:type="dxa"/>
            <w:gridSpan w:val="4"/>
            <w:shd w:val="clear" w:color="auto" w:fill="auto"/>
            <w:hideMark/>
          </w:tcPr>
          <w:p w:rsidR="007703C1" w:rsidRPr="007703C1" w:rsidRDefault="007703C1" w:rsidP="007703C1">
            <w:pPr>
              <w:rPr>
                <w:rFonts w:ascii="Calibri" w:eastAsia="Times New Roman" w:hAnsi="Calibri" w:cs="Calibri"/>
                <w:b/>
                <w:bCs/>
                <w:color w:val="000000"/>
                <w:sz w:val="22"/>
                <w:szCs w:val="22"/>
                <w:lang w:val="en-GB" w:eastAsia="ca-ES"/>
              </w:rPr>
            </w:pPr>
            <w:r w:rsidRPr="007703C1">
              <w:rPr>
                <w:rFonts w:ascii="Calibri" w:eastAsia="Times New Roman" w:hAnsi="Calibri" w:cs="Calibri"/>
                <w:b/>
                <w:bCs/>
                <w:color w:val="000000"/>
                <w:sz w:val="22"/>
                <w:szCs w:val="22"/>
                <w:lang w:val="en-GB" w:eastAsia="ca-ES"/>
              </w:rPr>
              <w:t xml:space="preserve">The PF is measured in a similar way for all participants </w:t>
            </w:r>
            <w:r w:rsidRPr="007703C1">
              <w:rPr>
                <w:rFonts w:ascii="Calibri" w:eastAsia="Times New Roman" w:hAnsi="Calibri" w:cs="Calibri"/>
                <w:b/>
                <w:bCs/>
                <w:color w:val="000000"/>
                <w:sz w:val="22"/>
                <w:szCs w:val="22"/>
                <w:vertAlign w:val="superscript"/>
                <w:lang w:val="en-GB" w:eastAsia="ca-ES"/>
              </w:rPr>
              <w:t>(3)</w:t>
            </w:r>
          </w:p>
        </w:tc>
        <w:tc>
          <w:tcPr>
            <w:tcW w:w="6883" w:type="dxa"/>
            <w:gridSpan w:val="3"/>
            <w:shd w:val="clear" w:color="auto" w:fill="auto"/>
            <w:hideMark/>
          </w:tcPr>
          <w:p w:rsidR="007703C1" w:rsidRPr="007703C1" w:rsidRDefault="007703C1" w:rsidP="007703C1">
            <w:pPr>
              <w:rPr>
                <w:rFonts w:ascii="Calibri" w:eastAsia="Times New Roman" w:hAnsi="Calibri" w:cs="Calibri"/>
                <w:b/>
                <w:bCs/>
                <w:color w:val="000000"/>
                <w:sz w:val="22"/>
                <w:szCs w:val="22"/>
                <w:lang w:val="en-GB" w:eastAsia="ca-ES"/>
              </w:rPr>
            </w:pPr>
            <w:r w:rsidRPr="007703C1">
              <w:rPr>
                <w:rFonts w:ascii="Calibri" w:eastAsia="Times New Roman" w:hAnsi="Calibri" w:cs="Calibri"/>
                <w:b/>
                <w:bCs/>
                <w:color w:val="000000"/>
                <w:sz w:val="22"/>
                <w:szCs w:val="22"/>
                <w:lang w:val="en-GB" w:eastAsia="ca-ES"/>
              </w:rPr>
              <w:t>The outcome of interest is measured in a similar way for all participants</w:t>
            </w:r>
          </w:p>
        </w:tc>
      </w:tr>
      <w:tr w:rsidR="007703C1" w:rsidRPr="007D4A32" w:rsidTr="00FF2FFC">
        <w:trPr>
          <w:trHeight w:val="2610"/>
        </w:trPr>
        <w:tc>
          <w:tcPr>
            <w:tcW w:w="1680" w:type="dxa"/>
            <w:shd w:val="clear" w:color="auto" w:fill="auto"/>
            <w:hideMark/>
          </w:tcPr>
          <w:p w:rsidR="007703C1" w:rsidRPr="007703C1" w:rsidRDefault="007703C1" w:rsidP="007703C1">
            <w:pPr>
              <w:rPr>
                <w:rFonts w:ascii="Calibri" w:eastAsia="Times New Roman" w:hAnsi="Calibri" w:cs="Calibri"/>
                <w:i/>
                <w:iCs/>
                <w:sz w:val="22"/>
                <w:szCs w:val="22"/>
                <w:lang w:val="en-GB" w:eastAsia="ca-ES"/>
              </w:rPr>
            </w:pPr>
            <w:r w:rsidRPr="007703C1">
              <w:rPr>
                <w:rFonts w:ascii="Calibri" w:eastAsia="Times New Roman" w:hAnsi="Calibri" w:cs="Calibri"/>
                <w:i/>
                <w:iCs/>
                <w:sz w:val="22"/>
                <w:szCs w:val="22"/>
                <w:lang w:val="en-GB" w:eastAsia="ca-ES"/>
              </w:rPr>
              <w:t>A clear definition or description of the PF is provided</w:t>
            </w:r>
          </w:p>
        </w:tc>
        <w:tc>
          <w:tcPr>
            <w:tcW w:w="1680" w:type="dxa"/>
            <w:shd w:val="clear" w:color="auto" w:fill="auto"/>
            <w:hideMark/>
          </w:tcPr>
          <w:p w:rsidR="007703C1" w:rsidRPr="007703C1" w:rsidRDefault="007703C1" w:rsidP="007703C1">
            <w:pPr>
              <w:rPr>
                <w:rFonts w:ascii="Calibri" w:eastAsia="Times New Roman" w:hAnsi="Calibri" w:cs="Calibri"/>
                <w:i/>
                <w:iCs/>
                <w:sz w:val="22"/>
                <w:szCs w:val="22"/>
                <w:lang w:val="en-GB" w:eastAsia="ca-ES"/>
              </w:rPr>
            </w:pPr>
            <w:r w:rsidRPr="007703C1">
              <w:rPr>
                <w:rFonts w:ascii="Calibri" w:eastAsia="Times New Roman" w:hAnsi="Calibri" w:cs="Calibri"/>
                <w:i/>
                <w:iCs/>
                <w:sz w:val="22"/>
                <w:szCs w:val="22"/>
                <w:lang w:val="en-GB" w:eastAsia="ca-ES"/>
              </w:rPr>
              <w:t>Method of PF measurement is adequately valid and reliable</w:t>
            </w:r>
          </w:p>
        </w:tc>
        <w:tc>
          <w:tcPr>
            <w:tcW w:w="1680" w:type="dxa"/>
            <w:shd w:val="clear" w:color="auto" w:fill="auto"/>
            <w:hideMark/>
          </w:tcPr>
          <w:p w:rsidR="007703C1" w:rsidRPr="007703C1" w:rsidRDefault="007703C1" w:rsidP="007703C1">
            <w:pPr>
              <w:rPr>
                <w:rFonts w:ascii="Calibri" w:eastAsia="Times New Roman" w:hAnsi="Calibri" w:cs="Calibri"/>
                <w:i/>
                <w:iCs/>
                <w:sz w:val="22"/>
                <w:szCs w:val="22"/>
                <w:lang w:val="en-GB" w:eastAsia="ca-ES"/>
              </w:rPr>
            </w:pPr>
            <w:r w:rsidRPr="007703C1">
              <w:rPr>
                <w:rFonts w:ascii="Calibri" w:eastAsia="Times New Roman" w:hAnsi="Calibri" w:cs="Calibri"/>
                <w:i/>
                <w:iCs/>
                <w:sz w:val="22"/>
                <w:szCs w:val="22"/>
                <w:lang w:val="en-GB" w:eastAsia="ca-ES"/>
              </w:rPr>
              <w:t>The method and setting of measurement of PF is the same for all study participants</w:t>
            </w:r>
          </w:p>
        </w:tc>
        <w:tc>
          <w:tcPr>
            <w:tcW w:w="1680" w:type="dxa"/>
            <w:shd w:val="clear" w:color="auto" w:fill="auto"/>
            <w:hideMark/>
          </w:tcPr>
          <w:p w:rsidR="007703C1" w:rsidRPr="007703C1" w:rsidRDefault="007703C1" w:rsidP="007703C1">
            <w:pPr>
              <w:rPr>
                <w:rFonts w:ascii="Calibri" w:eastAsia="Times New Roman" w:hAnsi="Calibri" w:cs="Calibri"/>
                <w:i/>
                <w:iCs/>
                <w:sz w:val="22"/>
                <w:szCs w:val="22"/>
                <w:lang w:val="en-GB" w:eastAsia="ca-ES"/>
              </w:rPr>
            </w:pPr>
            <w:r w:rsidRPr="007703C1">
              <w:rPr>
                <w:rFonts w:ascii="Calibri" w:eastAsia="Times New Roman" w:hAnsi="Calibri" w:cs="Calibri"/>
                <w:i/>
                <w:iCs/>
                <w:sz w:val="22"/>
                <w:szCs w:val="22"/>
                <w:lang w:val="en-GB" w:eastAsia="ca-ES"/>
              </w:rPr>
              <w:t>Adequate proportion of the study sample has complete data for the PF</w:t>
            </w:r>
          </w:p>
        </w:tc>
        <w:tc>
          <w:tcPr>
            <w:tcW w:w="2294" w:type="dxa"/>
            <w:shd w:val="clear" w:color="auto" w:fill="auto"/>
            <w:hideMark/>
          </w:tcPr>
          <w:p w:rsidR="007703C1" w:rsidRPr="007703C1" w:rsidRDefault="007703C1" w:rsidP="007703C1">
            <w:pPr>
              <w:rPr>
                <w:rFonts w:ascii="Calibri" w:eastAsia="Times New Roman" w:hAnsi="Calibri" w:cs="Calibri"/>
                <w:i/>
                <w:iCs/>
                <w:sz w:val="22"/>
                <w:szCs w:val="22"/>
                <w:lang w:val="en-GB" w:eastAsia="ca-ES"/>
              </w:rPr>
            </w:pPr>
            <w:r w:rsidRPr="007703C1">
              <w:rPr>
                <w:rFonts w:ascii="Calibri" w:eastAsia="Times New Roman" w:hAnsi="Calibri" w:cs="Calibri"/>
                <w:i/>
                <w:iCs/>
                <w:sz w:val="22"/>
                <w:szCs w:val="22"/>
                <w:lang w:val="en-GB" w:eastAsia="ca-ES"/>
              </w:rPr>
              <w:t>A clear definition of the outcome is provided</w:t>
            </w:r>
          </w:p>
        </w:tc>
        <w:tc>
          <w:tcPr>
            <w:tcW w:w="2294" w:type="dxa"/>
            <w:shd w:val="clear" w:color="auto" w:fill="auto"/>
            <w:hideMark/>
          </w:tcPr>
          <w:p w:rsidR="007703C1" w:rsidRPr="007703C1" w:rsidRDefault="007703C1" w:rsidP="007703C1">
            <w:pPr>
              <w:rPr>
                <w:rFonts w:ascii="Calibri" w:eastAsia="Times New Roman" w:hAnsi="Calibri" w:cs="Calibri"/>
                <w:i/>
                <w:iCs/>
                <w:sz w:val="22"/>
                <w:szCs w:val="22"/>
                <w:lang w:val="en-GB" w:eastAsia="ca-ES"/>
              </w:rPr>
            </w:pPr>
            <w:r w:rsidRPr="007703C1">
              <w:rPr>
                <w:rFonts w:ascii="Calibri" w:eastAsia="Times New Roman" w:hAnsi="Calibri" w:cs="Calibri"/>
                <w:i/>
                <w:iCs/>
                <w:sz w:val="22"/>
                <w:szCs w:val="22"/>
                <w:lang w:val="en-GB" w:eastAsia="ca-ES"/>
              </w:rPr>
              <w:t>Method of outcome measurement used is adequately valid and reliable</w:t>
            </w:r>
          </w:p>
        </w:tc>
        <w:tc>
          <w:tcPr>
            <w:tcW w:w="2295" w:type="dxa"/>
            <w:shd w:val="clear" w:color="auto" w:fill="auto"/>
            <w:hideMark/>
          </w:tcPr>
          <w:p w:rsidR="007703C1" w:rsidRPr="007703C1" w:rsidRDefault="007703C1" w:rsidP="007703C1">
            <w:pPr>
              <w:rPr>
                <w:rFonts w:ascii="Calibri" w:eastAsia="Times New Roman" w:hAnsi="Calibri" w:cs="Calibri"/>
                <w:i/>
                <w:iCs/>
                <w:sz w:val="22"/>
                <w:szCs w:val="22"/>
                <w:lang w:val="en-GB" w:eastAsia="ca-ES"/>
              </w:rPr>
            </w:pPr>
            <w:r w:rsidRPr="007703C1">
              <w:rPr>
                <w:rFonts w:ascii="Calibri" w:eastAsia="Times New Roman" w:hAnsi="Calibri" w:cs="Calibri"/>
                <w:i/>
                <w:iCs/>
                <w:sz w:val="22"/>
                <w:szCs w:val="22"/>
                <w:lang w:val="en-GB" w:eastAsia="ca-ES"/>
              </w:rPr>
              <w:t>The method and setting of outcome measurement is the same for all study participants</w:t>
            </w:r>
          </w:p>
        </w:tc>
      </w:tr>
    </w:tbl>
    <w:p w:rsidR="00701D68" w:rsidRPr="00701D68" w:rsidRDefault="00701D68" w:rsidP="00701D68">
      <w:pPr>
        <w:pStyle w:val="Pargrafdellista"/>
        <w:numPr>
          <w:ilvl w:val="0"/>
          <w:numId w:val="4"/>
        </w:numPr>
        <w:ind w:left="709"/>
        <w:rPr>
          <w:lang w:val="en-GB"/>
        </w:rPr>
      </w:pPr>
      <w:r w:rsidRPr="00701D68">
        <w:rPr>
          <w:lang w:val="en-GB"/>
        </w:rPr>
        <w:t>The following QUIPS questions were not used: “Continuous variables are reported or appropriate cut points are used”; “Appropriate methods of imputation are used for missing PF data”</w:t>
      </w:r>
    </w:p>
    <w:p w:rsidR="007703C1" w:rsidRPr="007703C1" w:rsidRDefault="007703C1" w:rsidP="007703C1">
      <w:pPr>
        <w:numPr>
          <w:ilvl w:val="0"/>
          <w:numId w:val="3"/>
        </w:numPr>
        <w:spacing w:after="160" w:line="259" w:lineRule="auto"/>
        <w:contextualSpacing/>
        <w:rPr>
          <w:rFonts w:ascii="Calibri" w:eastAsia="Calibri" w:hAnsi="Calibri" w:cs="Times New Roman"/>
          <w:sz w:val="22"/>
          <w:szCs w:val="22"/>
          <w:lang w:val="en-GB"/>
        </w:rPr>
      </w:pPr>
      <w:r w:rsidRPr="007703C1">
        <w:rPr>
          <w:rFonts w:ascii="Calibri" w:eastAsia="Calibri" w:hAnsi="Calibri" w:cs="Times New Roman"/>
          <w:sz w:val="22"/>
          <w:szCs w:val="22"/>
          <w:lang w:val="en-GB"/>
        </w:rPr>
        <w:br w:type="page"/>
      </w:r>
    </w:p>
    <w:p w:rsidR="007703C1" w:rsidRPr="007703C1" w:rsidRDefault="007703C1" w:rsidP="007703C1">
      <w:pPr>
        <w:spacing w:after="200" w:line="276" w:lineRule="auto"/>
        <w:rPr>
          <w:rFonts w:ascii="Calibri" w:eastAsia="Calibri" w:hAnsi="Calibri" w:cs="Times New Roman"/>
          <w:sz w:val="22"/>
          <w:szCs w:val="22"/>
          <w:lang w:val="en-GB"/>
        </w:rPr>
      </w:pPr>
    </w:p>
    <w:tbl>
      <w:tblPr>
        <w:tblW w:w="13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760"/>
        <w:gridCol w:w="1760"/>
        <w:gridCol w:w="1760"/>
        <w:gridCol w:w="1760"/>
        <w:gridCol w:w="3281"/>
        <w:gridCol w:w="3282"/>
      </w:tblGrid>
      <w:tr w:rsidR="007703C1" w:rsidRPr="007703C1" w:rsidTr="00FF2FFC">
        <w:trPr>
          <w:trHeight w:val="793"/>
        </w:trPr>
        <w:tc>
          <w:tcPr>
            <w:tcW w:w="7040" w:type="dxa"/>
            <w:gridSpan w:val="4"/>
            <w:shd w:val="clear" w:color="auto" w:fill="auto"/>
            <w:hideMark/>
          </w:tcPr>
          <w:p w:rsidR="007703C1" w:rsidRPr="007703C1" w:rsidRDefault="007703C1" w:rsidP="007703C1">
            <w:pPr>
              <w:rPr>
                <w:rFonts w:ascii="Calibri" w:eastAsia="Times New Roman" w:hAnsi="Calibri" w:cs="Calibri"/>
                <w:b/>
                <w:bCs/>
                <w:color w:val="1F497D"/>
                <w:sz w:val="30"/>
                <w:szCs w:val="30"/>
                <w:lang w:val="en-GB" w:eastAsia="ca-ES"/>
              </w:rPr>
            </w:pPr>
            <w:r w:rsidRPr="007703C1">
              <w:rPr>
                <w:rFonts w:ascii="Calibri" w:eastAsia="Times New Roman" w:hAnsi="Calibri" w:cs="Calibri"/>
                <w:b/>
                <w:bCs/>
                <w:color w:val="1F497D"/>
                <w:sz w:val="30"/>
                <w:szCs w:val="30"/>
                <w:lang w:val="en-GB" w:eastAsia="ca-ES"/>
              </w:rPr>
              <w:t>Study Confounding</w:t>
            </w:r>
          </w:p>
        </w:tc>
        <w:tc>
          <w:tcPr>
            <w:tcW w:w="6563" w:type="dxa"/>
            <w:gridSpan w:val="2"/>
            <w:shd w:val="clear" w:color="auto" w:fill="auto"/>
            <w:hideMark/>
          </w:tcPr>
          <w:p w:rsidR="007703C1" w:rsidRPr="007703C1" w:rsidRDefault="007703C1" w:rsidP="007703C1">
            <w:pPr>
              <w:rPr>
                <w:rFonts w:ascii="Calibri" w:eastAsia="Times New Roman" w:hAnsi="Calibri" w:cs="Calibri"/>
                <w:b/>
                <w:bCs/>
                <w:color w:val="1F497D"/>
                <w:sz w:val="30"/>
                <w:szCs w:val="30"/>
                <w:lang w:val="en-GB" w:eastAsia="ca-ES"/>
              </w:rPr>
            </w:pPr>
            <w:r w:rsidRPr="007703C1">
              <w:rPr>
                <w:rFonts w:ascii="Calibri" w:eastAsia="Times New Roman" w:hAnsi="Calibri" w:cs="Calibri"/>
                <w:b/>
                <w:bCs/>
                <w:color w:val="1F497D"/>
                <w:sz w:val="30"/>
                <w:szCs w:val="30"/>
                <w:lang w:val="en-GB" w:eastAsia="ca-ES"/>
              </w:rPr>
              <w:t>Statistical Analysis and Reporting</w:t>
            </w:r>
          </w:p>
        </w:tc>
      </w:tr>
      <w:tr w:rsidR="007703C1" w:rsidRPr="007D4A32" w:rsidTr="00FF2FFC">
        <w:trPr>
          <w:trHeight w:val="2235"/>
        </w:trPr>
        <w:tc>
          <w:tcPr>
            <w:tcW w:w="7040" w:type="dxa"/>
            <w:gridSpan w:val="4"/>
            <w:shd w:val="clear" w:color="auto" w:fill="auto"/>
            <w:hideMark/>
          </w:tcPr>
          <w:p w:rsidR="007703C1" w:rsidRPr="007703C1" w:rsidRDefault="007703C1" w:rsidP="007703C1">
            <w:pPr>
              <w:rPr>
                <w:rFonts w:ascii="Calibri" w:eastAsia="Times New Roman" w:hAnsi="Calibri" w:cs="Calibri"/>
                <w:b/>
                <w:bCs/>
                <w:color w:val="000000"/>
                <w:sz w:val="22"/>
                <w:szCs w:val="22"/>
                <w:lang w:val="en-GB" w:eastAsia="ca-ES"/>
              </w:rPr>
            </w:pPr>
            <w:r w:rsidRPr="007703C1">
              <w:rPr>
                <w:rFonts w:ascii="Calibri" w:eastAsia="Times New Roman" w:hAnsi="Calibri" w:cs="Calibri"/>
                <w:b/>
                <w:bCs/>
                <w:color w:val="000000"/>
                <w:sz w:val="22"/>
                <w:szCs w:val="22"/>
                <w:lang w:val="en-GB" w:eastAsia="ca-ES"/>
              </w:rPr>
              <w:t>Important potential confounding factors are appropriately accounted for</w:t>
            </w:r>
          </w:p>
        </w:tc>
        <w:tc>
          <w:tcPr>
            <w:tcW w:w="6563" w:type="dxa"/>
            <w:gridSpan w:val="2"/>
            <w:shd w:val="clear" w:color="auto" w:fill="auto"/>
            <w:hideMark/>
          </w:tcPr>
          <w:p w:rsidR="007703C1" w:rsidRPr="007703C1" w:rsidRDefault="007703C1" w:rsidP="007703C1">
            <w:pPr>
              <w:rPr>
                <w:rFonts w:ascii="Calibri" w:eastAsia="Times New Roman" w:hAnsi="Calibri" w:cs="Calibri"/>
                <w:b/>
                <w:bCs/>
                <w:color w:val="000000"/>
                <w:sz w:val="22"/>
                <w:szCs w:val="22"/>
                <w:lang w:val="en-GB" w:eastAsia="ca-ES"/>
              </w:rPr>
            </w:pPr>
            <w:r w:rsidRPr="007703C1">
              <w:rPr>
                <w:rFonts w:ascii="Calibri" w:eastAsia="Times New Roman" w:hAnsi="Calibri" w:cs="Calibri"/>
                <w:b/>
                <w:bCs/>
                <w:color w:val="000000"/>
                <w:sz w:val="22"/>
                <w:szCs w:val="22"/>
                <w:lang w:val="en-GB" w:eastAsia="ca-ES"/>
              </w:rPr>
              <w:t>The statistical analysis is appropriate, and all primary outcomes are reported</w:t>
            </w:r>
          </w:p>
        </w:tc>
      </w:tr>
      <w:tr w:rsidR="007703C1" w:rsidRPr="007D4A32" w:rsidTr="00FF2FFC">
        <w:trPr>
          <w:trHeight w:val="2610"/>
        </w:trPr>
        <w:tc>
          <w:tcPr>
            <w:tcW w:w="1760" w:type="dxa"/>
            <w:shd w:val="clear" w:color="auto" w:fill="auto"/>
            <w:hideMark/>
          </w:tcPr>
          <w:p w:rsidR="007703C1" w:rsidRPr="007703C1" w:rsidRDefault="007703C1" w:rsidP="007703C1">
            <w:pPr>
              <w:rPr>
                <w:rFonts w:ascii="Calibri" w:eastAsia="Times New Roman" w:hAnsi="Calibri" w:cs="Calibri"/>
                <w:i/>
                <w:iCs/>
                <w:sz w:val="22"/>
                <w:szCs w:val="22"/>
                <w:lang w:val="en-GB" w:eastAsia="ca-ES"/>
              </w:rPr>
            </w:pPr>
            <w:r w:rsidRPr="007703C1">
              <w:rPr>
                <w:rFonts w:ascii="Calibri" w:eastAsia="Times New Roman" w:hAnsi="Calibri" w:cs="Calibri"/>
                <w:i/>
                <w:iCs/>
                <w:sz w:val="22"/>
                <w:szCs w:val="22"/>
                <w:lang w:val="en-GB" w:eastAsia="ca-ES"/>
              </w:rPr>
              <w:t xml:space="preserve">All important confounders are measured, accounted for in the analysis and in the study design </w:t>
            </w:r>
            <w:r w:rsidRPr="007703C1">
              <w:rPr>
                <w:rFonts w:ascii="Calibri" w:eastAsia="Times New Roman" w:hAnsi="Calibri" w:cs="Calibri"/>
                <w:i/>
                <w:iCs/>
                <w:sz w:val="22"/>
                <w:szCs w:val="22"/>
                <w:vertAlign w:val="superscript"/>
                <w:lang w:val="en-GB" w:eastAsia="ca-ES"/>
              </w:rPr>
              <w:t>(4)</w:t>
            </w:r>
          </w:p>
        </w:tc>
        <w:tc>
          <w:tcPr>
            <w:tcW w:w="1760" w:type="dxa"/>
            <w:shd w:val="clear" w:color="auto" w:fill="auto"/>
            <w:hideMark/>
          </w:tcPr>
          <w:p w:rsidR="007703C1" w:rsidRPr="007703C1" w:rsidRDefault="007703C1" w:rsidP="007703C1">
            <w:pPr>
              <w:rPr>
                <w:rFonts w:ascii="Calibri" w:eastAsia="Times New Roman" w:hAnsi="Calibri" w:cs="Calibri"/>
                <w:i/>
                <w:iCs/>
                <w:sz w:val="22"/>
                <w:szCs w:val="22"/>
                <w:lang w:val="en-GB" w:eastAsia="ca-ES"/>
              </w:rPr>
            </w:pPr>
            <w:r w:rsidRPr="007703C1">
              <w:rPr>
                <w:rFonts w:ascii="Calibri" w:eastAsia="Times New Roman" w:hAnsi="Calibri" w:cs="Calibri"/>
                <w:i/>
                <w:iCs/>
                <w:sz w:val="22"/>
                <w:szCs w:val="22"/>
                <w:lang w:val="en-GB" w:eastAsia="ca-ES"/>
              </w:rPr>
              <w:t>Clear definitions of the important confounders measured are provided</w:t>
            </w:r>
          </w:p>
        </w:tc>
        <w:tc>
          <w:tcPr>
            <w:tcW w:w="1760" w:type="dxa"/>
            <w:shd w:val="clear" w:color="auto" w:fill="auto"/>
            <w:hideMark/>
          </w:tcPr>
          <w:p w:rsidR="007703C1" w:rsidRPr="007703C1" w:rsidRDefault="007703C1" w:rsidP="007703C1">
            <w:pPr>
              <w:rPr>
                <w:rFonts w:ascii="Calibri" w:eastAsia="Times New Roman" w:hAnsi="Calibri" w:cs="Calibri"/>
                <w:i/>
                <w:iCs/>
                <w:sz w:val="22"/>
                <w:szCs w:val="22"/>
                <w:lang w:val="en-GB" w:eastAsia="ca-ES"/>
              </w:rPr>
            </w:pPr>
            <w:r w:rsidRPr="007703C1">
              <w:rPr>
                <w:rFonts w:ascii="Calibri" w:eastAsia="Times New Roman" w:hAnsi="Calibri" w:cs="Calibri"/>
                <w:i/>
                <w:iCs/>
                <w:sz w:val="22"/>
                <w:szCs w:val="22"/>
                <w:lang w:val="en-GB" w:eastAsia="ca-ES"/>
              </w:rPr>
              <w:t>Measurement of all important confounders is adequately valid and reliable</w:t>
            </w:r>
          </w:p>
        </w:tc>
        <w:tc>
          <w:tcPr>
            <w:tcW w:w="1760" w:type="dxa"/>
            <w:shd w:val="clear" w:color="auto" w:fill="auto"/>
            <w:hideMark/>
          </w:tcPr>
          <w:p w:rsidR="007703C1" w:rsidRPr="007703C1" w:rsidRDefault="007703C1" w:rsidP="007703C1">
            <w:pPr>
              <w:rPr>
                <w:rFonts w:ascii="Calibri" w:eastAsia="Times New Roman" w:hAnsi="Calibri" w:cs="Calibri"/>
                <w:i/>
                <w:iCs/>
                <w:sz w:val="22"/>
                <w:szCs w:val="22"/>
                <w:lang w:val="en-GB" w:eastAsia="ca-ES"/>
              </w:rPr>
            </w:pPr>
            <w:r w:rsidRPr="007703C1">
              <w:rPr>
                <w:rFonts w:ascii="Calibri" w:eastAsia="Times New Roman" w:hAnsi="Calibri" w:cs="Calibri"/>
                <w:i/>
                <w:iCs/>
                <w:sz w:val="22"/>
                <w:szCs w:val="22"/>
                <w:lang w:val="en-GB" w:eastAsia="ca-ES"/>
              </w:rPr>
              <w:t>The method and setting of confounding measurement are the same for all study participants</w:t>
            </w:r>
          </w:p>
        </w:tc>
        <w:tc>
          <w:tcPr>
            <w:tcW w:w="3281" w:type="dxa"/>
            <w:shd w:val="clear" w:color="auto" w:fill="auto"/>
            <w:hideMark/>
          </w:tcPr>
          <w:p w:rsidR="007703C1" w:rsidRPr="007703C1" w:rsidRDefault="007703C1" w:rsidP="007703C1">
            <w:pPr>
              <w:rPr>
                <w:rFonts w:ascii="Calibri" w:eastAsia="Times New Roman" w:hAnsi="Calibri" w:cs="Calibri"/>
                <w:i/>
                <w:iCs/>
                <w:sz w:val="22"/>
                <w:szCs w:val="22"/>
                <w:lang w:val="en-GB" w:eastAsia="ca-ES"/>
              </w:rPr>
            </w:pPr>
            <w:r w:rsidRPr="007703C1">
              <w:rPr>
                <w:rFonts w:ascii="Calibri" w:eastAsia="Times New Roman" w:hAnsi="Calibri" w:cs="Calibri"/>
                <w:i/>
                <w:iCs/>
                <w:sz w:val="22"/>
                <w:szCs w:val="22"/>
                <w:lang w:val="en-GB" w:eastAsia="ca-ES"/>
              </w:rPr>
              <w:t>Sufficient presentation of data (including the statistical model) to assess the adequacy of the analytic strategy</w:t>
            </w:r>
            <w:r w:rsidR="008C609D">
              <w:rPr>
                <w:rFonts w:ascii="Calibri" w:eastAsia="Times New Roman" w:hAnsi="Calibri" w:cs="Calibri"/>
                <w:i/>
                <w:iCs/>
                <w:sz w:val="22"/>
                <w:szCs w:val="22"/>
                <w:lang w:val="en-GB" w:eastAsia="ca-ES"/>
              </w:rPr>
              <w:t xml:space="preserve"> </w:t>
            </w:r>
            <w:r w:rsidR="008C609D" w:rsidRPr="007703C1">
              <w:rPr>
                <w:rFonts w:ascii="Calibri" w:eastAsia="Times New Roman" w:hAnsi="Calibri" w:cs="Calibri"/>
                <w:i/>
                <w:iCs/>
                <w:sz w:val="22"/>
                <w:szCs w:val="22"/>
                <w:vertAlign w:val="superscript"/>
                <w:lang w:val="en-GB" w:eastAsia="ca-ES"/>
              </w:rPr>
              <w:t>(</w:t>
            </w:r>
            <w:r w:rsidR="008C609D">
              <w:rPr>
                <w:rFonts w:ascii="Calibri" w:eastAsia="Times New Roman" w:hAnsi="Calibri" w:cs="Calibri"/>
                <w:i/>
                <w:iCs/>
                <w:sz w:val="22"/>
                <w:szCs w:val="22"/>
                <w:vertAlign w:val="superscript"/>
                <w:lang w:val="en-GB" w:eastAsia="ca-ES"/>
              </w:rPr>
              <w:t>5</w:t>
            </w:r>
            <w:r w:rsidR="008C609D" w:rsidRPr="007703C1">
              <w:rPr>
                <w:rFonts w:ascii="Calibri" w:eastAsia="Times New Roman" w:hAnsi="Calibri" w:cs="Calibri"/>
                <w:i/>
                <w:iCs/>
                <w:sz w:val="22"/>
                <w:szCs w:val="22"/>
                <w:vertAlign w:val="superscript"/>
                <w:lang w:val="en-GB" w:eastAsia="ca-ES"/>
              </w:rPr>
              <w:t>)</w:t>
            </w:r>
          </w:p>
        </w:tc>
        <w:tc>
          <w:tcPr>
            <w:tcW w:w="3282" w:type="dxa"/>
            <w:shd w:val="clear" w:color="auto" w:fill="auto"/>
            <w:hideMark/>
          </w:tcPr>
          <w:p w:rsidR="007703C1" w:rsidRPr="007703C1" w:rsidRDefault="007703C1" w:rsidP="007703C1">
            <w:pPr>
              <w:rPr>
                <w:rFonts w:ascii="Calibri" w:eastAsia="Times New Roman" w:hAnsi="Calibri" w:cs="Calibri"/>
                <w:i/>
                <w:iCs/>
                <w:sz w:val="22"/>
                <w:szCs w:val="22"/>
                <w:lang w:val="en-GB" w:eastAsia="ca-ES"/>
              </w:rPr>
            </w:pPr>
            <w:r w:rsidRPr="007703C1">
              <w:rPr>
                <w:rFonts w:ascii="Calibri" w:eastAsia="Times New Roman" w:hAnsi="Calibri" w:cs="Calibri"/>
                <w:i/>
                <w:iCs/>
                <w:sz w:val="22"/>
                <w:szCs w:val="22"/>
                <w:lang w:val="en-GB" w:eastAsia="ca-ES"/>
              </w:rPr>
              <w:t>There is no selective reporting of results</w:t>
            </w:r>
          </w:p>
        </w:tc>
      </w:tr>
    </w:tbl>
    <w:p w:rsidR="007703C1" w:rsidRPr="00701D68" w:rsidRDefault="007703C1" w:rsidP="00701D68">
      <w:pPr>
        <w:pStyle w:val="Pargrafdellista"/>
        <w:numPr>
          <w:ilvl w:val="0"/>
          <w:numId w:val="4"/>
        </w:numPr>
        <w:spacing w:after="160" w:line="259" w:lineRule="auto"/>
        <w:ind w:left="709"/>
        <w:rPr>
          <w:rFonts w:ascii="Calibri" w:eastAsia="Calibri" w:hAnsi="Calibri" w:cs="Times New Roman"/>
          <w:lang w:val="en-GB"/>
        </w:rPr>
      </w:pPr>
      <w:r w:rsidRPr="00701D68">
        <w:rPr>
          <w:rFonts w:ascii="Calibri" w:eastAsia="Calibri" w:hAnsi="Calibri" w:cs="Times New Roman"/>
          <w:lang w:val="en-GB"/>
        </w:rPr>
        <w:t>The item summarises QUIPS questions: “All important confounders are measured”; “Important potential confounders are accounted for in the study design</w:t>
      </w:r>
      <w:r w:rsidR="008C609D">
        <w:rPr>
          <w:rFonts w:ascii="Calibri" w:eastAsia="Calibri" w:hAnsi="Calibri" w:cs="Times New Roman"/>
          <w:lang w:val="en-GB"/>
        </w:rPr>
        <w:t xml:space="preserve"> / analysis</w:t>
      </w:r>
      <w:r w:rsidRPr="00701D68">
        <w:rPr>
          <w:rFonts w:ascii="Calibri" w:eastAsia="Calibri" w:hAnsi="Calibri" w:cs="Times New Roman"/>
          <w:lang w:val="en-GB"/>
        </w:rPr>
        <w:t>”</w:t>
      </w:r>
    </w:p>
    <w:p w:rsidR="007703C1" w:rsidRPr="007703C1" w:rsidRDefault="007703C1" w:rsidP="00701D68">
      <w:pPr>
        <w:numPr>
          <w:ilvl w:val="0"/>
          <w:numId w:val="4"/>
        </w:numPr>
        <w:spacing w:after="160" w:line="259" w:lineRule="auto"/>
        <w:ind w:left="709"/>
        <w:contextualSpacing/>
        <w:rPr>
          <w:rFonts w:ascii="Calibri" w:eastAsia="Calibri" w:hAnsi="Calibri" w:cs="Times New Roman"/>
          <w:sz w:val="22"/>
          <w:szCs w:val="22"/>
          <w:lang w:val="en-GB"/>
        </w:rPr>
      </w:pPr>
      <w:r w:rsidRPr="007703C1">
        <w:rPr>
          <w:rFonts w:ascii="Calibri" w:eastAsia="Calibri" w:hAnsi="Calibri" w:cs="Times New Roman"/>
          <w:sz w:val="22"/>
          <w:szCs w:val="22"/>
          <w:lang w:val="en-GB"/>
        </w:rPr>
        <w:t>The item summarises QUIPS questions: “Sufficient presentation of data to assess the adequacy of the analytic strategy”; “Strategy for model building is appropriate and is based on a conceptual framework or model”; “The selected statistical model is adequate for the design of the study”</w:t>
      </w:r>
    </w:p>
    <w:p w:rsidR="007703C1" w:rsidRPr="007703C1" w:rsidRDefault="007703C1" w:rsidP="007703C1">
      <w:pPr>
        <w:spacing w:after="200" w:line="276" w:lineRule="auto"/>
        <w:rPr>
          <w:rFonts w:ascii="Calibri" w:eastAsia="Calibri" w:hAnsi="Calibri" w:cs="Times New Roman"/>
          <w:sz w:val="22"/>
          <w:szCs w:val="22"/>
          <w:lang w:val="en-GB"/>
        </w:rPr>
      </w:pPr>
    </w:p>
    <w:p w:rsidR="007703C1" w:rsidRPr="007703C1" w:rsidRDefault="007703C1" w:rsidP="007703C1">
      <w:pPr>
        <w:spacing w:after="200" w:line="276" w:lineRule="auto"/>
        <w:rPr>
          <w:rFonts w:ascii="Calibri" w:eastAsia="Calibri" w:hAnsi="Calibri" w:cs="Times New Roman"/>
          <w:sz w:val="22"/>
          <w:szCs w:val="22"/>
          <w:lang w:val="en-GB"/>
        </w:rPr>
      </w:pPr>
    </w:p>
    <w:p w:rsidR="007703C1" w:rsidRPr="007703C1" w:rsidRDefault="007703C1" w:rsidP="006F337A">
      <w:pPr>
        <w:pStyle w:val="Ttol2"/>
        <w:jc w:val="both"/>
        <w:rPr>
          <w:rFonts w:ascii="Calibri" w:eastAsia="Calibri" w:hAnsi="Calibri" w:cs="Times New Roman"/>
          <w:b w:val="0"/>
          <w:bCs w:val="0"/>
          <w:sz w:val="22"/>
          <w:szCs w:val="22"/>
          <w:lang w:val="en-GB"/>
        </w:rPr>
      </w:pPr>
    </w:p>
    <w:p w:rsidR="00001D63" w:rsidRPr="005330BD" w:rsidRDefault="00001D63" w:rsidP="00001D63">
      <w:pPr>
        <w:pStyle w:val="Ttol2"/>
        <w:jc w:val="both"/>
        <w:rPr>
          <w:rFonts w:asciiTheme="minorHAnsi" w:hAnsiTheme="minorHAnsi"/>
          <w:lang w:val="en-GB"/>
        </w:rPr>
      </w:pPr>
      <w:bookmarkStart w:id="4" w:name="_Toc66120105"/>
      <w:r>
        <w:rPr>
          <w:rFonts w:asciiTheme="minorHAnsi" w:hAnsiTheme="minorHAnsi"/>
          <w:lang w:val="en-GB"/>
        </w:rPr>
        <w:t>Table S2</w:t>
      </w:r>
      <w:r w:rsidR="00E51D76">
        <w:rPr>
          <w:rFonts w:asciiTheme="minorHAnsi" w:hAnsiTheme="minorHAnsi"/>
          <w:lang w:val="en-GB"/>
        </w:rPr>
        <w:t>b</w:t>
      </w:r>
      <w:r w:rsidRPr="005330BD">
        <w:rPr>
          <w:rFonts w:asciiTheme="minorHAnsi" w:hAnsiTheme="minorHAnsi"/>
          <w:lang w:val="en-GB"/>
        </w:rPr>
        <w:t>. Detailed results of QUIPS assessment</w:t>
      </w:r>
      <w:bookmarkEnd w:id="4"/>
    </w:p>
    <w:tbl>
      <w:tblPr>
        <w:tblW w:w="5000" w:type="pct"/>
        <w:tblLayout w:type="fixed"/>
        <w:tblCellMar>
          <w:left w:w="70" w:type="dxa"/>
          <w:right w:w="70" w:type="dxa"/>
        </w:tblCellMar>
        <w:tblLook w:val="04A0"/>
      </w:tblPr>
      <w:tblGrid>
        <w:gridCol w:w="863"/>
        <w:gridCol w:w="368"/>
        <w:gridCol w:w="368"/>
        <w:gridCol w:w="368"/>
        <w:gridCol w:w="368"/>
        <w:gridCol w:w="380"/>
        <w:gridCol w:w="368"/>
        <w:gridCol w:w="368"/>
        <w:gridCol w:w="368"/>
        <w:gridCol w:w="374"/>
        <w:gridCol w:w="368"/>
        <w:gridCol w:w="374"/>
        <w:gridCol w:w="368"/>
        <w:gridCol w:w="368"/>
        <w:gridCol w:w="368"/>
        <w:gridCol w:w="368"/>
        <w:gridCol w:w="367"/>
        <w:gridCol w:w="367"/>
        <w:gridCol w:w="373"/>
        <w:gridCol w:w="367"/>
        <w:gridCol w:w="367"/>
        <w:gridCol w:w="367"/>
        <w:gridCol w:w="367"/>
        <w:gridCol w:w="367"/>
        <w:gridCol w:w="367"/>
        <w:gridCol w:w="367"/>
        <w:gridCol w:w="367"/>
        <w:gridCol w:w="370"/>
        <w:gridCol w:w="367"/>
        <w:gridCol w:w="367"/>
        <w:gridCol w:w="367"/>
        <w:gridCol w:w="367"/>
        <w:gridCol w:w="367"/>
        <w:gridCol w:w="367"/>
        <w:gridCol w:w="367"/>
        <w:gridCol w:w="367"/>
        <w:gridCol w:w="370"/>
      </w:tblGrid>
      <w:tr w:rsidR="00001D63" w:rsidRPr="005330BD" w:rsidTr="00782860">
        <w:trPr>
          <w:cantSplit/>
          <w:trHeight w:val="1134"/>
        </w:trPr>
        <w:tc>
          <w:tcPr>
            <w:tcW w:w="305" w:type="pct"/>
            <w:tcBorders>
              <w:top w:val="single" w:sz="4" w:space="0" w:color="auto"/>
              <w:left w:val="single" w:sz="4" w:space="0" w:color="auto"/>
              <w:bottom w:val="single" w:sz="4" w:space="0" w:color="auto"/>
              <w:right w:val="single" w:sz="4" w:space="0" w:color="auto"/>
            </w:tcBorders>
            <w:shd w:val="clear" w:color="auto" w:fill="auto"/>
            <w:noWrap/>
          </w:tcPr>
          <w:p w:rsidR="00001D63" w:rsidRPr="005330BD" w:rsidRDefault="00001D63" w:rsidP="00782860">
            <w:pPr>
              <w:jc w:val="both"/>
              <w:rPr>
                <w:i/>
                <w:color w:val="000000"/>
                <w:sz w:val="16"/>
                <w:szCs w:val="16"/>
                <w:lang w:val="en-GB"/>
              </w:rPr>
            </w:pPr>
          </w:p>
        </w:tc>
        <w:tc>
          <w:tcPr>
            <w:tcW w:w="654" w:type="pct"/>
            <w:gridSpan w:val="5"/>
            <w:tcBorders>
              <w:top w:val="single" w:sz="4" w:space="0" w:color="auto"/>
              <w:left w:val="single" w:sz="4" w:space="0" w:color="auto"/>
              <w:bottom w:val="single" w:sz="4" w:space="0" w:color="auto"/>
              <w:right w:val="single" w:sz="4" w:space="0" w:color="auto"/>
            </w:tcBorders>
            <w:shd w:val="clear" w:color="auto" w:fill="BDD6EE" w:themeFill="accent5" w:themeFillTint="66"/>
            <w:noWrap/>
          </w:tcPr>
          <w:p w:rsidR="00001D63" w:rsidRPr="005330BD" w:rsidRDefault="00001D63" w:rsidP="00782860">
            <w:pPr>
              <w:jc w:val="both"/>
              <w:rPr>
                <w:i/>
                <w:iCs/>
                <w:sz w:val="16"/>
                <w:szCs w:val="16"/>
                <w:lang w:val="en-GB"/>
              </w:rPr>
            </w:pPr>
            <w:r w:rsidRPr="005330BD">
              <w:rPr>
                <w:i/>
                <w:iCs/>
                <w:sz w:val="16"/>
                <w:szCs w:val="16"/>
                <w:lang w:val="en-GB"/>
              </w:rPr>
              <w:t>Study participants</w:t>
            </w:r>
          </w:p>
        </w:tc>
        <w:tc>
          <w:tcPr>
            <w:tcW w:w="784" w:type="pct"/>
            <w:gridSpan w:val="6"/>
            <w:tcBorders>
              <w:top w:val="single" w:sz="4" w:space="0" w:color="auto"/>
              <w:left w:val="nil"/>
              <w:bottom w:val="single" w:sz="4" w:space="0" w:color="auto"/>
              <w:right w:val="single" w:sz="4" w:space="0" w:color="auto"/>
            </w:tcBorders>
            <w:shd w:val="clear" w:color="auto" w:fill="BDD6EE" w:themeFill="accent5" w:themeFillTint="66"/>
            <w:noWrap/>
          </w:tcPr>
          <w:p w:rsidR="00001D63" w:rsidRPr="005330BD" w:rsidRDefault="00001D63" w:rsidP="00782860">
            <w:pPr>
              <w:jc w:val="both"/>
              <w:rPr>
                <w:i/>
                <w:iCs/>
                <w:sz w:val="16"/>
                <w:szCs w:val="16"/>
                <w:lang w:val="en-GB"/>
              </w:rPr>
            </w:pPr>
            <w:r w:rsidRPr="005330BD">
              <w:rPr>
                <w:i/>
                <w:iCs/>
                <w:sz w:val="16"/>
                <w:szCs w:val="16"/>
                <w:lang w:val="en-GB"/>
              </w:rPr>
              <w:t>Study attrition</w:t>
            </w:r>
          </w:p>
        </w:tc>
        <w:tc>
          <w:tcPr>
            <w:tcW w:w="650" w:type="pct"/>
            <w:gridSpan w:val="5"/>
            <w:tcBorders>
              <w:top w:val="single" w:sz="4" w:space="0" w:color="auto"/>
              <w:left w:val="nil"/>
              <w:bottom w:val="single" w:sz="4" w:space="0" w:color="auto"/>
              <w:right w:val="single" w:sz="4" w:space="0" w:color="auto"/>
            </w:tcBorders>
            <w:shd w:val="clear" w:color="auto" w:fill="BDD6EE" w:themeFill="accent5" w:themeFillTint="66"/>
            <w:noWrap/>
          </w:tcPr>
          <w:p w:rsidR="00001D63" w:rsidRPr="005330BD" w:rsidRDefault="00001D63" w:rsidP="00782860">
            <w:pPr>
              <w:jc w:val="both"/>
              <w:rPr>
                <w:i/>
                <w:iCs/>
                <w:sz w:val="16"/>
                <w:szCs w:val="16"/>
                <w:lang w:val="en-GB"/>
              </w:rPr>
            </w:pPr>
            <w:r w:rsidRPr="005330BD">
              <w:rPr>
                <w:i/>
                <w:iCs/>
                <w:sz w:val="16"/>
                <w:szCs w:val="16"/>
                <w:lang w:val="en-GB"/>
              </w:rPr>
              <w:t>Prognostic factor measurement</w:t>
            </w:r>
          </w:p>
        </w:tc>
        <w:tc>
          <w:tcPr>
            <w:tcW w:w="522" w:type="pct"/>
            <w:gridSpan w:val="4"/>
            <w:tcBorders>
              <w:top w:val="single" w:sz="4" w:space="0" w:color="auto"/>
              <w:left w:val="nil"/>
              <w:bottom w:val="single" w:sz="4" w:space="0" w:color="auto"/>
              <w:right w:val="single" w:sz="4" w:space="0" w:color="auto"/>
            </w:tcBorders>
            <w:shd w:val="clear" w:color="auto" w:fill="BDD6EE" w:themeFill="accent5" w:themeFillTint="66"/>
            <w:noWrap/>
          </w:tcPr>
          <w:p w:rsidR="00001D63" w:rsidRPr="005330BD" w:rsidRDefault="00001D63" w:rsidP="00782860">
            <w:pPr>
              <w:jc w:val="both"/>
              <w:rPr>
                <w:i/>
                <w:iCs/>
                <w:sz w:val="16"/>
                <w:szCs w:val="16"/>
                <w:lang w:val="en-GB"/>
              </w:rPr>
            </w:pPr>
            <w:r w:rsidRPr="005330BD">
              <w:rPr>
                <w:i/>
                <w:iCs/>
                <w:sz w:val="16"/>
                <w:szCs w:val="16"/>
                <w:lang w:val="en-GB"/>
              </w:rPr>
              <w:t>Outcome measurement - exacerbations</w:t>
            </w:r>
          </w:p>
        </w:tc>
        <w:tc>
          <w:tcPr>
            <w:tcW w:w="520" w:type="pct"/>
            <w:gridSpan w:val="4"/>
            <w:tcBorders>
              <w:top w:val="single" w:sz="4" w:space="0" w:color="auto"/>
              <w:left w:val="single" w:sz="4" w:space="0" w:color="auto"/>
              <w:bottom w:val="single" w:sz="4" w:space="0" w:color="auto"/>
              <w:right w:val="single" w:sz="4" w:space="0" w:color="auto"/>
            </w:tcBorders>
            <w:shd w:val="clear" w:color="auto" w:fill="BDD6EE" w:themeFill="accent5" w:themeFillTint="66"/>
            <w:noWrap/>
          </w:tcPr>
          <w:p w:rsidR="00001D63" w:rsidRPr="005330BD" w:rsidRDefault="00001D63" w:rsidP="00782860">
            <w:pPr>
              <w:jc w:val="both"/>
              <w:rPr>
                <w:i/>
                <w:iCs/>
                <w:sz w:val="16"/>
                <w:szCs w:val="16"/>
                <w:lang w:val="en-GB"/>
              </w:rPr>
            </w:pPr>
            <w:r w:rsidRPr="005330BD">
              <w:rPr>
                <w:i/>
                <w:iCs/>
                <w:sz w:val="16"/>
                <w:szCs w:val="16"/>
                <w:lang w:val="en-GB"/>
              </w:rPr>
              <w:t>Outcome measurement - hospitalization</w:t>
            </w:r>
          </w:p>
        </w:tc>
        <w:tc>
          <w:tcPr>
            <w:tcW w:w="521" w:type="pct"/>
            <w:gridSpan w:val="4"/>
            <w:tcBorders>
              <w:top w:val="single" w:sz="4" w:space="0" w:color="auto"/>
              <w:left w:val="single" w:sz="4" w:space="0" w:color="auto"/>
              <w:bottom w:val="single" w:sz="4" w:space="0" w:color="auto"/>
              <w:right w:val="single" w:sz="4" w:space="0" w:color="auto"/>
            </w:tcBorders>
            <w:shd w:val="clear" w:color="auto" w:fill="BDD6EE" w:themeFill="accent5" w:themeFillTint="66"/>
            <w:noWrap/>
          </w:tcPr>
          <w:p w:rsidR="00001D63" w:rsidRPr="005330BD" w:rsidRDefault="00001D63" w:rsidP="00782860">
            <w:pPr>
              <w:jc w:val="both"/>
              <w:rPr>
                <w:i/>
                <w:iCs/>
                <w:sz w:val="16"/>
                <w:szCs w:val="16"/>
                <w:lang w:val="en-GB"/>
              </w:rPr>
            </w:pPr>
            <w:r w:rsidRPr="005330BD">
              <w:rPr>
                <w:i/>
                <w:iCs/>
                <w:sz w:val="16"/>
                <w:szCs w:val="16"/>
                <w:lang w:val="en-GB"/>
              </w:rPr>
              <w:t>Outcome measurement - death</w:t>
            </w:r>
          </w:p>
        </w:tc>
        <w:tc>
          <w:tcPr>
            <w:tcW w:w="650" w:type="pct"/>
            <w:gridSpan w:val="5"/>
            <w:tcBorders>
              <w:top w:val="single" w:sz="4" w:space="0" w:color="auto"/>
              <w:left w:val="single" w:sz="4" w:space="0" w:color="auto"/>
              <w:bottom w:val="single" w:sz="4" w:space="0" w:color="auto"/>
              <w:right w:val="single" w:sz="4" w:space="0" w:color="auto"/>
            </w:tcBorders>
            <w:shd w:val="clear" w:color="auto" w:fill="BDD6EE" w:themeFill="accent5" w:themeFillTint="66"/>
            <w:noWrap/>
          </w:tcPr>
          <w:p w:rsidR="00001D63" w:rsidRPr="005330BD" w:rsidRDefault="00001D63" w:rsidP="00782860">
            <w:pPr>
              <w:jc w:val="both"/>
              <w:rPr>
                <w:i/>
                <w:iCs/>
                <w:sz w:val="16"/>
                <w:szCs w:val="16"/>
                <w:lang w:val="en-GB"/>
              </w:rPr>
            </w:pPr>
            <w:r w:rsidRPr="005330BD">
              <w:rPr>
                <w:i/>
                <w:iCs/>
                <w:sz w:val="16"/>
                <w:szCs w:val="16"/>
                <w:lang w:val="en-GB"/>
              </w:rPr>
              <w:t>Study confounding</w:t>
            </w:r>
          </w:p>
        </w:tc>
        <w:tc>
          <w:tcPr>
            <w:tcW w:w="391" w:type="pct"/>
            <w:gridSpan w:val="3"/>
            <w:tcBorders>
              <w:top w:val="single" w:sz="4" w:space="0" w:color="auto"/>
              <w:left w:val="nil"/>
              <w:bottom w:val="single" w:sz="4" w:space="0" w:color="auto"/>
              <w:right w:val="single" w:sz="4" w:space="0" w:color="auto"/>
            </w:tcBorders>
            <w:shd w:val="clear" w:color="auto" w:fill="BDD6EE" w:themeFill="accent5" w:themeFillTint="66"/>
            <w:noWrap/>
          </w:tcPr>
          <w:p w:rsidR="00001D63" w:rsidRPr="005330BD" w:rsidRDefault="00001D63" w:rsidP="00782860">
            <w:pPr>
              <w:jc w:val="both"/>
              <w:rPr>
                <w:i/>
                <w:iCs/>
                <w:sz w:val="16"/>
                <w:szCs w:val="16"/>
                <w:lang w:val="en-GB"/>
              </w:rPr>
            </w:pPr>
            <w:r w:rsidRPr="005330BD">
              <w:rPr>
                <w:i/>
                <w:iCs/>
                <w:sz w:val="16"/>
                <w:szCs w:val="16"/>
                <w:lang w:val="en-GB"/>
              </w:rPr>
              <w:t>Statistical analysis &amp; reporting</w:t>
            </w:r>
          </w:p>
        </w:tc>
      </w:tr>
      <w:tr w:rsidR="00001D63" w:rsidRPr="005330BD" w:rsidTr="00782860">
        <w:trPr>
          <w:cantSplit/>
          <w:trHeight w:val="1194"/>
        </w:trPr>
        <w:tc>
          <w:tcPr>
            <w:tcW w:w="305" w:type="pct"/>
            <w:tcBorders>
              <w:top w:val="single" w:sz="4" w:space="0" w:color="auto"/>
              <w:left w:val="single" w:sz="4" w:space="0" w:color="auto"/>
              <w:bottom w:val="single" w:sz="4" w:space="0" w:color="auto"/>
              <w:right w:val="single" w:sz="4" w:space="0" w:color="auto"/>
            </w:tcBorders>
            <w:shd w:val="clear" w:color="auto" w:fill="auto"/>
            <w:noWrap/>
          </w:tcPr>
          <w:p w:rsidR="00001D63" w:rsidRPr="005330BD" w:rsidRDefault="00001D63" w:rsidP="00782860">
            <w:pPr>
              <w:jc w:val="both"/>
              <w:rPr>
                <w:i/>
                <w:color w:val="000000"/>
                <w:sz w:val="16"/>
                <w:szCs w:val="16"/>
                <w:lang w:val="en-GB"/>
              </w:rPr>
            </w:pPr>
            <w:r w:rsidRPr="005330BD">
              <w:rPr>
                <w:i/>
                <w:color w:val="000000"/>
                <w:sz w:val="16"/>
                <w:szCs w:val="16"/>
                <w:lang w:val="en-GB"/>
              </w:rPr>
              <w:t>Study</w:t>
            </w:r>
          </w:p>
        </w:tc>
        <w:tc>
          <w:tcPr>
            <w:tcW w:w="130" w:type="pct"/>
            <w:tcBorders>
              <w:top w:val="single" w:sz="4" w:space="0" w:color="auto"/>
              <w:left w:val="single" w:sz="4" w:space="0" w:color="auto"/>
              <w:bottom w:val="single" w:sz="4" w:space="0" w:color="auto"/>
              <w:right w:val="single" w:sz="4" w:space="0" w:color="auto"/>
            </w:tcBorders>
            <w:shd w:val="clear" w:color="auto" w:fill="auto"/>
            <w:noWrap/>
            <w:textDirection w:val="btLr"/>
          </w:tcPr>
          <w:p w:rsidR="00001D63" w:rsidRPr="005330BD" w:rsidRDefault="00001D63" w:rsidP="00782860">
            <w:pPr>
              <w:ind w:left="113" w:right="113"/>
              <w:jc w:val="both"/>
              <w:rPr>
                <w:i/>
                <w:iCs/>
                <w:sz w:val="16"/>
                <w:szCs w:val="16"/>
                <w:lang w:val="en-GB"/>
              </w:rPr>
            </w:pPr>
            <w:r w:rsidRPr="005330BD">
              <w:rPr>
                <w:i/>
                <w:iCs/>
                <w:sz w:val="16"/>
                <w:szCs w:val="16"/>
                <w:lang w:val="en-GB"/>
              </w:rPr>
              <w:t>Inclusion</w:t>
            </w:r>
          </w:p>
        </w:tc>
        <w:tc>
          <w:tcPr>
            <w:tcW w:w="130" w:type="pct"/>
            <w:tcBorders>
              <w:top w:val="single" w:sz="4" w:space="0" w:color="auto"/>
              <w:left w:val="nil"/>
              <w:bottom w:val="single" w:sz="4" w:space="0" w:color="auto"/>
              <w:right w:val="single" w:sz="4" w:space="0" w:color="auto"/>
            </w:tcBorders>
            <w:shd w:val="clear" w:color="auto" w:fill="auto"/>
            <w:noWrap/>
            <w:textDirection w:val="btLr"/>
          </w:tcPr>
          <w:p w:rsidR="00001D63" w:rsidRPr="005330BD" w:rsidRDefault="00001D63" w:rsidP="00782860">
            <w:pPr>
              <w:ind w:left="113" w:right="113"/>
              <w:jc w:val="both"/>
              <w:rPr>
                <w:i/>
                <w:iCs/>
                <w:sz w:val="16"/>
                <w:szCs w:val="16"/>
                <w:lang w:val="en-GB"/>
              </w:rPr>
            </w:pPr>
            <w:r w:rsidRPr="005330BD">
              <w:rPr>
                <w:i/>
                <w:iCs/>
                <w:sz w:val="16"/>
                <w:szCs w:val="16"/>
                <w:lang w:val="en-GB"/>
              </w:rPr>
              <w:t>Char</w:t>
            </w:r>
          </w:p>
        </w:tc>
        <w:tc>
          <w:tcPr>
            <w:tcW w:w="130" w:type="pct"/>
            <w:tcBorders>
              <w:top w:val="single" w:sz="4" w:space="0" w:color="auto"/>
              <w:left w:val="nil"/>
              <w:bottom w:val="single" w:sz="4" w:space="0" w:color="auto"/>
              <w:right w:val="single" w:sz="4" w:space="0" w:color="auto"/>
            </w:tcBorders>
            <w:shd w:val="clear" w:color="auto" w:fill="auto"/>
            <w:noWrap/>
            <w:textDirection w:val="btLr"/>
          </w:tcPr>
          <w:p w:rsidR="00001D63" w:rsidRPr="005330BD" w:rsidRDefault="00001D63" w:rsidP="00782860">
            <w:pPr>
              <w:ind w:left="113" w:right="113"/>
              <w:jc w:val="both"/>
              <w:rPr>
                <w:i/>
                <w:iCs/>
                <w:sz w:val="16"/>
                <w:szCs w:val="16"/>
                <w:lang w:val="en-GB"/>
              </w:rPr>
            </w:pPr>
            <w:r w:rsidRPr="005330BD">
              <w:rPr>
                <w:i/>
                <w:iCs/>
                <w:sz w:val="16"/>
                <w:szCs w:val="16"/>
                <w:lang w:val="en-GB"/>
              </w:rPr>
              <w:t xml:space="preserve">Severity </w:t>
            </w:r>
          </w:p>
        </w:tc>
        <w:tc>
          <w:tcPr>
            <w:tcW w:w="130" w:type="pct"/>
            <w:tcBorders>
              <w:top w:val="single" w:sz="4" w:space="0" w:color="auto"/>
              <w:left w:val="nil"/>
              <w:bottom w:val="single" w:sz="4" w:space="0" w:color="auto"/>
              <w:right w:val="single" w:sz="4" w:space="0" w:color="auto"/>
            </w:tcBorders>
            <w:shd w:val="clear" w:color="auto" w:fill="auto"/>
            <w:noWrap/>
            <w:textDirection w:val="btLr"/>
          </w:tcPr>
          <w:p w:rsidR="00001D63" w:rsidRPr="005330BD" w:rsidRDefault="00001D63" w:rsidP="00782860">
            <w:pPr>
              <w:ind w:left="113" w:right="113"/>
              <w:jc w:val="both"/>
              <w:rPr>
                <w:i/>
                <w:iCs/>
                <w:sz w:val="16"/>
                <w:szCs w:val="16"/>
                <w:lang w:val="en-GB"/>
              </w:rPr>
            </w:pPr>
            <w:r w:rsidRPr="005330BD">
              <w:rPr>
                <w:i/>
                <w:iCs/>
                <w:sz w:val="16"/>
                <w:szCs w:val="16"/>
                <w:lang w:val="en-GB"/>
              </w:rPr>
              <w:t xml:space="preserve">Recruitment </w:t>
            </w:r>
          </w:p>
        </w:tc>
        <w:tc>
          <w:tcPr>
            <w:tcW w:w="134" w:type="pct"/>
            <w:tcBorders>
              <w:top w:val="single" w:sz="4" w:space="0" w:color="auto"/>
              <w:left w:val="nil"/>
              <w:bottom w:val="single" w:sz="4" w:space="0" w:color="auto"/>
              <w:right w:val="single" w:sz="4" w:space="0" w:color="auto"/>
            </w:tcBorders>
            <w:shd w:val="clear" w:color="auto" w:fill="BDD6EE" w:themeFill="accent5" w:themeFillTint="66"/>
            <w:noWrap/>
            <w:textDirection w:val="btLr"/>
          </w:tcPr>
          <w:p w:rsidR="00001D63" w:rsidRPr="005330BD" w:rsidRDefault="00001D63" w:rsidP="00782860">
            <w:pPr>
              <w:ind w:left="113" w:right="113"/>
              <w:jc w:val="both"/>
              <w:rPr>
                <w:i/>
                <w:iCs/>
                <w:sz w:val="16"/>
                <w:szCs w:val="16"/>
                <w:lang w:val="en-GB"/>
              </w:rPr>
            </w:pPr>
            <w:r w:rsidRPr="005330BD">
              <w:rPr>
                <w:i/>
                <w:iCs/>
                <w:sz w:val="16"/>
                <w:szCs w:val="16"/>
                <w:lang w:val="en-GB"/>
              </w:rPr>
              <w:t>Assessment</w:t>
            </w:r>
          </w:p>
        </w:tc>
        <w:tc>
          <w:tcPr>
            <w:tcW w:w="130" w:type="pct"/>
            <w:tcBorders>
              <w:top w:val="single" w:sz="4" w:space="0" w:color="auto"/>
              <w:left w:val="nil"/>
              <w:bottom w:val="single" w:sz="4" w:space="0" w:color="auto"/>
              <w:right w:val="single" w:sz="4" w:space="0" w:color="auto"/>
            </w:tcBorders>
            <w:shd w:val="clear" w:color="auto" w:fill="auto"/>
            <w:noWrap/>
            <w:textDirection w:val="btLr"/>
          </w:tcPr>
          <w:p w:rsidR="00001D63" w:rsidRPr="005330BD" w:rsidRDefault="00001D63" w:rsidP="00782860">
            <w:pPr>
              <w:ind w:left="113" w:right="113"/>
              <w:jc w:val="both"/>
              <w:rPr>
                <w:i/>
                <w:iCs/>
                <w:sz w:val="16"/>
                <w:szCs w:val="16"/>
                <w:lang w:val="en-GB"/>
              </w:rPr>
            </w:pPr>
            <w:r w:rsidRPr="005330BD">
              <w:rPr>
                <w:i/>
                <w:iCs/>
                <w:sz w:val="16"/>
                <w:szCs w:val="16"/>
                <w:lang w:val="en-GB"/>
              </w:rPr>
              <w:t xml:space="preserve">Motives </w:t>
            </w:r>
          </w:p>
        </w:tc>
        <w:tc>
          <w:tcPr>
            <w:tcW w:w="130" w:type="pct"/>
            <w:tcBorders>
              <w:top w:val="single" w:sz="4" w:space="0" w:color="auto"/>
              <w:left w:val="nil"/>
              <w:bottom w:val="single" w:sz="4" w:space="0" w:color="auto"/>
              <w:right w:val="single" w:sz="4" w:space="0" w:color="auto"/>
            </w:tcBorders>
            <w:shd w:val="clear" w:color="auto" w:fill="auto"/>
            <w:noWrap/>
            <w:textDirection w:val="btLr"/>
          </w:tcPr>
          <w:p w:rsidR="00001D63" w:rsidRPr="005330BD" w:rsidRDefault="00001D63" w:rsidP="00782860">
            <w:pPr>
              <w:ind w:left="113" w:right="113"/>
              <w:jc w:val="both"/>
              <w:rPr>
                <w:i/>
                <w:iCs/>
                <w:sz w:val="16"/>
                <w:szCs w:val="16"/>
                <w:lang w:val="en-GB"/>
              </w:rPr>
            </w:pPr>
            <w:r w:rsidRPr="005330BD">
              <w:rPr>
                <w:i/>
                <w:iCs/>
                <w:sz w:val="16"/>
                <w:szCs w:val="16"/>
                <w:lang w:val="en-GB"/>
              </w:rPr>
              <w:t xml:space="preserve">Participants </w:t>
            </w:r>
          </w:p>
        </w:tc>
        <w:tc>
          <w:tcPr>
            <w:tcW w:w="130" w:type="pct"/>
            <w:tcBorders>
              <w:top w:val="single" w:sz="4" w:space="0" w:color="auto"/>
              <w:left w:val="nil"/>
              <w:bottom w:val="single" w:sz="4" w:space="0" w:color="auto"/>
              <w:right w:val="single" w:sz="4" w:space="0" w:color="auto"/>
            </w:tcBorders>
            <w:shd w:val="clear" w:color="auto" w:fill="auto"/>
            <w:noWrap/>
            <w:textDirection w:val="btLr"/>
          </w:tcPr>
          <w:p w:rsidR="00001D63" w:rsidRPr="005330BD" w:rsidRDefault="00001D63" w:rsidP="00782860">
            <w:pPr>
              <w:ind w:left="113" w:right="113"/>
              <w:jc w:val="both"/>
              <w:rPr>
                <w:i/>
                <w:iCs/>
                <w:sz w:val="16"/>
                <w:szCs w:val="16"/>
                <w:lang w:val="en-GB"/>
              </w:rPr>
            </w:pPr>
            <w:r w:rsidRPr="005330BD">
              <w:rPr>
                <w:i/>
                <w:iCs/>
                <w:sz w:val="16"/>
                <w:szCs w:val="16"/>
                <w:lang w:val="en-GB"/>
              </w:rPr>
              <w:t xml:space="preserve">Differences </w:t>
            </w:r>
          </w:p>
        </w:tc>
        <w:tc>
          <w:tcPr>
            <w:tcW w:w="132" w:type="pct"/>
            <w:tcBorders>
              <w:top w:val="single" w:sz="4" w:space="0" w:color="auto"/>
              <w:left w:val="nil"/>
              <w:bottom w:val="single" w:sz="4" w:space="0" w:color="auto"/>
              <w:right w:val="single" w:sz="4" w:space="0" w:color="auto"/>
            </w:tcBorders>
            <w:shd w:val="clear" w:color="auto" w:fill="auto"/>
            <w:noWrap/>
            <w:textDirection w:val="btLr"/>
          </w:tcPr>
          <w:p w:rsidR="00001D63" w:rsidRPr="005330BD" w:rsidRDefault="00001D63" w:rsidP="00782860">
            <w:pPr>
              <w:ind w:left="113" w:right="113"/>
              <w:jc w:val="both"/>
              <w:rPr>
                <w:i/>
                <w:iCs/>
                <w:sz w:val="16"/>
                <w:szCs w:val="16"/>
                <w:lang w:val="en-GB"/>
              </w:rPr>
            </w:pPr>
            <w:r w:rsidRPr="005330BD">
              <w:rPr>
                <w:i/>
                <w:iCs/>
                <w:sz w:val="16"/>
                <w:szCs w:val="16"/>
                <w:lang w:val="en-GB"/>
              </w:rPr>
              <w:t xml:space="preserve">Methods </w:t>
            </w:r>
          </w:p>
        </w:tc>
        <w:tc>
          <w:tcPr>
            <w:tcW w:w="130" w:type="pct"/>
            <w:tcBorders>
              <w:top w:val="single" w:sz="4" w:space="0" w:color="auto"/>
              <w:left w:val="nil"/>
              <w:bottom w:val="single" w:sz="4" w:space="0" w:color="auto"/>
              <w:right w:val="single" w:sz="4" w:space="0" w:color="auto"/>
            </w:tcBorders>
            <w:shd w:val="clear" w:color="auto" w:fill="auto"/>
            <w:noWrap/>
            <w:textDirection w:val="btLr"/>
          </w:tcPr>
          <w:p w:rsidR="00001D63" w:rsidRPr="005330BD" w:rsidRDefault="00001D63" w:rsidP="00782860">
            <w:pPr>
              <w:ind w:left="113" w:right="113"/>
              <w:jc w:val="both"/>
              <w:rPr>
                <w:i/>
                <w:iCs/>
                <w:sz w:val="16"/>
                <w:szCs w:val="16"/>
                <w:lang w:val="en-GB"/>
              </w:rPr>
            </w:pPr>
            <w:r w:rsidRPr="005330BD">
              <w:rPr>
                <w:i/>
                <w:iCs/>
                <w:sz w:val="16"/>
                <w:szCs w:val="16"/>
                <w:lang w:val="en-GB"/>
              </w:rPr>
              <w:t xml:space="preserve">Rate </w:t>
            </w:r>
          </w:p>
        </w:tc>
        <w:tc>
          <w:tcPr>
            <w:tcW w:w="132" w:type="pct"/>
            <w:tcBorders>
              <w:top w:val="single" w:sz="4" w:space="0" w:color="auto"/>
              <w:left w:val="nil"/>
              <w:bottom w:val="single" w:sz="4" w:space="0" w:color="auto"/>
              <w:right w:val="single" w:sz="4" w:space="0" w:color="auto"/>
            </w:tcBorders>
            <w:shd w:val="clear" w:color="auto" w:fill="BDD6EE" w:themeFill="accent5" w:themeFillTint="66"/>
            <w:noWrap/>
            <w:textDirection w:val="btLr"/>
          </w:tcPr>
          <w:p w:rsidR="00001D63" w:rsidRPr="005330BD" w:rsidRDefault="00001D63" w:rsidP="00782860">
            <w:pPr>
              <w:ind w:left="113" w:right="113"/>
              <w:jc w:val="both"/>
              <w:rPr>
                <w:i/>
                <w:iCs/>
                <w:sz w:val="16"/>
                <w:szCs w:val="16"/>
                <w:lang w:val="en-GB"/>
              </w:rPr>
            </w:pPr>
            <w:r w:rsidRPr="005330BD">
              <w:rPr>
                <w:i/>
                <w:iCs/>
                <w:sz w:val="16"/>
                <w:szCs w:val="16"/>
                <w:lang w:val="en-GB"/>
              </w:rPr>
              <w:t xml:space="preserve">Assessment: </w:t>
            </w:r>
          </w:p>
        </w:tc>
        <w:tc>
          <w:tcPr>
            <w:tcW w:w="130" w:type="pct"/>
            <w:tcBorders>
              <w:top w:val="single" w:sz="4" w:space="0" w:color="auto"/>
              <w:left w:val="nil"/>
              <w:bottom w:val="single" w:sz="4" w:space="0" w:color="auto"/>
              <w:right w:val="single" w:sz="4" w:space="0" w:color="auto"/>
            </w:tcBorders>
            <w:shd w:val="clear" w:color="auto" w:fill="auto"/>
            <w:noWrap/>
            <w:textDirection w:val="btLr"/>
          </w:tcPr>
          <w:p w:rsidR="00001D63" w:rsidRPr="005330BD" w:rsidRDefault="00001D63" w:rsidP="00782860">
            <w:pPr>
              <w:ind w:left="113" w:right="113"/>
              <w:jc w:val="both"/>
              <w:rPr>
                <w:i/>
                <w:iCs/>
                <w:sz w:val="16"/>
                <w:szCs w:val="16"/>
                <w:lang w:val="en-GB"/>
              </w:rPr>
            </w:pPr>
            <w:r w:rsidRPr="005330BD">
              <w:rPr>
                <w:i/>
                <w:iCs/>
                <w:sz w:val="16"/>
                <w:szCs w:val="16"/>
                <w:lang w:val="en-GB"/>
              </w:rPr>
              <w:t>Definition</w:t>
            </w:r>
          </w:p>
        </w:tc>
        <w:tc>
          <w:tcPr>
            <w:tcW w:w="130" w:type="pct"/>
            <w:tcBorders>
              <w:top w:val="single" w:sz="4" w:space="0" w:color="auto"/>
              <w:left w:val="nil"/>
              <w:bottom w:val="single" w:sz="4" w:space="0" w:color="auto"/>
              <w:right w:val="single" w:sz="4" w:space="0" w:color="auto"/>
            </w:tcBorders>
            <w:shd w:val="clear" w:color="auto" w:fill="auto"/>
            <w:noWrap/>
            <w:textDirection w:val="btLr"/>
          </w:tcPr>
          <w:p w:rsidR="00001D63" w:rsidRPr="005330BD" w:rsidRDefault="00001D63" w:rsidP="00782860">
            <w:pPr>
              <w:ind w:left="113" w:right="113"/>
              <w:jc w:val="both"/>
              <w:rPr>
                <w:i/>
                <w:iCs/>
                <w:sz w:val="16"/>
                <w:szCs w:val="16"/>
                <w:lang w:val="en-GB"/>
              </w:rPr>
            </w:pPr>
            <w:r w:rsidRPr="005330BD">
              <w:rPr>
                <w:i/>
                <w:iCs/>
                <w:sz w:val="16"/>
                <w:szCs w:val="16"/>
                <w:lang w:val="en-GB"/>
              </w:rPr>
              <w:t>Validated</w:t>
            </w:r>
          </w:p>
        </w:tc>
        <w:tc>
          <w:tcPr>
            <w:tcW w:w="130" w:type="pct"/>
            <w:tcBorders>
              <w:top w:val="single" w:sz="4" w:space="0" w:color="auto"/>
              <w:left w:val="nil"/>
              <w:bottom w:val="single" w:sz="4" w:space="0" w:color="auto"/>
              <w:right w:val="single" w:sz="4" w:space="0" w:color="auto"/>
            </w:tcBorders>
            <w:shd w:val="clear" w:color="auto" w:fill="auto"/>
            <w:noWrap/>
            <w:textDirection w:val="btLr"/>
          </w:tcPr>
          <w:p w:rsidR="00001D63" w:rsidRPr="005330BD" w:rsidRDefault="00001D63" w:rsidP="00782860">
            <w:pPr>
              <w:ind w:left="113" w:right="113"/>
              <w:jc w:val="both"/>
              <w:rPr>
                <w:i/>
                <w:iCs/>
                <w:sz w:val="16"/>
                <w:szCs w:val="16"/>
                <w:lang w:val="en-GB"/>
              </w:rPr>
            </w:pPr>
            <w:r w:rsidRPr="005330BD">
              <w:rPr>
                <w:i/>
                <w:iCs/>
                <w:sz w:val="16"/>
                <w:szCs w:val="16"/>
                <w:lang w:val="en-GB"/>
              </w:rPr>
              <w:t>Methods</w:t>
            </w:r>
          </w:p>
        </w:tc>
        <w:tc>
          <w:tcPr>
            <w:tcW w:w="130" w:type="pct"/>
            <w:tcBorders>
              <w:top w:val="single" w:sz="4" w:space="0" w:color="auto"/>
              <w:left w:val="nil"/>
              <w:bottom w:val="single" w:sz="4" w:space="0" w:color="auto"/>
              <w:right w:val="single" w:sz="4" w:space="0" w:color="auto"/>
            </w:tcBorders>
            <w:shd w:val="clear" w:color="auto" w:fill="auto"/>
            <w:noWrap/>
            <w:textDirection w:val="btLr"/>
          </w:tcPr>
          <w:p w:rsidR="00001D63" w:rsidRPr="005330BD" w:rsidRDefault="00001D63" w:rsidP="00782860">
            <w:pPr>
              <w:ind w:left="113" w:right="113"/>
              <w:jc w:val="both"/>
              <w:rPr>
                <w:i/>
                <w:iCs/>
                <w:sz w:val="16"/>
                <w:szCs w:val="16"/>
                <w:lang w:val="en-GB"/>
              </w:rPr>
            </w:pPr>
            <w:r w:rsidRPr="005330BD">
              <w:rPr>
                <w:i/>
                <w:iCs/>
                <w:sz w:val="16"/>
                <w:szCs w:val="16"/>
                <w:lang w:val="en-GB"/>
              </w:rPr>
              <w:t>Proportion</w:t>
            </w:r>
          </w:p>
        </w:tc>
        <w:tc>
          <w:tcPr>
            <w:tcW w:w="130" w:type="pct"/>
            <w:tcBorders>
              <w:top w:val="single" w:sz="4" w:space="0" w:color="auto"/>
              <w:left w:val="nil"/>
              <w:bottom w:val="single" w:sz="4" w:space="0" w:color="auto"/>
              <w:right w:val="single" w:sz="4" w:space="0" w:color="auto"/>
            </w:tcBorders>
            <w:shd w:val="clear" w:color="auto" w:fill="BDD6EE" w:themeFill="accent5" w:themeFillTint="66"/>
            <w:noWrap/>
            <w:textDirection w:val="btLr"/>
          </w:tcPr>
          <w:p w:rsidR="00001D63" w:rsidRPr="005330BD" w:rsidRDefault="00001D63" w:rsidP="00782860">
            <w:pPr>
              <w:ind w:left="113" w:right="113"/>
              <w:jc w:val="both"/>
              <w:rPr>
                <w:i/>
                <w:iCs/>
                <w:sz w:val="16"/>
                <w:szCs w:val="16"/>
                <w:lang w:val="en-GB"/>
              </w:rPr>
            </w:pPr>
            <w:r w:rsidRPr="005330BD">
              <w:rPr>
                <w:i/>
                <w:iCs/>
                <w:sz w:val="16"/>
                <w:szCs w:val="16"/>
                <w:lang w:val="en-GB"/>
              </w:rPr>
              <w:t>Assessment</w:t>
            </w:r>
          </w:p>
        </w:tc>
        <w:tc>
          <w:tcPr>
            <w:tcW w:w="130" w:type="pct"/>
            <w:tcBorders>
              <w:top w:val="single" w:sz="4" w:space="0" w:color="auto"/>
              <w:left w:val="nil"/>
              <w:bottom w:val="single" w:sz="4" w:space="0" w:color="auto"/>
              <w:right w:val="single" w:sz="4" w:space="0" w:color="auto"/>
            </w:tcBorders>
            <w:shd w:val="clear" w:color="auto" w:fill="auto"/>
            <w:noWrap/>
            <w:textDirection w:val="btLr"/>
          </w:tcPr>
          <w:p w:rsidR="00001D63" w:rsidRPr="005330BD" w:rsidRDefault="00001D63" w:rsidP="00782860">
            <w:pPr>
              <w:ind w:left="113" w:right="113"/>
              <w:jc w:val="both"/>
              <w:rPr>
                <w:i/>
                <w:iCs/>
                <w:sz w:val="16"/>
                <w:szCs w:val="16"/>
                <w:lang w:val="en-GB"/>
              </w:rPr>
            </w:pPr>
            <w:r w:rsidRPr="005330BD">
              <w:rPr>
                <w:i/>
                <w:iCs/>
                <w:sz w:val="16"/>
                <w:szCs w:val="16"/>
                <w:lang w:val="en-GB"/>
              </w:rPr>
              <w:t>Definition</w:t>
            </w:r>
          </w:p>
        </w:tc>
        <w:tc>
          <w:tcPr>
            <w:tcW w:w="132" w:type="pct"/>
            <w:tcBorders>
              <w:top w:val="single" w:sz="4" w:space="0" w:color="auto"/>
              <w:left w:val="nil"/>
              <w:bottom w:val="single" w:sz="4" w:space="0" w:color="auto"/>
              <w:right w:val="single" w:sz="4" w:space="0" w:color="auto"/>
            </w:tcBorders>
            <w:shd w:val="clear" w:color="auto" w:fill="auto"/>
            <w:noWrap/>
            <w:textDirection w:val="btLr"/>
          </w:tcPr>
          <w:p w:rsidR="00001D63" w:rsidRPr="005330BD" w:rsidRDefault="00001D63" w:rsidP="00782860">
            <w:pPr>
              <w:ind w:left="113" w:right="113"/>
              <w:jc w:val="both"/>
              <w:rPr>
                <w:i/>
                <w:iCs/>
                <w:sz w:val="16"/>
                <w:szCs w:val="16"/>
                <w:lang w:val="en-GB"/>
              </w:rPr>
            </w:pPr>
            <w:r w:rsidRPr="005330BD">
              <w:rPr>
                <w:i/>
                <w:iCs/>
                <w:sz w:val="16"/>
                <w:szCs w:val="16"/>
                <w:lang w:val="en-GB"/>
              </w:rPr>
              <w:t>Validated</w:t>
            </w:r>
          </w:p>
        </w:tc>
        <w:tc>
          <w:tcPr>
            <w:tcW w:w="130" w:type="pct"/>
            <w:tcBorders>
              <w:top w:val="single" w:sz="4" w:space="0" w:color="auto"/>
              <w:left w:val="nil"/>
              <w:bottom w:val="single" w:sz="4" w:space="0" w:color="auto"/>
              <w:right w:val="single" w:sz="4" w:space="0" w:color="auto"/>
            </w:tcBorders>
            <w:shd w:val="clear" w:color="auto" w:fill="auto"/>
            <w:noWrap/>
            <w:textDirection w:val="btLr"/>
          </w:tcPr>
          <w:p w:rsidR="00001D63" w:rsidRPr="005330BD" w:rsidRDefault="00001D63" w:rsidP="00782860">
            <w:pPr>
              <w:ind w:left="113" w:right="113"/>
              <w:jc w:val="both"/>
              <w:rPr>
                <w:i/>
                <w:iCs/>
                <w:sz w:val="16"/>
                <w:szCs w:val="16"/>
                <w:lang w:val="en-GB"/>
              </w:rPr>
            </w:pPr>
            <w:r w:rsidRPr="005330BD">
              <w:rPr>
                <w:i/>
                <w:iCs/>
                <w:sz w:val="16"/>
                <w:szCs w:val="16"/>
                <w:lang w:val="en-GB"/>
              </w:rPr>
              <w:t>Methods</w:t>
            </w:r>
          </w:p>
        </w:tc>
        <w:tc>
          <w:tcPr>
            <w:tcW w:w="130" w:type="pct"/>
            <w:tcBorders>
              <w:top w:val="single" w:sz="4" w:space="0" w:color="auto"/>
              <w:left w:val="nil"/>
              <w:bottom w:val="single" w:sz="4" w:space="0" w:color="auto"/>
              <w:right w:val="single" w:sz="4" w:space="0" w:color="auto"/>
            </w:tcBorders>
            <w:shd w:val="clear" w:color="auto" w:fill="BDD6EE" w:themeFill="accent5" w:themeFillTint="66"/>
            <w:noWrap/>
            <w:textDirection w:val="btLr"/>
          </w:tcPr>
          <w:p w:rsidR="00001D63" w:rsidRPr="005330BD" w:rsidRDefault="00001D63" w:rsidP="00782860">
            <w:pPr>
              <w:ind w:left="113" w:right="113"/>
              <w:jc w:val="both"/>
              <w:rPr>
                <w:i/>
                <w:iCs/>
                <w:sz w:val="16"/>
                <w:szCs w:val="16"/>
                <w:lang w:val="en-GB"/>
              </w:rPr>
            </w:pPr>
            <w:r w:rsidRPr="005330BD">
              <w:rPr>
                <w:i/>
                <w:iCs/>
                <w:sz w:val="16"/>
                <w:szCs w:val="16"/>
                <w:lang w:val="en-GB"/>
              </w:rPr>
              <w:t>Assessment</w:t>
            </w:r>
          </w:p>
        </w:tc>
        <w:tc>
          <w:tcPr>
            <w:tcW w:w="130" w:type="pct"/>
            <w:tcBorders>
              <w:top w:val="single" w:sz="4" w:space="0" w:color="auto"/>
              <w:left w:val="single" w:sz="4" w:space="0" w:color="auto"/>
              <w:bottom w:val="single" w:sz="4" w:space="0" w:color="auto"/>
              <w:right w:val="single" w:sz="4" w:space="0" w:color="auto"/>
            </w:tcBorders>
            <w:shd w:val="clear" w:color="auto" w:fill="auto"/>
            <w:noWrap/>
            <w:textDirection w:val="btLr"/>
          </w:tcPr>
          <w:p w:rsidR="00001D63" w:rsidRPr="005330BD" w:rsidRDefault="00001D63" w:rsidP="00782860">
            <w:pPr>
              <w:ind w:left="113" w:right="113"/>
              <w:jc w:val="both"/>
              <w:rPr>
                <w:i/>
                <w:iCs/>
                <w:sz w:val="16"/>
                <w:szCs w:val="16"/>
                <w:lang w:val="en-GB"/>
              </w:rPr>
            </w:pPr>
            <w:r w:rsidRPr="005330BD">
              <w:rPr>
                <w:i/>
                <w:iCs/>
                <w:sz w:val="16"/>
                <w:szCs w:val="16"/>
                <w:lang w:val="en-GB"/>
              </w:rPr>
              <w:t>Definition</w:t>
            </w:r>
          </w:p>
        </w:tc>
        <w:tc>
          <w:tcPr>
            <w:tcW w:w="130" w:type="pct"/>
            <w:tcBorders>
              <w:top w:val="single" w:sz="4" w:space="0" w:color="auto"/>
              <w:left w:val="nil"/>
              <w:bottom w:val="single" w:sz="4" w:space="0" w:color="auto"/>
              <w:right w:val="single" w:sz="4" w:space="0" w:color="auto"/>
            </w:tcBorders>
            <w:shd w:val="clear" w:color="auto" w:fill="auto"/>
            <w:noWrap/>
            <w:textDirection w:val="btLr"/>
          </w:tcPr>
          <w:p w:rsidR="00001D63" w:rsidRPr="005330BD" w:rsidRDefault="00001D63" w:rsidP="00782860">
            <w:pPr>
              <w:ind w:left="113" w:right="113"/>
              <w:jc w:val="both"/>
              <w:rPr>
                <w:i/>
                <w:iCs/>
                <w:sz w:val="16"/>
                <w:szCs w:val="16"/>
                <w:lang w:val="en-GB"/>
              </w:rPr>
            </w:pPr>
            <w:r w:rsidRPr="005330BD">
              <w:rPr>
                <w:i/>
                <w:iCs/>
                <w:sz w:val="16"/>
                <w:szCs w:val="16"/>
                <w:lang w:val="en-GB"/>
              </w:rPr>
              <w:t>Validated</w:t>
            </w:r>
          </w:p>
        </w:tc>
        <w:tc>
          <w:tcPr>
            <w:tcW w:w="130" w:type="pct"/>
            <w:tcBorders>
              <w:top w:val="single" w:sz="4" w:space="0" w:color="auto"/>
              <w:left w:val="nil"/>
              <w:bottom w:val="single" w:sz="4" w:space="0" w:color="auto"/>
              <w:right w:val="single" w:sz="4" w:space="0" w:color="auto"/>
            </w:tcBorders>
            <w:shd w:val="clear" w:color="auto" w:fill="auto"/>
            <w:noWrap/>
            <w:textDirection w:val="btLr"/>
          </w:tcPr>
          <w:p w:rsidR="00001D63" w:rsidRPr="005330BD" w:rsidRDefault="00001D63" w:rsidP="00782860">
            <w:pPr>
              <w:ind w:left="113" w:right="113"/>
              <w:jc w:val="both"/>
              <w:rPr>
                <w:i/>
                <w:iCs/>
                <w:sz w:val="16"/>
                <w:szCs w:val="16"/>
                <w:lang w:val="en-GB"/>
              </w:rPr>
            </w:pPr>
            <w:r w:rsidRPr="005330BD">
              <w:rPr>
                <w:i/>
                <w:iCs/>
                <w:sz w:val="16"/>
                <w:szCs w:val="16"/>
                <w:lang w:val="en-GB"/>
              </w:rPr>
              <w:t>Methods</w:t>
            </w:r>
          </w:p>
        </w:tc>
        <w:tc>
          <w:tcPr>
            <w:tcW w:w="130" w:type="pct"/>
            <w:tcBorders>
              <w:top w:val="single" w:sz="4" w:space="0" w:color="auto"/>
              <w:left w:val="nil"/>
              <w:bottom w:val="single" w:sz="4" w:space="0" w:color="auto"/>
              <w:right w:val="single" w:sz="4" w:space="0" w:color="auto"/>
            </w:tcBorders>
            <w:shd w:val="clear" w:color="auto" w:fill="BDD6EE" w:themeFill="accent5" w:themeFillTint="66"/>
            <w:noWrap/>
            <w:textDirection w:val="btLr"/>
          </w:tcPr>
          <w:p w:rsidR="00001D63" w:rsidRPr="005330BD" w:rsidRDefault="00001D63" w:rsidP="00782860">
            <w:pPr>
              <w:ind w:left="113" w:right="113"/>
              <w:jc w:val="both"/>
              <w:rPr>
                <w:i/>
                <w:iCs/>
                <w:sz w:val="16"/>
                <w:szCs w:val="16"/>
                <w:lang w:val="en-GB"/>
              </w:rPr>
            </w:pPr>
            <w:r w:rsidRPr="005330BD">
              <w:rPr>
                <w:i/>
                <w:iCs/>
                <w:sz w:val="16"/>
                <w:szCs w:val="16"/>
                <w:lang w:val="en-GB"/>
              </w:rPr>
              <w:t>Assessment</w:t>
            </w:r>
          </w:p>
        </w:tc>
        <w:tc>
          <w:tcPr>
            <w:tcW w:w="130" w:type="pct"/>
            <w:tcBorders>
              <w:top w:val="single" w:sz="4" w:space="0" w:color="auto"/>
              <w:left w:val="single" w:sz="4" w:space="0" w:color="auto"/>
              <w:bottom w:val="single" w:sz="4" w:space="0" w:color="auto"/>
              <w:right w:val="single" w:sz="4" w:space="0" w:color="auto"/>
            </w:tcBorders>
            <w:shd w:val="clear" w:color="auto" w:fill="auto"/>
            <w:noWrap/>
            <w:textDirection w:val="btLr"/>
          </w:tcPr>
          <w:p w:rsidR="00001D63" w:rsidRPr="005330BD" w:rsidRDefault="00001D63" w:rsidP="00782860">
            <w:pPr>
              <w:ind w:left="113" w:right="113"/>
              <w:jc w:val="both"/>
              <w:rPr>
                <w:i/>
                <w:iCs/>
                <w:sz w:val="16"/>
                <w:szCs w:val="16"/>
                <w:lang w:val="en-GB"/>
              </w:rPr>
            </w:pPr>
            <w:r w:rsidRPr="005330BD">
              <w:rPr>
                <w:i/>
                <w:iCs/>
                <w:sz w:val="16"/>
                <w:szCs w:val="16"/>
                <w:lang w:val="en-GB"/>
              </w:rPr>
              <w:t>Definition</w:t>
            </w:r>
          </w:p>
        </w:tc>
        <w:tc>
          <w:tcPr>
            <w:tcW w:w="130" w:type="pct"/>
            <w:tcBorders>
              <w:top w:val="single" w:sz="4" w:space="0" w:color="auto"/>
              <w:left w:val="nil"/>
              <w:bottom w:val="single" w:sz="4" w:space="0" w:color="auto"/>
              <w:right w:val="single" w:sz="4" w:space="0" w:color="auto"/>
            </w:tcBorders>
            <w:shd w:val="clear" w:color="auto" w:fill="auto"/>
            <w:noWrap/>
            <w:textDirection w:val="btLr"/>
          </w:tcPr>
          <w:p w:rsidR="00001D63" w:rsidRPr="005330BD" w:rsidRDefault="00001D63" w:rsidP="00782860">
            <w:pPr>
              <w:ind w:left="113" w:right="113"/>
              <w:jc w:val="both"/>
              <w:rPr>
                <w:i/>
                <w:iCs/>
                <w:sz w:val="16"/>
                <w:szCs w:val="16"/>
                <w:lang w:val="en-GB"/>
              </w:rPr>
            </w:pPr>
            <w:r w:rsidRPr="005330BD">
              <w:rPr>
                <w:i/>
                <w:iCs/>
                <w:sz w:val="16"/>
                <w:szCs w:val="16"/>
                <w:lang w:val="en-GB"/>
              </w:rPr>
              <w:t>Validated</w:t>
            </w:r>
          </w:p>
        </w:tc>
        <w:tc>
          <w:tcPr>
            <w:tcW w:w="131" w:type="pct"/>
            <w:tcBorders>
              <w:top w:val="single" w:sz="4" w:space="0" w:color="auto"/>
              <w:left w:val="nil"/>
              <w:bottom w:val="single" w:sz="4" w:space="0" w:color="auto"/>
              <w:right w:val="single" w:sz="4" w:space="0" w:color="auto"/>
            </w:tcBorders>
            <w:shd w:val="clear" w:color="auto" w:fill="auto"/>
            <w:noWrap/>
            <w:textDirection w:val="btLr"/>
          </w:tcPr>
          <w:p w:rsidR="00001D63" w:rsidRPr="005330BD" w:rsidRDefault="00001D63" w:rsidP="00782860">
            <w:pPr>
              <w:ind w:left="113" w:right="113"/>
              <w:jc w:val="both"/>
              <w:rPr>
                <w:i/>
                <w:iCs/>
                <w:sz w:val="16"/>
                <w:szCs w:val="16"/>
                <w:lang w:val="en-GB"/>
              </w:rPr>
            </w:pPr>
            <w:r w:rsidRPr="005330BD">
              <w:rPr>
                <w:i/>
                <w:iCs/>
                <w:sz w:val="16"/>
                <w:szCs w:val="16"/>
                <w:lang w:val="en-GB"/>
              </w:rPr>
              <w:t>Methods</w:t>
            </w:r>
          </w:p>
        </w:tc>
        <w:tc>
          <w:tcPr>
            <w:tcW w:w="130" w:type="pct"/>
            <w:tcBorders>
              <w:top w:val="single" w:sz="4" w:space="0" w:color="auto"/>
              <w:left w:val="nil"/>
              <w:bottom w:val="single" w:sz="4" w:space="0" w:color="auto"/>
              <w:right w:val="single" w:sz="4" w:space="0" w:color="auto"/>
            </w:tcBorders>
            <w:shd w:val="clear" w:color="auto" w:fill="BDD6EE" w:themeFill="accent5" w:themeFillTint="66"/>
            <w:noWrap/>
            <w:textDirection w:val="btLr"/>
          </w:tcPr>
          <w:p w:rsidR="00001D63" w:rsidRPr="005330BD" w:rsidRDefault="00001D63" w:rsidP="00782860">
            <w:pPr>
              <w:ind w:left="113" w:right="113"/>
              <w:jc w:val="both"/>
              <w:rPr>
                <w:i/>
                <w:iCs/>
                <w:sz w:val="16"/>
                <w:szCs w:val="16"/>
                <w:lang w:val="en-GB"/>
              </w:rPr>
            </w:pPr>
            <w:r w:rsidRPr="005330BD">
              <w:rPr>
                <w:i/>
                <w:iCs/>
                <w:sz w:val="16"/>
                <w:szCs w:val="16"/>
                <w:lang w:val="en-GB"/>
              </w:rPr>
              <w:t>Assessment</w:t>
            </w:r>
          </w:p>
        </w:tc>
        <w:tc>
          <w:tcPr>
            <w:tcW w:w="130" w:type="pct"/>
            <w:tcBorders>
              <w:top w:val="single" w:sz="4" w:space="0" w:color="auto"/>
              <w:left w:val="single" w:sz="4" w:space="0" w:color="auto"/>
              <w:bottom w:val="single" w:sz="4" w:space="0" w:color="auto"/>
              <w:right w:val="single" w:sz="4" w:space="0" w:color="auto"/>
            </w:tcBorders>
            <w:shd w:val="clear" w:color="auto" w:fill="auto"/>
            <w:noWrap/>
            <w:textDirection w:val="btLr"/>
          </w:tcPr>
          <w:p w:rsidR="00001D63" w:rsidRPr="005330BD" w:rsidRDefault="00001D63" w:rsidP="00782860">
            <w:pPr>
              <w:ind w:left="113" w:right="113"/>
              <w:jc w:val="both"/>
              <w:rPr>
                <w:i/>
                <w:iCs/>
                <w:sz w:val="16"/>
                <w:szCs w:val="16"/>
                <w:lang w:val="en-GB"/>
              </w:rPr>
            </w:pPr>
            <w:r w:rsidRPr="005330BD">
              <w:rPr>
                <w:i/>
                <w:iCs/>
                <w:sz w:val="16"/>
                <w:szCs w:val="16"/>
                <w:lang w:val="en-GB"/>
              </w:rPr>
              <w:t>Measured</w:t>
            </w:r>
          </w:p>
        </w:tc>
        <w:tc>
          <w:tcPr>
            <w:tcW w:w="130" w:type="pct"/>
            <w:tcBorders>
              <w:top w:val="single" w:sz="4" w:space="0" w:color="auto"/>
              <w:left w:val="nil"/>
              <w:bottom w:val="single" w:sz="4" w:space="0" w:color="auto"/>
              <w:right w:val="single" w:sz="4" w:space="0" w:color="auto"/>
            </w:tcBorders>
            <w:shd w:val="clear" w:color="auto" w:fill="auto"/>
            <w:noWrap/>
            <w:textDirection w:val="btLr"/>
          </w:tcPr>
          <w:p w:rsidR="00001D63" w:rsidRPr="005330BD" w:rsidRDefault="00001D63" w:rsidP="00782860">
            <w:pPr>
              <w:ind w:left="113" w:right="113"/>
              <w:jc w:val="both"/>
              <w:rPr>
                <w:i/>
                <w:iCs/>
                <w:sz w:val="16"/>
                <w:szCs w:val="16"/>
                <w:lang w:val="en-GB"/>
              </w:rPr>
            </w:pPr>
            <w:r w:rsidRPr="005330BD">
              <w:rPr>
                <w:i/>
                <w:iCs/>
                <w:sz w:val="16"/>
                <w:szCs w:val="16"/>
                <w:lang w:val="en-GB"/>
              </w:rPr>
              <w:t xml:space="preserve">Definition </w:t>
            </w:r>
          </w:p>
        </w:tc>
        <w:tc>
          <w:tcPr>
            <w:tcW w:w="130" w:type="pct"/>
            <w:tcBorders>
              <w:top w:val="single" w:sz="4" w:space="0" w:color="auto"/>
              <w:left w:val="nil"/>
              <w:bottom w:val="single" w:sz="4" w:space="0" w:color="auto"/>
              <w:right w:val="single" w:sz="4" w:space="0" w:color="auto"/>
            </w:tcBorders>
            <w:shd w:val="clear" w:color="auto" w:fill="auto"/>
            <w:noWrap/>
            <w:textDirection w:val="btLr"/>
          </w:tcPr>
          <w:p w:rsidR="00001D63" w:rsidRPr="005330BD" w:rsidRDefault="00001D63" w:rsidP="00782860">
            <w:pPr>
              <w:ind w:left="113" w:right="113"/>
              <w:jc w:val="both"/>
              <w:rPr>
                <w:i/>
                <w:iCs/>
                <w:sz w:val="16"/>
                <w:szCs w:val="16"/>
                <w:lang w:val="en-GB"/>
              </w:rPr>
            </w:pPr>
            <w:r w:rsidRPr="005330BD">
              <w:rPr>
                <w:i/>
                <w:iCs/>
                <w:sz w:val="16"/>
                <w:szCs w:val="16"/>
                <w:lang w:val="en-GB"/>
              </w:rPr>
              <w:t xml:space="preserve">Reliable  </w:t>
            </w:r>
          </w:p>
        </w:tc>
        <w:tc>
          <w:tcPr>
            <w:tcW w:w="130" w:type="pct"/>
            <w:tcBorders>
              <w:top w:val="single" w:sz="4" w:space="0" w:color="auto"/>
              <w:left w:val="nil"/>
              <w:bottom w:val="single" w:sz="4" w:space="0" w:color="auto"/>
              <w:right w:val="single" w:sz="4" w:space="0" w:color="auto"/>
            </w:tcBorders>
            <w:shd w:val="clear" w:color="auto" w:fill="auto"/>
            <w:noWrap/>
            <w:textDirection w:val="btLr"/>
          </w:tcPr>
          <w:p w:rsidR="00001D63" w:rsidRPr="005330BD" w:rsidRDefault="00001D63" w:rsidP="00782860">
            <w:pPr>
              <w:ind w:left="113" w:right="113"/>
              <w:jc w:val="both"/>
              <w:rPr>
                <w:i/>
                <w:iCs/>
                <w:sz w:val="16"/>
                <w:szCs w:val="16"/>
                <w:lang w:val="en-GB"/>
              </w:rPr>
            </w:pPr>
            <w:r w:rsidRPr="005330BD">
              <w:rPr>
                <w:i/>
                <w:iCs/>
                <w:sz w:val="16"/>
                <w:szCs w:val="16"/>
                <w:lang w:val="en-GB"/>
              </w:rPr>
              <w:t xml:space="preserve">Same </w:t>
            </w:r>
          </w:p>
        </w:tc>
        <w:tc>
          <w:tcPr>
            <w:tcW w:w="130" w:type="pct"/>
            <w:tcBorders>
              <w:top w:val="single" w:sz="4" w:space="0" w:color="auto"/>
              <w:left w:val="nil"/>
              <w:bottom w:val="single" w:sz="4" w:space="0" w:color="auto"/>
              <w:right w:val="single" w:sz="4" w:space="0" w:color="auto"/>
            </w:tcBorders>
            <w:shd w:val="clear" w:color="auto" w:fill="BDD6EE" w:themeFill="accent5" w:themeFillTint="66"/>
            <w:noWrap/>
            <w:textDirection w:val="btLr"/>
          </w:tcPr>
          <w:p w:rsidR="00001D63" w:rsidRPr="005330BD" w:rsidRDefault="00001D63" w:rsidP="00782860">
            <w:pPr>
              <w:ind w:left="113" w:right="113"/>
              <w:jc w:val="both"/>
              <w:rPr>
                <w:i/>
                <w:iCs/>
                <w:sz w:val="16"/>
                <w:szCs w:val="16"/>
                <w:lang w:val="en-GB"/>
              </w:rPr>
            </w:pPr>
            <w:r w:rsidRPr="005330BD">
              <w:rPr>
                <w:i/>
                <w:iCs/>
                <w:sz w:val="16"/>
                <w:szCs w:val="16"/>
                <w:lang w:val="en-GB"/>
              </w:rPr>
              <w:t>Assessment</w:t>
            </w:r>
          </w:p>
        </w:tc>
        <w:tc>
          <w:tcPr>
            <w:tcW w:w="130" w:type="pct"/>
            <w:tcBorders>
              <w:top w:val="single" w:sz="4" w:space="0" w:color="auto"/>
              <w:left w:val="nil"/>
              <w:bottom w:val="single" w:sz="4" w:space="0" w:color="auto"/>
              <w:right w:val="single" w:sz="4" w:space="0" w:color="auto"/>
            </w:tcBorders>
            <w:shd w:val="clear" w:color="auto" w:fill="auto"/>
            <w:noWrap/>
            <w:textDirection w:val="btLr"/>
          </w:tcPr>
          <w:p w:rsidR="00001D63" w:rsidRPr="005330BD" w:rsidRDefault="00001D63" w:rsidP="00782860">
            <w:pPr>
              <w:ind w:left="113" w:right="113"/>
              <w:jc w:val="both"/>
              <w:rPr>
                <w:i/>
                <w:iCs/>
                <w:sz w:val="16"/>
                <w:szCs w:val="16"/>
                <w:lang w:val="en-GB"/>
              </w:rPr>
            </w:pPr>
            <w:r w:rsidRPr="005330BD">
              <w:rPr>
                <w:i/>
                <w:iCs/>
                <w:sz w:val="16"/>
                <w:szCs w:val="16"/>
                <w:lang w:val="en-GB"/>
              </w:rPr>
              <w:t xml:space="preserve">Characteristics </w:t>
            </w:r>
          </w:p>
        </w:tc>
        <w:tc>
          <w:tcPr>
            <w:tcW w:w="130" w:type="pct"/>
            <w:tcBorders>
              <w:top w:val="single" w:sz="4" w:space="0" w:color="auto"/>
              <w:left w:val="nil"/>
              <w:bottom w:val="single" w:sz="4" w:space="0" w:color="auto"/>
              <w:right w:val="single" w:sz="4" w:space="0" w:color="auto"/>
            </w:tcBorders>
            <w:shd w:val="clear" w:color="auto" w:fill="auto"/>
            <w:noWrap/>
            <w:textDirection w:val="btLr"/>
          </w:tcPr>
          <w:p w:rsidR="00001D63" w:rsidRPr="005330BD" w:rsidRDefault="00001D63" w:rsidP="00782860">
            <w:pPr>
              <w:ind w:left="113" w:right="113"/>
              <w:jc w:val="both"/>
              <w:rPr>
                <w:i/>
                <w:iCs/>
                <w:sz w:val="16"/>
                <w:szCs w:val="16"/>
                <w:lang w:val="en-GB"/>
              </w:rPr>
            </w:pPr>
            <w:r w:rsidRPr="005330BD">
              <w:rPr>
                <w:i/>
                <w:iCs/>
                <w:sz w:val="16"/>
                <w:szCs w:val="16"/>
                <w:lang w:val="en-GB"/>
              </w:rPr>
              <w:t xml:space="preserve">Absence </w:t>
            </w:r>
          </w:p>
        </w:tc>
        <w:tc>
          <w:tcPr>
            <w:tcW w:w="131" w:type="pct"/>
            <w:tcBorders>
              <w:top w:val="single" w:sz="4" w:space="0" w:color="auto"/>
              <w:left w:val="nil"/>
              <w:bottom w:val="single" w:sz="4" w:space="0" w:color="auto"/>
              <w:right w:val="single" w:sz="4" w:space="0" w:color="auto"/>
            </w:tcBorders>
            <w:shd w:val="clear" w:color="auto" w:fill="BDD6EE" w:themeFill="accent5" w:themeFillTint="66"/>
            <w:noWrap/>
            <w:textDirection w:val="btLr"/>
          </w:tcPr>
          <w:p w:rsidR="00001D63" w:rsidRPr="005330BD" w:rsidRDefault="00001D63" w:rsidP="00782860">
            <w:pPr>
              <w:ind w:left="113" w:right="113"/>
              <w:jc w:val="both"/>
              <w:rPr>
                <w:i/>
                <w:iCs/>
                <w:sz w:val="16"/>
                <w:szCs w:val="16"/>
                <w:lang w:val="en-GB"/>
              </w:rPr>
            </w:pPr>
            <w:r w:rsidRPr="005330BD">
              <w:rPr>
                <w:i/>
                <w:iCs/>
                <w:sz w:val="16"/>
                <w:szCs w:val="16"/>
                <w:lang w:val="en-GB"/>
              </w:rPr>
              <w:t>Assessment</w:t>
            </w:r>
          </w:p>
        </w:tc>
      </w:tr>
      <w:tr w:rsidR="00001D63" w:rsidRPr="005330BD" w:rsidTr="00782860">
        <w:trPr>
          <w:trHeight w:val="300"/>
        </w:trPr>
        <w:tc>
          <w:tcPr>
            <w:tcW w:w="3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Almagro</w:t>
            </w:r>
          </w:p>
        </w:tc>
        <w:tc>
          <w:tcPr>
            <w:tcW w:w="13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0" w:type="pct"/>
            <w:tcBorders>
              <w:top w:val="single" w:sz="4" w:space="0" w:color="auto"/>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0" w:type="pct"/>
            <w:tcBorders>
              <w:top w:val="single" w:sz="4" w:space="0" w:color="auto"/>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0" w:type="pct"/>
            <w:tcBorders>
              <w:top w:val="single" w:sz="4" w:space="0" w:color="auto"/>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4" w:type="pct"/>
            <w:tcBorders>
              <w:top w:val="single" w:sz="4" w:space="0" w:color="auto"/>
              <w:left w:val="nil"/>
              <w:bottom w:val="single" w:sz="4" w:space="0" w:color="auto"/>
              <w:right w:val="single" w:sz="4" w:space="0" w:color="auto"/>
            </w:tcBorders>
            <w:shd w:val="clear" w:color="auto" w:fill="BDD6EE" w:themeFill="accent5" w:themeFillTint="66"/>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L</w:t>
            </w:r>
          </w:p>
        </w:tc>
        <w:tc>
          <w:tcPr>
            <w:tcW w:w="130" w:type="pct"/>
            <w:tcBorders>
              <w:top w:val="single" w:sz="4" w:space="0" w:color="auto"/>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0" w:type="pct"/>
            <w:tcBorders>
              <w:top w:val="single" w:sz="4" w:space="0" w:color="auto"/>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0" w:type="pct"/>
            <w:tcBorders>
              <w:top w:val="single" w:sz="4" w:space="0" w:color="auto"/>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NR</w:t>
            </w:r>
          </w:p>
        </w:tc>
        <w:tc>
          <w:tcPr>
            <w:tcW w:w="132" w:type="pct"/>
            <w:tcBorders>
              <w:top w:val="single" w:sz="4" w:space="0" w:color="auto"/>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0" w:type="pct"/>
            <w:tcBorders>
              <w:top w:val="single" w:sz="4" w:space="0" w:color="auto"/>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2" w:type="pct"/>
            <w:tcBorders>
              <w:top w:val="single" w:sz="4" w:space="0" w:color="auto"/>
              <w:left w:val="nil"/>
              <w:bottom w:val="single" w:sz="4" w:space="0" w:color="auto"/>
              <w:right w:val="single" w:sz="4" w:space="0" w:color="auto"/>
            </w:tcBorders>
            <w:shd w:val="clear" w:color="auto" w:fill="BDD6EE" w:themeFill="accent5" w:themeFillTint="66"/>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L</w:t>
            </w:r>
          </w:p>
        </w:tc>
        <w:tc>
          <w:tcPr>
            <w:tcW w:w="130" w:type="pct"/>
            <w:tcBorders>
              <w:top w:val="single" w:sz="4" w:space="0" w:color="auto"/>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0" w:type="pct"/>
            <w:tcBorders>
              <w:top w:val="single" w:sz="4" w:space="0" w:color="auto"/>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0" w:type="pct"/>
            <w:tcBorders>
              <w:top w:val="single" w:sz="4" w:space="0" w:color="auto"/>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NR</w:t>
            </w:r>
          </w:p>
        </w:tc>
        <w:tc>
          <w:tcPr>
            <w:tcW w:w="130" w:type="pct"/>
            <w:tcBorders>
              <w:top w:val="single" w:sz="4" w:space="0" w:color="auto"/>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0" w:type="pct"/>
            <w:tcBorders>
              <w:top w:val="single" w:sz="4" w:space="0" w:color="auto"/>
              <w:left w:val="nil"/>
              <w:bottom w:val="single" w:sz="4" w:space="0" w:color="auto"/>
              <w:right w:val="single" w:sz="4" w:space="0" w:color="auto"/>
            </w:tcBorders>
            <w:shd w:val="clear" w:color="auto" w:fill="BDD6EE" w:themeFill="accent5" w:themeFillTint="66"/>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L</w:t>
            </w:r>
          </w:p>
        </w:tc>
        <w:tc>
          <w:tcPr>
            <w:tcW w:w="130" w:type="pct"/>
            <w:tcBorders>
              <w:top w:val="single" w:sz="4" w:space="0" w:color="auto"/>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w:t>
            </w:r>
          </w:p>
        </w:tc>
        <w:tc>
          <w:tcPr>
            <w:tcW w:w="132" w:type="pct"/>
            <w:tcBorders>
              <w:top w:val="single" w:sz="4" w:space="0" w:color="auto"/>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w:t>
            </w:r>
          </w:p>
        </w:tc>
        <w:tc>
          <w:tcPr>
            <w:tcW w:w="130" w:type="pct"/>
            <w:tcBorders>
              <w:top w:val="single" w:sz="4" w:space="0" w:color="auto"/>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w:t>
            </w:r>
          </w:p>
        </w:tc>
        <w:tc>
          <w:tcPr>
            <w:tcW w:w="130" w:type="pct"/>
            <w:tcBorders>
              <w:top w:val="single" w:sz="4" w:space="0" w:color="auto"/>
              <w:left w:val="nil"/>
              <w:bottom w:val="single" w:sz="4" w:space="0" w:color="auto"/>
              <w:right w:val="single" w:sz="4" w:space="0" w:color="auto"/>
            </w:tcBorders>
            <w:shd w:val="clear" w:color="auto" w:fill="BDD6EE" w:themeFill="accent5" w:themeFillTint="66"/>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w:t>
            </w:r>
          </w:p>
        </w:tc>
        <w:tc>
          <w:tcPr>
            <w:tcW w:w="13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0" w:type="pct"/>
            <w:tcBorders>
              <w:top w:val="single" w:sz="4" w:space="0" w:color="auto"/>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NR</w:t>
            </w:r>
          </w:p>
        </w:tc>
        <w:tc>
          <w:tcPr>
            <w:tcW w:w="130" w:type="pct"/>
            <w:tcBorders>
              <w:top w:val="single" w:sz="4" w:space="0" w:color="auto"/>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NR</w:t>
            </w:r>
          </w:p>
        </w:tc>
        <w:tc>
          <w:tcPr>
            <w:tcW w:w="130" w:type="pct"/>
            <w:tcBorders>
              <w:top w:val="single" w:sz="4" w:space="0" w:color="auto"/>
              <w:left w:val="nil"/>
              <w:bottom w:val="single" w:sz="4" w:space="0" w:color="auto"/>
              <w:right w:val="single" w:sz="4" w:space="0" w:color="auto"/>
            </w:tcBorders>
            <w:shd w:val="clear" w:color="auto" w:fill="BDD6EE" w:themeFill="accent5" w:themeFillTint="66"/>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M</w:t>
            </w:r>
          </w:p>
        </w:tc>
        <w:tc>
          <w:tcPr>
            <w:tcW w:w="13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0" w:type="pct"/>
            <w:tcBorders>
              <w:top w:val="single" w:sz="4" w:space="0" w:color="auto"/>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1" w:type="pct"/>
            <w:tcBorders>
              <w:top w:val="single" w:sz="4" w:space="0" w:color="auto"/>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N</w:t>
            </w:r>
          </w:p>
        </w:tc>
        <w:tc>
          <w:tcPr>
            <w:tcW w:w="130" w:type="pct"/>
            <w:tcBorders>
              <w:top w:val="single" w:sz="4" w:space="0" w:color="auto"/>
              <w:left w:val="nil"/>
              <w:bottom w:val="single" w:sz="4" w:space="0" w:color="auto"/>
              <w:right w:val="single" w:sz="4" w:space="0" w:color="auto"/>
            </w:tcBorders>
            <w:shd w:val="clear" w:color="auto" w:fill="BDD6EE" w:themeFill="accent5" w:themeFillTint="66"/>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M</w:t>
            </w:r>
          </w:p>
        </w:tc>
        <w:tc>
          <w:tcPr>
            <w:tcW w:w="13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N</w:t>
            </w:r>
          </w:p>
        </w:tc>
        <w:tc>
          <w:tcPr>
            <w:tcW w:w="130" w:type="pct"/>
            <w:tcBorders>
              <w:top w:val="single" w:sz="4" w:space="0" w:color="auto"/>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0" w:type="pct"/>
            <w:tcBorders>
              <w:top w:val="single" w:sz="4" w:space="0" w:color="auto"/>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0" w:type="pct"/>
            <w:tcBorders>
              <w:top w:val="single" w:sz="4" w:space="0" w:color="auto"/>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N</w:t>
            </w:r>
          </w:p>
        </w:tc>
        <w:tc>
          <w:tcPr>
            <w:tcW w:w="130" w:type="pct"/>
            <w:tcBorders>
              <w:top w:val="single" w:sz="4" w:space="0" w:color="auto"/>
              <w:left w:val="nil"/>
              <w:bottom w:val="single" w:sz="4" w:space="0" w:color="auto"/>
              <w:right w:val="single" w:sz="4" w:space="0" w:color="auto"/>
            </w:tcBorders>
            <w:shd w:val="clear" w:color="auto" w:fill="BDD6EE" w:themeFill="accent5" w:themeFillTint="66"/>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H</w:t>
            </w:r>
          </w:p>
        </w:tc>
        <w:tc>
          <w:tcPr>
            <w:tcW w:w="130" w:type="pct"/>
            <w:tcBorders>
              <w:top w:val="single" w:sz="4" w:space="0" w:color="auto"/>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0" w:type="pct"/>
            <w:tcBorders>
              <w:top w:val="single" w:sz="4" w:space="0" w:color="auto"/>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1" w:type="pct"/>
            <w:tcBorders>
              <w:top w:val="single" w:sz="4" w:space="0" w:color="auto"/>
              <w:left w:val="nil"/>
              <w:bottom w:val="single" w:sz="4" w:space="0" w:color="auto"/>
              <w:right w:val="single" w:sz="4" w:space="0" w:color="auto"/>
            </w:tcBorders>
            <w:shd w:val="clear" w:color="auto" w:fill="BDD6EE" w:themeFill="accent5" w:themeFillTint="66"/>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L</w:t>
            </w:r>
          </w:p>
        </w:tc>
      </w:tr>
      <w:tr w:rsidR="00001D63" w:rsidRPr="005330BD" w:rsidTr="00782860">
        <w:trPr>
          <w:trHeight w:val="300"/>
        </w:trPr>
        <w:tc>
          <w:tcPr>
            <w:tcW w:w="3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Bouquet</w:t>
            </w:r>
          </w:p>
        </w:tc>
        <w:tc>
          <w:tcPr>
            <w:tcW w:w="130" w:type="pct"/>
            <w:tcBorders>
              <w:top w:val="single" w:sz="4" w:space="0" w:color="auto"/>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4" w:type="pct"/>
            <w:tcBorders>
              <w:top w:val="nil"/>
              <w:left w:val="nil"/>
              <w:bottom w:val="single" w:sz="4" w:space="0" w:color="auto"/>
              <w:right w:val="single" w:sz="4" w:space="0" w:color="auto"/>
            </w:tcBorders>
            <w:shd w:val="clear" w:color="auto" w:fill="BDD6EE" w:themeFill="accent5" w:themeFillTint="66"/>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L</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NR</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NR</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NR</w:t>
            </w:r>
          </w:p>
        </w:tc>
        <w:tc>
          <w:tcPr>
            <w:tcW w:w="132"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NR</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NR</w:t>
            </w:r>
          </w:p>
        </w:tc>
        <w:tc>
          <w:tcPr>
            <w:tcW w:w="132" w:type="pct"/>
            <w:tcBorders>
              <w:top w:val="nil"/>
              <w:left w:val="nil"/>
              <w:bottom w:val="single" w:sz="4" w:space="0" w:color="auto"/>
              <w:right w:val="single" w:sz="4" w:space="0" w:color="auto"/>
            </w:tcBorders>
            <w:shd w:val="clear" w:color="auto" w:fill="BDD6EE" w:themeFill="accent5" w:themeFillTint="66"/>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M</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NR</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NR</w:t>
            </w:r>
          </w:p>
        </w:tc>
        <w:tc>
          <w:tcPr>
            <w:tcW w:w="130" w:type="pct"/>
            <w:tcBorders>
              <w:top w:val="nil"/>
              <w:left w:val="nil"/>
              <w:bottom w:val="single" w:sz="4" w:space="0" w:color="auto"/>
              <w:right w:val="single" w:sz="4" w:space="0" w:color="auto"/>
            </w:tcBorders>
            <w:shd w:val="clear" w:color="auto" w:fill="BDD6EE" w:themeFill="accent5" w:themeFillTint="66"/>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L</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N</w:t>
            </w:r>
          </w:p>
        </w:tc>
        <w:tc>
          <w:tcPr>
            <w:tcW w:w="132"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NR</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NR</w:t>
            </w:r>
          </w:p>
        </w:tc>
        <w:tc>
          <w:tcPr>
            <w:tcW w:w="130" w:type="pct"/>
            <w:tcBorders>
              <w:top w:val="nil"/>
              <w:left w:val="nil"/>
              <w:bottom w:val="single" w:sz="4" w:space="0" w:color="auto"/>
              <w:right w:val="single" w:sz="4" w:space="0" w:color="auto"/>
            </w:tcBorders>
            <w:shd w:val="clear" w:color="auto" w:fill="BDD6EE" w:themeFill="accent5" w:themeFillTint="66"/>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M</w:t>
            </w:r>
          </w:p>
        </w:tc>
        <w:tc>
          <w:tcPr>
            <w:tcW w:w="130" w:type="pct"/>
            <w:tcBorders>
              <w:top w:val="nil"/>
              <w:left w:val="single" w:sz="4" w:space="0" w:color="auto"/>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w:t>
            </w:r>
          </w:p>
        </w:tc>
        <w:tc>
          <w:tcPr>
            <w:tcW w:w="130" w:type="pct"/>
            <w:tcBorders>
              <w:top w:val="nil"/>
              <w:left w:val="nil"/>
              <w:bottom w:val="single" w:sz="4" w:space="0" w:color="auto"/>
              <w:right w:val="single" w:sz="4" w:space="0" w:color="auto"/>
            </w:tcBorders>
            <w:shd w:val="clear" w:color="auto" w:fill="BDD6EE" w:themeFill="accent5" w:themeFillTint="66"/>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w:t>
            </w:r>
          </w:p>
        </w:tc>
        <w:tc>
          <w:tcPr>
            <w:tcW w:w="130" w:type="pct"/>
            <w:tcBorders>
              <w:top w:val="nil"/>
              <w:left w:val="single" w:sz="4" w:space="0" w:color="auto"/>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w:t>
            </w:r>
          </w:p>
        </w:tc>
        <w:tc>
          <w:tcPr>
            <w:tcW w:w="131"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w:t>
            </w:r>
          </w:p>
        </w:tc>
        <w:tc>
          <w:tcPr>
            <w:tcW w:w="130" w:type="pct"/>
            <w:tcBorders>
              <w:top w:val="nil"/>
              <w:left w:val="nil"/>
              <w:bottom w:val="single" w:sz="4" w:space="0" w:color="auto"/>
              <w:right w:val="single" w:sz="4" w:space="0" w:color="auto"/>
            </w:tcBorders>
            <w:shd w:val="clear" w:color="auto" w:fill="BDD6EE" w:themeFill="accent5" w:themeFillTint="66"/>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w:t>
            </w:r>
          </w:p>
        </w:tc>
        <w:tc>
          <w:tcPr>
            <w:tcW w:w="130" w:type="pct"/>
            <w:tcBorders>
              <w:top w:val="nil"/>
              <w:left w:val="single" w:sz="4" w:space="0" w:color="auto"/>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N</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NR</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NR</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N</w:t>
            </w:r>
          </w:p>
        </w:tc>
        <w:tc>
          <w:tcPr>
            <w:tcW w:w="130" w:type="pct"/>
            <w:tcBorders>
              <w:top w:val="nil"/>
              <w:left w:val="nil"/>
              <w:bottom w:val="single" w:sz="4" w:space="0" w:color="auto"/>
              <w:right w:val="single" w:sz="4" w:space="0" w:color="auto"/>
            </w:tcBorders>
            <w:shd w:val="clear" w:color="auto" w:fill="BDD6EE" w:themeFill="accent5" w:themeFillTint="66"/>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H</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1" w:type="pct"/>
            <w:tcBorders>
              <w:top w:val="nil"/>
              <w:left w:val="nil"/>
              <w:bottom w:val="single" w:sz="4" w:space="0" w:color="auto"/>
              <w:right w:val="single" w:sz="4" w:space="0" w:color="auto"/>
            </w:tcBorders>
            <w:shd w:val="clear" w:color="auto" w:fill="BDD6EE" w:themeFill="accent5" w:themeFillTint="66"/>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L</w:t>
            </w:r>
          </w:p>
        </w:tc>
      </w:tr>
      <w:tr w:rsidR="00001D63" w:rsidRPr="005330BD" w:rsidTr="00782860">
        <w:trPr>
          <w:trHeight w:val="300"/>
        </w:trPr>
        <w:tc>
          <w:tcPr>
            <w:tcW w:w="3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Boutou</w:t>
            </w:r>
          </w:p>
        </w:tc>
        <w:tc>
          <w:tcPr>
            <w:tcW w:w="130" w:type="pct"/>
            <w:tcBorders>
              <w:top w:val="single" w:sz="4" w:space="0" w:color="auto"/>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NR</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NR</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4" w:type="pct"/>
            <w:tcBorders>
              <w:top w:val="nil"/>
              <w:left w:val="nil"/>
              <w:bottom w:val="single" w:sz="4" w:space="0" w:color="auto"/>
              <w:right w:val="single" w:sz="4" w:space="0" w:color="auto"/>
            </w:tcBorders>
            <w:shd w:val="clear" w:color="auto" w:fill="BDD6EE" w:themeFill="accent5" w:themeFillTint="66"/>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M</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N</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N</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N</w:t>
            </w:r>
          </w:p>
        </w:tc>
        <w:tc>
          <w:tcPr>
            <w:tcW w:w="132"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NR</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N</w:t>
            </w:r>
          </w:p>
        </w:tc>
        <w:tc>
          <w:tcPr>
            <w:tcW w:w="132" w:type="pct"/>
            <w:tcBorders>
              <w:top w:val="nil"/>
              <w:left w:val="nil"/>
              <w:bottom w:val="single" w:sz="4" w:space="0" w:color="auto"/>
              <w:right w:val="single" w:sz="4" w:space="0" w:color="auto"/>
            </w:tcBorders>
            <w:shd w:val="clear" w:color="auto" w:fill="BDD6EE" w:themeFill="accent5" w:themeFillTint="66"/>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H</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N</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NR</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NR</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NR</w:t>
            </w:r>
          </w:p>
        </w:tc>
        <w:tc>
          <w:tcPr>
            <w:tcW w:w="130" w:type="pct"/>
            <w:tcBorders>
              <w:top w:val="nil"/>
              <w:left w:val="nil"/>
              <w:bottom w:val="single" w:sz="4" w:space="0" w:color="auto"/>
              <w:right w:val="single" w:sz="4" w:space="0" w:color="auto"/>
            </w:tcBorders>
            <w:shd w:val="clear" w:color="auto" w:fill="BDD6EE" w:themeFill="accent5" w:themeFillTint="66"/>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L</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w:t>
            </w:r>
          </w:p>
        </w:tc>
        <w:tc>
          <w:tcPr>
            <w:tcW w:w="132"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w:t>
            </w:r>
          </w:p>
        </w:tc>
        <w:tc>
          <w:tcPr>
            <w:tcW w:w="130" w:type="pct"/>
            <w:tcBorders>
              <w:top w:val="nil"/>
              <w:left w:val="nil"/>
              <w:bottom w:val="single" w:sz="4" w:space="0" w:color="auto"/>
              <w:right w:val="single" w:sz="4" w:space="0" w:color="auto"/>
            </w:tcBorders>
            <w:shd w:val="clear" w:color="auto" w:fill="BDD6EE" w:themeFill="accent5" w:themeFillTint="66"/>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w:t>
            </w:r>
          </w:p>
        </w:tc>
        <w:tc>
          <w:tcPr>
            <w:tcW w:w="130" w:type="pct"/>
            <w:tcBorders>
              <w:top w:val="nil"/>
              <w:left w:val="single" w:sz="4" w:space="0" w:color="auto"/>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w:t>
            </w:r>
          </w:p>
        </w:tc>
        <w:tc>
          <w:tcPr>
            <w:tcW w:w="130" w:type="pct"/>
            <w:tcBorders>
              <w:top w:val="nil"/>
              <w:left w:val="nil"/>
              <w:bottom w:val="single" w:sz="4" w:space="0" w:color="auto"/>
              <w:right w:val="single" w:sz="4" w:space="0" w:color="auto"/>
            </w:tcBorders>
            <w:shd w:val="clear" w:color="auto" w:fill="BDD6EE" w:themeFill="accent5" w:themeFillTint="66"/>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w:t>
            </w:r>
          </w:p>
        </w:tc>
        <w:tc>
          <w:tcPr>
            <w:tcW w:w="130" w:type="pct"/>
            <w:tcBorders>
              <w:top w:val="nil"/>
              <w:left w:val="single" w:sz="4" w:space="0" w:color="auto"/>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N</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NR</w:t>
            </w:r>
          </w:p>
        </w:tc>
        <w:tc>
          <w:tcPr>
            <w:tcW w:w="131"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NR</w:t>
            </w:r>
          </w:p>
        </w:tc>
        <w:tc>
          <w:tcPr>
            <w:tcW w:w="130" w:type="pct"/>
            <w:tcBorders>
              <w:top w:val="nil"/>
              <w:left w:val="nil"/>
              <w:bottom w:val="single" w:sz="4" w:space="0" w:color="auto"/>
              <w:right w:val="single" w:sz="4" w:space="0" w:color="auto"/>
            </w:tcBorders>
            <w:shd w:val="clear" w:color="auto" w:fill="BDD6EE" w:themeFill="accent5" w:themeFillTint="66"/>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M</w:t>
            </w:r>
          </w:p>
        </w:tc>
        <w:tc>
          <w:tcPr>
            <w:tcW w:w="130" w:type="pct"/>
            <w:tcBorders>
              <w:top w:val="nil"/>
              <w:left w:val="single" w:sz="4" w:space="0" w:color="auto"/>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N</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NR</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NR</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N</w:t>
            </w:r>
          </w:p>
        </w:tc>
        <w:tc>
          <w:tcPr>
            <w:tcW w:w="130" w:type="pct"/>
            <w:tcBorders>
              <w:top w:val="nil"/>
              <w:left w:val="nil"/>
              <w:bottom w:val="single" w:sz="4" w:space="0" w:color="auto"/>
              <w:right w:val="single" w:sz="4" w:space="0" w:color="auto"/>
            </w:tcBorders>
            <w:shd w:val="clear" w:color="auto" w:fill="BDD6EE" w:themeFill="accent5" w:themeFillTint="66"/>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H</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NR</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N</w:t>
            </w:r>
          </w:p>
        </w:tc>
        <w:tc>
          <w:tcPr>
            <w:tcW w:w="131" w:type="pct"/>
            <w:tcBorders>
              <w:top w:val="nil"/>
              <w:left w:val="nil"/>
              <w:bottom w:val="single" w:sz="4" w:space="0" w:color="auto"/>
              <w:right w:val="single" w:sz="4" w:space="0" w:color="auto"/>
            </w:tcBorders>
            <w:shd w:val="clear" w:color="auto" w:fill="BDD6EE" w:themeFill="accent5" w:themeFillTint="66"/>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M</w:t>
            </w:r>
          </w:p>
        </w:tc>
      </w:tr>
      <w:tr w:rsidR="00001D63" w:rsidRPr="005330BD" w:rsidTr="00782860">
        <w:trPr>
          <w:trHeight w:val="300"/>
        </w:trPr>
        <w:tc>
          <w:tcPr>
            <w:tcW w:w="3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Choi</w:t>
            </w:r>
          </w:p>
        </w:tc>
        <w:tc>
          <w:tcPr>
            <w:tcW w:w="130" w:type="pct"/>
            <w:tcBorders>
              <w:top w:val="single" w:sz="4" w:space="0" w:color="auto"/>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4" w:type="pct"/>
            <w:tcBorders>
              <w:top w:val="nil"/>
              <w:left w:val="nil"/>
              <w:bottom w:val="single" w:sz="4" w:space="0" w:color="auto"/>
              <w:right w:val="single" w:sz="4" w:space="0" w:color="auto"/>
            </w:tcBorders>
            <w:shd w:val="clear" w:color="auto" w:fill="BDD6EE" w:themeFill="accent5" w:themeFillTint="66"/>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L</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NR</w:t>
            </w:r>
          </w:p>
        </w:tc>
        <w:tc>
          <w:tcPr>
            <w:tcW w:w="132"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NR</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2" w:type="pct"/>
            <w:tcBorders>
              <w:top w:val="nil"/>
              <w:left w:val="nil"/>
              <w:bottom w:val="single" w:sz="4" w:space="0" w:color="auto"/>
              <w:right w:val="single" w:sz="4" w:space="0" w:color="auto"/>
            </w:tcBorders>
            <w:shd w:val="clear" w:color="auto" w:fill="BDD6EE" w:themeFill="accent5" w:themeFillTint="66"/>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M</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N</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0" w:type="pct"/>
            <w:tcBorders>
              <w:top w:val="nil"/>
              <w:left w:val="nil"/>
              <w:bottom w:val="single" w:sz="4" w:space="0" w:color="auto"/>
              <w:right w:val="single" w:sz="4" w:space="0" w:color="auto"/>
            </w:tcBorders>
            <w:shd w:val="clear" w:color="auto" w:fill="BDD6EE" w:themeFill="accent5" w:themeFillTint="66"/>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L</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w:t>
            </w:r>
          </w:p>
        </w:tc>
        <w:tc>
          <w:tcPr>
            <w:tcW w:w="132"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w:t>
            </w:r>
          </w:p>
        </w:tc>
        <w:tc>
          <w:tcPr>
            <w:tcW w:w="130" w:type="pct"/>
            <w:tcBorders>
              <w:top w:val="nil"/>
              <w:left w:val="nil"/>
              <w:bottom w:val="single" w:sz="4" w:space="0" w:color="auto"/>
              <w:right w:val="single" w:sz="4" w:space="0" w:color="auto"/>
            </w:tcBorders>
            <w:shd w:val="clear" w:color="auto" w:fill="BDD6EE" w:themeFill="accent5" w:themeFillTint="66"/>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w:t>
            </w:r>
          </w:p>
        </w:tc>
        <w:tc>
          <w:tcPr>
            <w:tcW w:w="130" w:type="pct"/>
            <w:tcBorders>
              <w:top w:val="nil"/>
              <w:left w:val="single" w:sz="4" w:space="0" w:color="auto"/>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NR</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NR</w:t>
            </w:r>
          </w:p>
        </w:tc>
        <w:tc>
          <w:tcPr>
            <w:tcW w:w="130" w:type="pct"/>
            <w:tcBorders>
              <w:top w:val="nil"/>
              <w:left w:val="nil"/>
              <w:bottom w:val="single" w:sz="4" w:space="0" w:color="auto"/>
              <w:right w:val="single" w:sz="4" w:space="0" w:color="auto"/>
            </w:tcBorders>
            <w:shd w:val="clear" w:color="auto" w:fill="BDD6EE" w:themeFill="accent5" w:themeFillTint="66"/>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M</w:t>
            </w:r>
          </w:p>
        </w:tc>
        <w:tc>
          <w:tcPr>
            <w:tcW w:w="130" w:type="pct"/>
            <w:tcBorders>
              <w:top w:val="nil"/>
              <w:left w:val="single" w:sz="4" w:space="0" w:color="auto"/>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w:t>
            </w:r>
          </w:p>
        </w:tc>
        <w:tc>
          <w:tcPr>
            <w:tcW w:w="131"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w:t>
            </w:r>
          </w:p>
        </w:tc>
        <w:tc>
          <w:tcPr>
            <w:tcW w:w="130" w:type="pct"/>
            <w:tcBorders>
              <w:top w:val="nil"/>
              <w:left w:val="nil"/>
              <w:bottom w:val="single" w:sz="4" w:space="0" w:color="auto"/>
              <w:right w:val="single" w:sz="4" w:space="0" w:color="auto"/>
            </w:tcBorders>
            <w:shd w:val="clear" w:color="auto" w:fill="BDD6EE" w:themeFill="accent5" w:themeFillTint="66"/>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w:t>
            </w:r>
          </w:p>
        </w:tc>
        <w:tc>
          <w:tcPr>
            <w:tcW w:w="130" w:type="pct"/>
            <w:tcBorders>
              <w:top w:val="nil"/>
              <w:left w:val="single" w:sz="4" w:space="0" w:color="auto"/>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N</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NR</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NR</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N</w:t>
            </w:r>
          </w:p>
        </w:tc>
        <w:tc>
          <w:tcPr>
            <w:tcW w:w="130" w:type="pct"/>
            <w:tcBorders>
              <w:top w:val="nil"/>
              <w:left w:val="nil"/>
              <w:bottom w:val="single" w:sz="4" w:space="0" w:color="auto"/>
              <w:right w:val="single" w:sz="4" w:space="0" w:color="auto"/>
            </w:tcBorders>
            <w:shd w:val="clear" w:color="auto" w:fill="BDD6EE" w:themeFill="accent5" w:themeFillTint="66"/>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H</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1" w:type="pct"/>
            <w:tcBorders>
              <w:top w:val="nil"/>
              <w:left w:val="nil"/>
              <w:bottom w:val="single" w:sz="4" w:space="0" w:color="auto"/>
              <w:right w:val="single" w:sz="4" w:space="0" w:color="auto"/>
            </w:tcBorders>
            <w:shd w:val="clear" w:color="auto" w:fill="BDD6EE" w:themeFill="accent5" w:themeFillTint="66"/>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L</w:t>
            </w:r>
          </w:p>
        </w:tc>
      </w:tr>
      <w:tr w:rsidR="00001D63" w:rsidRPr="005330BD" w:rsidTr="00782860">
        <w:trPr>
          <w:trHeight w:val="300"/>
        </w:trPr>
        <w:tc>
          <w:tcPr>
            <w:tcW w:w="3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Eklöf</w:t>
            </w:r>
          </w:p>
        </w:tc>
        <w:tc>
          <w:tcPr>
            <w:tcW w:w="13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NR</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4" w:type="pct"/>
            <w:tcBorders>
              <w:top w:val="nil"/>
              <w:left w:val="nil"/>
              <w:bottom w:val="single" w:sz="4" w:space="0" w:color="auto"/>
              <w:right w:val="single" w:sz="4" w:space="0" w:color="auto"/>
            </w:tcBorders>
            <w:shd w:val="clear" w:color="auto" w:fill="BDD6EE" w:themeFill="accent5" w:themeFillTint="66"/>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L</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NR</w:t>
            </w:r>
          </w:p>
        </w:tc>
        <w:tc>
          <w:tcPr>
            <w:tcW w:w="132"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2" w:type="pct"/>
            <w:tcBorders>
              <w:top w:val="nil"/>
              <w:left w:val="nil"/>
              <w:bottom w:val="single" w:sz="4" w:space="0" w:color="auto"/>
              <w:right w:val="single" w:sz="4" w:space="0" w:color="auto"/>
            </w:tcBorders>
            <w:shd w:val="clear" w:color="auto" w:fill="BDD6EE" w:themeFill="accent5" w:themeFillTint="66"/>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L</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0" w:type="pct"/>
            <w:tcBorders>
              <w:top w:val="nil"/>
              <w:left w:val="nil"/>
              <w:bottom w:val="single" w:sz="4" w:space="0" w:color="auto"/>
              <w:right w:val="single" w:sz="4" w:space="0" w:color="auto"/>
            </w:tcBorders>
            <w:shd w:val="clear" w:color="auto" w:fill="BDD6EE" w:themeFill="accent5" w:themeFillTint="66"/>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L</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w:t>
            </w:r>
          </w:p>
        </w:tc>
        <w:tc>
          <w:tcPr>
            <w:tcW w:w="132"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w:t>
            </w:r>
          </w:p>
        </w:tc>
        <w:tc>
          <w:tcPr>
            <w:tcW w:w="130" w:type="pct"/>
            <w:tcBorders>
              <w:top w:val="nil"/>
              <w:left w:val="nil"/>
              <w:bottom w:val="single" w:sz="4" w:space="0" w:color="auto"/>
              <w:right w:val="single" w:sz="4" w:space="0" w:color="auto"/>
            </w:tcBorders>
            <w:shd w:val="clear" w:color="auto" w:fill="BDD6EE" w:themeFill="accent5" w:themeFillTint="66"/>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w:t>
            </w:r>
          </w:p>
        </w:tc>
        <w:tc>
          <w:tcPr>
            <w:tcW w:w="130" w:type="pct"/>
            <w:tcBorders>
              <w:top w:val="nil"/>
              <w:left w:val="single" w:sz="4" w:space="0" w:color="auto"/>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0" w:type="pct"/>
            <w:tcBorders>
              <w:top w:val="nil"/>
              <w:left w:val="nil"/>
              <w:bottom w:val="single" w:sz="4" w:space="0" w:color="auto"/>
              <w:right w:val="single" w:sz="4" w:space="0" w:color="auto"/>
            </w:tcBorders>
            <w:shd w:val="clear" w:color="auto" w:fill="BDD6EE" w:themeFill="accent5" w:themeFillTint="66"/>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L</w:t>
            </w:r>
          </w:p>
        </w:tc>
        <w:tc>
          <w:tcPr>
            <w:tcW w:w="130" w:type="pct"/>
            <w:tcBorders>
              <w:top w:val="nil"/>
              <w:left w:val="single" w:sz="4" w:space="0" w:color="auto"/>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1"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0" w:type="pct"/>
            <w:tcBorders>
              <w:top w:val="nil"/>
              <w:left w:val="nil"/>
              <w:bottom w:val="single" w:sz="4" w:space="0" w:color="auto"/>
              <w:right w:val="single" w:sz="4" w:space="0" w:color="auto"/>
            </w:tcBorders>
            <w:shd w:val="clear" w:color="auto" w:fill="BDD6EE" w:themeFill="accent5" w:themeFillTint="66"/>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L</w:t>
            </w:r>
          </w:p>
        </w:tc>
        <w:tc>
          <w:tcPr>
            <w:tcW w:w="130" w:type="pct"/>
            <w:tcBorders>
              <w:top w:val="nil"/>
              <w:left w:val="single" w:sz="4" w:space="0" w:color="auto"/>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NR</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NR</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N</w:t>
            </w:r>
          </w:p>
        </w:tc>
        <w:tc>
          <w:tcPr>
            <w:tcW w:w="130" w:type="pct"/>
            <w:tcBorders>
              <w:top w:val="nil"/>
              <w:left w:val="nil"/>
              <w:bottom w:val="single" w:sz="4" w:space="0" w:color="auto"/>
              <w:right w:val="single" w:sz="4" w:space="0" w:color="auto"/>
            </w:tcBorders>
            <w:shd w:val="clear" w:color="auto" w:fill="BDD6EE" w:themeFill="accent5" w:themeFillTint="66"/>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M</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1" w:type="pct"/>
            <w:tcBorders>
              <w:top w:val="nil"/>
              <w:left w:val="nil"/>
              <w:bottom w:val="single" w:sz="4" w:space="0" w:color="auto"/>
              <w:right w:val="single" w:sz="4" w:space="0" w:color="auto"/>
            </w:tcBorders>
            <w:shd w:val="clear" w:color="auto" w:fill="BDD6EE" w:themeFill="accent5" w:themeFillTint="66"/>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L</w:t>
            </w:r>
          </w:p>
        </w:tc>
      </w:tr>
      <w:tr w:rsidR="00001D63" w:rsidRPr="005330BD" w:rsidTr="00782860">
        <w:trPr>
          <w:trHeight w:val="300"/>
        </w:trPr>
        <w:tc>
          <w:tcPr>
            <w:tcW w:w="3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Jacobs</w:t>
            </w:r>
          </w:p>
        </w:tc>
        <w:tc>
          <w:tcPr>
            <w:tcW w:w="130" w:type="pct"/>
            <w:tcBorders>
              <w:top w:val="single" w:sz="4" w:space="0" w:color="auto"/>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NR</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4" w:type="pct"/>
            <w:tcBorders>
              <w:top w:val="nil"/>
              <w:left w:val="nil"/>
              <w:bottom w:val="single" w:sz="4" w:space="0" w:color="auto"/>
              <w:right w:val="single" w:sz="4" w:space="0" w:color="auto"/>
            </w:tcBorders>
            <w:shd w:val="clear" w:color="auto" w:fill="BDD6EE" w:themeFill="accent5" w:themeFillTint="66"/>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L</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2"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2" w:type="pct"/>
            <w:tcBorders>
              <w:top w:val="nil"/>
              <w:left w:val="nil"/>
              <w:bottom w:val="single" w:sz="4" w:space="0" w:color="auto"/>
              <w:right w:val="single" w:sz="4" w:space="0" w:color="auto"/>
            </w:tcBorders>
            <w:shd w:val="clear" w:color="auto" w:fill="BDD6EE" w:themeFill="accent5" w:themeFillTint="66"/>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L</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NR</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NR</w:t>
            </w:r>
          </w:p>
        </w:tc>
        <w:tc>
          <w:tcPr>
            <w:tcW w:w="130" w:type="pct"/>
            <w:tcBorders>
              <w:top w:val="nil"/>
              <w:left w:val="nil"/>
              <w:bottom w:val="single" w:sz="4" w:space="0" w:color="auto"/>
              <w:right w:val="single" w:sz="4" w:space="0" w:color="auto"/>
            </w:tcBorders>
            <w:shd w:val="clear" w:color="auto" w:fill="BDD6EE" w:themeFill="accent5" w:themeFillTint="66"/>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L</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2"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0" w:type="pct"/>
            <w:tcBorders>
              <w:top w:val="nil"/>
              <w:left w:val="nil"/>
              <w:bottom w:val="single" w:sz="4" w:space="0" w:color="auto"/>
              <w:right w:val="single" w:sz="4" w:space="0" w:color="auto"/>
            </w:tcBorders>
            <w:shd w:val="clear" w:color="auto" w:fill="BDD6EE" w:themeFill="accent5" w:themeFillTint="66"/>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L</w:t>
            </w:r>
          </w:p>
        </w:tc>
        <w:tc>
          <w:tcPr>
            <w:tcW w:w="130" w:type="pct"/>
            <w:tcBorders>
              <w:top w:val="nil"/>
              <w:left w:val="single" w:sz="4" w:space="0" w:color="auto"/>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N</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NR</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NR</w:t>
            </w:r>
          </w:p>
        </w:tc>
        <w:tc>
          <w:tcPr>
            <w:tcW w:w="130" w:type="pct"/>
            <w:tcBorders>
              <w:top w:val="nil"/>
              <w:left w:val="nil"/>
              <w:bottom w:val="single" w:sz="4" w:space="0" w:color="auto"/>
              <w:right w:val="single" w:sz="4" w:space="0" w:color="auto"/>
            </w:tcBorders>
            <w:shd w:val="clear" w:color="auto" w:fill="BDD6EE" w:themeFill="accent5" w:themeFillTint="66"/>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M</w:t>
            </w:r>
          </w:p>
        </w:tc>
        <w:tc>
          <w:tcPr>
            <w:tcW w:w="130" w:type="pct"/>
            <w:tcBorders>
              <w:top w:val="nil"/>
              <w:left w:val="single" w:sz="4" w:space="0" w:color="auto"/>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N</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NR</w:t>
            </w:r>
          </w:p>
        </w:tc>
        <w:tc>
          <w:tcPr>
            <w:tcW w:w="131"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NR</w:t>
            </w:r>
          </w:p>
        </w:tc>
        <w:tc>
          <w:tcPr>
            <w:tcW w:w="130" w:type="pct"/>
            <w:tcBorders>
              <w:top w:val="nil"/>
              <w:left w:val="nil"/>
              <w:bottom w:val="single" w:sz="4" w:space="0" w:color="auto"/>
              <w:right w:val="single" w:sz="4" w:space="0" w:color="auto"/>
            </w:tcBorders>
            <w:shd w:val="clear" w:color="auto" w:fill="BDD6EE" w:themeFill="accent5" w:themeFillTint="66"/>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M</w:t>
            </w:r>
          </w:p>
        </w:tc>
        <w:tc>
          <w:tcPr>
            <w:tcW w:w="130" w:type="pct"/>
            <w:tcBorders>
              <w:top w:val="nil"/>
              <w:left w:val="single" w:sz="4" w:space="0" w:color="auto"/>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NR</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NR</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N</w:t>
            </w:r>
          </w:p>
        </w:tc>
        <w:tc>
          <w:tcPr>
            <w:tcW w:w="130" w:type="pct"/>
            <w:tcBorders>
              <w:top w:val="nil"/>
              <w:left w:val="nil"/>
              <w:bottom w:val="single" w:sz="4" w:space="0" w:color="auto"/>
              <w:right w:val="single" w:sz="4" w:space="0" w:color="auto"/>
            </w:tcBorders>
            <w:shd w:val="clear" w:color="auto" w:fill="BDD6EE" w:themeFill="accent5" w:themeFillTint="66"/>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M</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0" w:type="pct"/>
            <w:tcBorders>
              <w:top w:val="nil"/>
              <w:left w:val="nil"/>
              <w:bottom w:val="single" w:sz="4" w:space="0" w:color="auto"/>
              <w:right w:val="single" w:sz="4" w:space="0" w:color="auto"/>
            </w:tcBorders>
            <w:shd w:val="clear" w:color="auto" w:fill="auto"/>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1" w:type="pct"/>
            <w:tcBorders>
              <w:top w:val="nil"/>
              <w:left w:val="nil"/>
              <w:bottom w:val="single" w:sz="4" w:space="0" w:color="auto"/>
              <w:right w:val="single" w:sz="4" w:space="0" w:color="auto"/>
            </w:tcBorders>
            <w:shd w:val="clear" w:color="auto" w:fill="BDD6EE" w:themeFill="accent5" w:themeFillTint="66"/>
            <w:noWrap/>
            <w:vAlign w:val="center"/>
            <w:hideMark/>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L</w:t>
            </w:r>
          </w:p>
        </w:tc>
      </w:tr>
      <w:tr w:rsidR="00001D63" w:rsidRPr="005330BD" w:rsidTr="00782860">
        <w:trPr>
          <w:trHeight w:val="300"/>
        </w:trPr>
        <w:tc>
          <w:tcPr>
            <w:tcW w:w="3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Martínez-García</w:t>
            </w:r>
          </w:p>
        </w:tc>
        <w:tc>
          <w:tcPr>
            <w:tcW w:w="130" w:type="pct"/>
            <w:tcBorders>
              <w:top w:val="single" w:sz="4" w:space="0" w:color="auto"/>
              <w:left w:val="nil"/>
              <w:bottom w:val="single" w:sz="4" w:space="0" w:color="auto"/>
              <w:right w:val="single" w:sz="4" w:space="0" w:color="auto"/>
            </w:tcBorders>
            <w:shd w:val="clear" w:color="auto" w:fill="auto"/>
            <w:noWrap/>
            <w:vAlign w:val="center"/>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0" w:type="pct"/>
            <w:tcBorders>
              <w:top w:val="single" w:sz="4" w:space="0" w:color="auto"/>
              <w:left w:val="nil"/>
              <w:bottom w:val="single" w:sz="4" w:space="0" w:color="auto"/>
              <w:right w:val="single" w:sz="4" w:space="0" w:color="auto"/>
            </w:tcBorders>
            <w:shd w:val="clear" w:color="auto" w:fill="auto"/>
            <w:noWrap/>
            <w:vAlign w:val="center"/>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0" w:type="pct"/>
            <w:tcBorders>
              <w:top w:val="single" w:sz="4" w:space="0" w:color="auto"/>
              <w:left w:val="nil"/>
              <w:bottom w:val="single" w:sz="4" w:space="0" w:color="auto"/>
              <w:right w:val="single" w:sz="4" w:space="0" w:color="auto"/>
            </w:tcBorders>
            <w:shd w:val="clear" w:color="auto" w:fill="auto"/>
            <w:noWrap/>
            <w:vAlign w:val="center"/>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0" w:type="pct"/>
            <w:tcBorders>
              <w:top w:val="single" w:sz="4" w:space="0" w:color="auto"/>
              <w:left w:val="nil"/>
              <w:bottom w:val="single" w:sz="4" w:space="0" w:color="auto"/>
              <w:right w:val="single" w:sz="4" w:space="0" w:color="auto"/>
            </w:tcBorders>
            <w:shd w:val="clear" w:color="auto" w:fill="auto"/>
            <w:noWrap/>
            <w:vAlign w:val="center"/>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4" w:type="pct"/>
            <w:tcBorders>
              <w:top w:val="single" w:sz="4" w:space="0" w:color="auto"/>
              <w:left w:val="nil"/>
              <w:bottom w:val="single" w:sz="4" w:space="0" w:color="auto"/>
              <w:right w:val="single" w:sz="4" w:space="0" w:color="auto"/>
            </w:tcBorders>
            <w:shd w:val="clear" w:color="auto" w:fill="BDD6EE" w:themeFill="accent5" w:themeFillTint="66"/>
            <w:noWrap/>
            <w:vAlign w:val="center"/>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L</w:t>
            </w:r>
          </w:p>
        </w:tc>
        <w:tc>
          <w:tcPr>
            <w:tcW w:w="130" w:type="pct"/>
            <w:tcBorders>
              <w:top w:val="single" w:sz="4" w:space="0" w:color="auto"/>
              <w:left w:val="nil"/>
              <w:bottom w:val="single" w:sz="4" w:space="0" w:color="auto"/>
              <w:right w:val="single" w:sz="4" w:space="0" w:color="auto"/>
            </w:tcBorders>
            <w:shd w:val="clear" w:color="auto" w:fill="auto"/>
            <w:noWrap/>
            <w:vAlign w:val="center"/>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0" w:type="pct"/>
            <w:tcBorders>
              <w:top w:val="single" w:sz="4" w:space="0" w:color="auto"/>
              <w:left w:val="nil"/>
              <w:bottom w:val="single" w:sz="4" w:space="0" w:color="auto"/>
              <w:right w:val="single" w:sz="4" w:space="0" w:color="auto"/>
            </w:tcBorders>
            <w:shd w:val="clear" w:color="auto" w:fill="auto"/>
            <w:noWrap/>
            <w:vAlign w:val="center"/>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NR</w:t>
            </w:r>
          </w:p>
        </w:tc>
        <w:tc>
          <w:tcPr>
            <w:tcW w:w="130" w:type="pct"/>
            <w:tcBorders>
              <w:top w:val="single" w:sz="4" w:space="0" w:color="auto"/>
              <w:left w:val="nil"/>
              <w:bottom w:val="single" w:sz="4" w:space="0" w:color="auto"/>
              <w:right w:val="single" w:sz="4" w:space="0" w:color="auto"/>
            </w:tcBorders>
            <w:shd w:val="clear" w:color="auto" w:fill="auto"/>
            <w:noWrap/>
            <w:vAlign w:val="center"/>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NR</w:t>
            </w:r>
          </w:p>
        </w:tc>
        <w:tc>
          <w:tcPr>
            <w:tcW w:w="132" w:type="pct"/>
            <w:tcBorders>
              <w:top w:val="single" w:sz="4" w:space="0" w:color="auto"/>
              <w:left w:val="nil"/>
              <w:bottom w:val="single" w:sz="4" w:space="0" w:color="auto"/>
              <w:right w:val="single" w:sz="4" w:space="0" w:color="auto"/>
            </w:tcBorders>
            <w:shd w:val="clear" w:color="auto" w:fill="auto"/>
            <w:noWrap/>
            <w:vAlign w:val="center"/>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0" w:type="pct"/>
            <w:tcBorders>
              <w:top w:val="single" w:sz="4" w:space="0" w:color="auto"/>
              <w:left w:val="nil"/>
              <w:bottom w:val="single" w:sz="4" w:space="0" w:color="auto"/>
              <w:right w:val="single" w:sz="4" w:space="0" w:color="auto"/>
            </w:tcBorders>
            <w:shd w:val="clear" w:color="auto" w:fill="auto"/>
            <w:noWrap/>
            <w:vAlign w:val="center"/>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2" w:type="pct"/>
            <w:tcBorders>
              <w:top w:val="single" w:sz="4" w:space="0" w:color="auto"/>
              <w:left w:val="nil"/>
              <w:bottom w:val="single" w:sz="4" w:space="0" w:color="auto"/>
              <w:right w:val="single" w:sz="4" w:space="0" w:color="auto"/>
            </w:tcBorders>
            <w:shd w:val="clear" w:color="auto" w:fill="BDD6EE" w:themeFill="accent5" w:themeFillTint="66"/>
            <w:noWrap/>
            <w:vAlign w:val="center"/>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L</w:t>
            </w:r>
          </w:p>
        </w:tc>
        <w:tc>
          <w:tcPr>
            <w:tcW w:w="130" w:type="pct"/>
            <w:tcBorders>
              <w:top w:val="single" w:sz="4" w:space="0" w:color="auto"/>
              <w:left w:val="nil"/>
              <w:bottom w:val="single" w:sz="4" w:space="0" w:color="auto"/>
              <w:right w:val="single" w:sz="4" w:space="0" w:color="auto"/>
            </w:tcBorders>
            <w:shd w:val="clear" w:color="auto" w:fill="auto"/>
            <w:noWrap/>
            <w:vAlign w:val="center"/>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0" w:type="pct"/>
            <w:tcBorders>
              <w:top w:val="single" w:sz="4" w:space="0" w:color="auto"/>
              <w:left w:val="nil"/>
              <w:bottom w:val="single" w:sz="4" w:space="0" w:color="auto"/>
              <w:right w:val="single" w:sz="4" w:space="0" w:color="auto"/>
            </w:tcBorders>
            <w:shd w:val="clear" w:color="auto" w:fill="auto"/>
            <w:noWrap/>
            <w:vAlign w:val="center"/>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0" w:type="pct"/>
            <w:tcBorders>
              <w:top w:val="single" w:sz="4" w:space="0" w:color="auto"/>
              <w:left w:val="nil"/>
              <w:bottom w:val="single" w:sz="4" w:space="0" w:color="auto"/>
              <w:right w:val="single" w:sz="4" w:space="0" w:color="auto"/>
            </w:tcBorders>
            <w:shd w:val="clear" w:color="auto" w:fill="auto"/>
            <w:noWrap/>
            <w:vAlign w:val="center"/>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0" w:type="pct"/>
            <w:tcBorders>
              <w:top w:val="single" w:sz="4" w:space="0" w:color="auto"/>
              <w:left w:val="nil"/>
              <w:bottom w:val="single" w:sz="4" w:space="0" w:color="auto"/>
              <w:right w:val="single" w:sz="4" w:space="0" w:color="auto"/>
            </w:tcBorders>
            <w:shd w:val="clear" w:color="auto" w:fill="auto"/>
            <w:noWrap/>
            <w:vAlign w:val="center"/>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0" w:type="pct"/>
            <w:tcBorders>
              <w:top w:val="single" w:sz="4" w:space="0" w:color="auto"/>
              <w:left w:val="nil"/>
              <w:bottom w:val="single" w:sz="4" w:space="0" w:color="auto"/>
              <w:right w:val="single" w:sz="4" w:space="0" w:color="auto"/>
            </w:tcBorders>
            <w:shd w:val="clear" w:color="auto" w:fill="BDD6EE" w:themeFill="accent5" w:themeFillTint="66"/>
            <w:noWrap/>
            <w:vAlign w:val="center"/>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L</w:t>
            </w:r>
          </w:p>
        </w:tc>
        <w:tc>
          <w:tcPr>
            <w:tcW w:w="130" w:type="pct"/>
            <w:tcBorders>
              <w:top w:val="single" w:sz="4" w:space="0" w:color="auto"/>
              <w:left w:val="nil"/>
              <w:bottom w:val="single" w:sz="4" w:space="0" w:color="auto"/>
              <w:right w:val="single" w:sz="4" w:space="0" w:color="auto"/>
            </w:tcBorders>
            <w:shd w:val="clear" w:color="auto" w:fill="auto"/>
            <w:noWrap/>
            <w:vAlign w:val="center"/>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2" w:type="pct"/>
            <w:tcBorders>
              <w:top w:val="single" w:sz="4" w:space="0" w:color="auto"/>
              <w:left w:val="nil"/>
              <w:bottom w:val="single" w:sz="4" w:space="0" w:color="auto"/>
              <w:right w:val="single" w:sz="4" w:space="0" w:color="auto"/>
            </w:tcBorders>
            <w:shd w:val="clear" w:color="auto" w:fill="auto"/>
            <w:noWrap/>
            <w:vAlign w:val="center"/>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0" w:type="pct"/>
            <w:tcBorders>
              <w:top w:val="single" w:sz="4" w:space="0" w:color="auto"/>
              <w:left w:val="nil"/>
              <w:bottom w:val="single" w:sz="4" w:space="0" w:color="auto"/>
              <w:right w:val="single" w:sz="4" w:space="0" w:color="auto"/>
            </w:tcBorders>
            <w:shd w:val="clear" w:color="auto" w:fill="auto"/>
            <w:noWrap/>
            <w:vAlign w:val="center"/>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0" w:type="pct"/>
            <w:tcBorders>
              <w:top w:val="single" w:sz="4" w:space="0" w:color="auto"/>
              <w:left w:val="nil"/>
              <w:bottom w:val="single" w:sz="4" w:space="0" w:color="auto"/>
              <w:right w:val="single" w:sz="4" w:space="0" w:color="auto"/>
            </w:tcBorders>
            <w:shd w:val="clear" w:color="auto" w:fill="BDD6EE" w:themeFill="accent5" w:themeFillTint="66"/>
            <w:noWrap/>
            <w:vAlign w:val="center"/>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L</w:t>
            </w:r>
          </w:p>
        </w:tc>
        <w:tc>
          <w:tcPr>
            <w:tcW w:w="13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0" w:type="pct"/>
            <w:tcBorders>
              <w:top w:val="single" w:sz="4" w:space="0" w:color="auto"/>
              <w:left w:val="nil"/>
              <w:bottom w:val="single" w:sz="4" w:space="0" w:color="auto"/>
              <w:right w:val="single" w:sz="4" w:space="0" w:color="auto"/>
            </w:tcBorders>
            <w:shd w:val="clear" w:color="auto" w:fill="auto"/>
            <w:noWrap/>
            <w:vAlign w:val="center"/>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NR</w:t>
            </w:r>
          </w:p>
        </w:tc>
        <w:tc>
          <w:tcPr>
            <w:tcW w:w="130" w:type="pct"/>
            <w:tcBorders>
              <w:top w:val="single" w:sz="4" w:space="0" w:color="auto"/>
              <w:left w:val="nil"/>
              <w:bottom w:val="single" w:sz="4" w:space="0" w:color="auto"/>
              <w:right w:val="single" w:sz="4" w:space="0" w:color="auto"/>
            </w:tcBorders>
            <w:shd w:val="clear" w:color="auto" w:fill="auto"/>
            <w:noWrap/>
            <w:vAlign w:val="center"/>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NR</w:t>
            </w:r>
          </w:p>
        </w:tc>
        <w:tc>
          <w:tcPr>
            <w:tcW w:w="130" w:type="pct"/>
            <w:tcBorders>
              <w:top w:val="single" w:sz="4" w:space="0" w:color="auto"/>
              <w:left w:val="nil"/>
              <w:bottom w:val="single" w:sz="4" w:space="0" w:color="auto"/>
              <w:right w:val="single" w:sz="4" w:space="0" w:color="auto"/>
            </w:tcBorders>
            <w:shd w:val="clear" w:color="auto" w:fill="BDD6EE" w:themeFill="accent5" w:themeFillTint="66"/>
            <w:noWrap/>
            <w:vAlign w:val="center"/>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M</w:t>
            </w:r>
          </w:p>
        </w:tc>
        <w:tc>
          <w:tcPr>
            <w:tcW w:w="13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N</w:t>
            </w:r>
          </w:p>
        </w:tc>
        <w:tc>
          <w:tcPr>
            <w:tcW w:w="130" w:type="pct"/>
            <w:tcBorders>
              <w:top w:val="single" w:sz="4" w:space="0" w:color="auto"/>
              <w:left w:val="nil"/>
              <w:bottom w:val="single" w:sz="4" w:space="0" w:color="auto"/>
              <w:right w:val="single" w:sz="4" w:space="0" w:color="auto"/>
            </w:tcBorders>
            <w:shd w:val="clear" w:color="auto" w:fill="auto"/>
            <w:noWrap/>
            <w:vAlign w:val="center"/>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NR</w:t>
            </w:r>
          </w:p>
        </w:tc>
        <w:tc>
          <w:tcPr>
            <w:tcW w:w="131" w:type="pct"/>
            <w:tcBorders>
              <w:top w:val="single" w:sz="4" w:space="0" w:color="auto"/>
              <w:left w:val="nil"/>
              <w:bottom w:val="single" w:sz="4" w:space="0" w:color="auto"/>
              <w:right w:val="single" w:sz="4" w:space="0" w:color="auto"/>
            </w:tcBorders>
            <w:shd w:val="clear" w:color="auto" w:fill="auto"/>
            <w:noWrap/>
            <w:vAlign w:val="center"/>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NR</w:t>
            </w:r>
          </w:p>
        </w:tc>
        <w:tc>
          <w:tcPr>
            <w:tcW w:w="130" w:type="pct"/>
            <w:tcBorders>
              <w:top w:val="single" w:sz="4" w:space="0" w:color="auto"/>
              <w:left w:val="nil"/>
              <w:bottom w:val="single" w:sz="4" w:space="0" w:color="auto"/>
              <w:right w:val="single" w:sz="4" w:space="0" w:color="auto"/>
            </w:tcBorders>
            <w:shd w:val="clear" w:color="auto" w:fill="BDD6EE" w:themeFill="accent5" w:themeFillTint="66"/>
            <w:noWrap/>
            <w:vAlign w:val="center"/>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M</w:t>
            </w:r>
          </w:p>
        </w:tc>
        <w:tc>
          <w:tcPr>
            <w:tcW w:w="13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01D63" w:rsidRPr="005330BD" w:rsidRDefault="00001D63" w:rsidP="00782860">
            <w:pPr>
              <w:jc w:val="both"/>
              <w:rPr>
                <w:rFonts w:eastAsia="Times New Roman" w:cs="Times New Roman"/>
                <w:sz w:val="16"/>
                <w:szCs w:val="16"/>
                <w:highlight w:val="yellow"/>
                <w:lang w:val="en-GB" w:eastAsia="ca-ES"/>
              </w:rPr>
            </w:pPr>
            <w:r w:rsidRPr="005330BD">
              <w:rPr>
                <w:rFonts w:eastAsia="Times New Roman" w:cs="Times New Roman"/>
                <w:sz w:val="16"/>
                <w:szCs w:val="16"/>
                <w:lang w:val="en-GB" w:eastAsia="ca-ES"/>
              </w:rPr>
              <w:t>Y</w:t>
            </w:r>
          </w:p>
        </w:tc>
        <w:tc>
          <w:tcPr>
            <w:tcW w:w="130" w:type="pct"/>
            <w:tcBorders>
              <w:top w:val="single" w:sz="4" w:space="0" w:color="auto"/>
              <w:left w:val="nil"/>
              <w:bottom w:val="single" w:sz="4" w:space="0" w:color="auto"/>
              <w:right w:val="single" w:sz="4" w:space="0" w:color="auto"/>
            </w:tcBorders>
            <w:shd w:val="clear" w:color="auto" w:fill="auto"/>
            <w:noWrap/>
            <w:vAlign w:val="center"/>
          </w:tcPr>
          <w:p w:rsidR="00001D63" w:rsidRPr="005330BD" w:rsidRDefault="00001D63" w:rsidP="00782860">
            <w:pPr>
              <w:jc w:val="both"/>
              <w:rPr>
                <w:rFonts w:eastAsia="Times New Roman" w:cs="Times New Roman"/>
                <w:sz w:val="16"/>
                <w:szCs w:val="16"/>
                <w:highlight w:val="yellow"/>
                <w:lang w:val="en-GB" w:eastAsia="ca-ES"/>
              </w:rPr>
            </w:pPr>
            <w:r w:rsidRPr="005330BD">
              <w:rPr>
                <w:rFonts w:eastAsia="Times New Roman" w:cs="Times New Roman"/>
                <w:sz w:val="16"/>
                <w:szCs w:val="16"/>
                <w:lang w:val="en-GB" w:eastAsia="ca-ES"/>
              </w:rPr>
              <w:t>Y</w:t>
            </w:r>
          </w:p>
        </w:tc>
        <w:tc>
          <w:tcPr>
            <w:tcW w:w="130" w:type="pct"/>
            <w:tcBorders>
              <w:top w:val="single" w:sz="4" w:space="0" w:color="auto"/>
              <w:left w:val="nil"/>
              <w:bottom w:val="single" w:sz="4" w:space="0" w:color="auto"/>
              <w:right w:val="single" w:sz="4" w:space="0" w:color="auto"/>
            </w:tcBorders>
            <w:shd w:val="clear" w:color="auto" w:fill="auto"/>
            <w:noWrap/>
            <w:vAlign w:val="center"/>
          </w:tcPr>
          <w:p w:rsidR="00001D63" w:rsidRPr="005330BD" w:rsidRDefault="00001D63" w:rsidP="00782860">
            <w:pPr>
              <w:jc w:val="both"/>
              <w:rPr>
                <w:rFonts w:eastAsia="Times New Roman" w:cs="Times New Roman"/>
                <w:sz w:val="16"/>
                <w:szCs w:val="16"/>
                <w:highlight w:val="yellow"/>
                <w:lang w:val="en-GB" w:eastAsia="ca-ES"/>
              </w:rPr>
            </w:pPr>
            <w:r w:rsidRPr="005330BD">
              <w:rPr>
                <w:rFonts w:eastAsia="Times New Roman" w:cs="Times New Roman"/>
                <w:sz w:val="16"/>
                <w:szCs w:val="16"/>
                <w:lang w:val="en-GB" w:eastAsia="ca-ES"/>
              </w:rPr>
              <w:t>Y</w:t>
            </w:r>
          </w:p>
        </w:tc>
        <w:tc>
          <w:tcPr>
            <w:tcW w:w="130" w:type="pct"/>
            <w:tcBorders>
              <w:top w:val="single" w:sz="4" w:space="0" w:color="auto"/>
              <w:left w:val="nil"/>
              <w:bottom w:val="single" w:sz="4" w:space="0" w:color="auto"/>
              <w:right w:val="single" w:sz="4" w:space="0" w:color="auto"/>
            </w:tcBorders>
            <w:shd w:val="clear" w:color="auto" w:fill="auto"/>
            <w:noWrap/>
            <w:vAlign w:val="center"/>
          </w:tcPr>
          <w:p w:rsidR="00001D63" w:rsidRPr="005330BD" w:rsidRDefault="00001D63" w:rsidP="00782860">
            <w:pPr>
              <w:jc w:val="both"/>
              <w:rPr>
                <w:rFonts w:eastAsia="Times New Roman" w:cs="Times New Roman"/>
                <w:sz w:val="16"/>
                <w:szCs w:val="16"/>
                <w:highlight w:val="yellow"/>
                <w:lang w:val="en-GB" w:eastAsia="ca-ES"/>
              </w:rPr>
            </w:pPr>
            <w:r w:rsidRPr="005330BD">
              <w:rPr>
                <w:rFonts w:eastAsia="Times New Roman" w:cs="Times New Roman"/>
                <w:sz w:val="16"/>
                <w:szCs w:val="16"/>
                <w:lang w:val="en-GB" w:eastAsia="ca-ES"/>
              </w:rPr>
              <w:t>Y</w:t>
            </w:r>
          </w:p>
        </w:tc>
        <w:tc>
          <w:tcPr>
            <w:tcW w:w="130" w:type="pct"/>
            <w:tcBorders>
              <w:top w:val="single" w:sz="4" w:space="0" w:color="auto"/>
              <w:left w:val="nil"/>
              <w:bottom w:val="single" w:sz="4" w:space="0" w:color="auto"/>
              <w:right w:val="single" w:sz="4" w:space="0" w:color="auto"/>
            </w:tcBorders>
            <w:shd w:val="clear" w:color="auto" w:fill="BDD6EE" w:themeFill="accent5" w:themeFillTint="66"/>
            <w:noWrap/>
            <w:vAlign w:val="center"/>
          </w:tcPr>
          <w:p w:rsidR="00001D63" w:rsidRPr="005330BD" w:rsidRDefault="00001D63" w:rsidP="00782860">
            <w:pPr>
              <w:jc w:val="both"/>
              <w:rPr>
                <w:rFonts w:eastAsia="Times New Roman" w:cs="Times New Roman"/>
                <w:sz w:val="16"/>
                <w:szCs w:val="16"/>
                <w:highlight w:val="yellow"/>
                <w:lang w:val="en-GB" w:eastAsia="ca-ES"/>
              </w:rPr>
            </w:pPr>
            <w:r w:rsidRPr="00001D63">
              <w:rPr>
                <w:rFonts w:eastAsia="Times New Roman" w:cs="Times New Roman"/>
                <w:sz w:val="16"/>
                <w:szCs w:val="16"/>
                <w:lang w:val="en-GB" w:eastAsia="ca-ES"/>
              </w:rPr>
              <w:t>L</w:t>
            </w:r>
          </w:p>
        </w:tc>
        <w:tc>
          <w:tcPr>
            <w:tcW w:w="130" w:type="pct"/>
            <w:tcBorders>
              <w:top w:val="single" w:sz="4" w:space="0" w:color="auto"/>
              <w:left w:val="nil"/>
              <w:bottom w:val="single" w:sz="4" w:space="0" w:color="auto"/>
              <w:right w:val="single" w:sz="4" w:space="0" w:color="auto"/>
            </w:tcBorders>
            <w:shd w:val="clear" w:color="auto" w:fill="auto"/>
            <w:noWrap/>
            <w:vAlign w:val="center"/>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0" w:type="pct"/>
            <w:tcBorders>
              <w:top w:val="single" w:sz="4" w:space="0" w:color="auto"/>
              <w:left w:val="nil"/>
              <w:bottom w:val="single" w:sz="4" w:space="0" w:color="auto"/>
              <w:right w:val="single" w:sz="4" w:space="0" w:color="auto"/>
            </w:tcBorders>
            <w:shd w:val="clear" w:color="auto" w:fill="auto"/>
            <w:noWrap/>
            <w:vAlign w:val="center"/>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1" w:type="pct"/>
            <w:tcBorders>
              <w:top w:val="single" w:sz="4" w:space="0" w:color="auto"/>
              <w:left w:val="nil"/>
              <w:bottom w:val="single" w:sz="4" w:space="0" w:color="auto"/>
              <w:right w:val="single" w:sz="4" w:space="0" w:color="auto"/>
            </w:tcBorders>
            <w:shd w:val="clear" w:color="auto" w:fill="BDD6EE" w:themeFill="accent5" w:themeFillTint="66"/>
            <w:noWrap/>
            <w:vAlign w:val="center"/>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L</w:t>
            </w:r>
          </w:p>
        </w:tc>
      </w:tr>
      <w:tr w:rsidR="00001D63" w:rsidRPr="005330BD" w:rsidTr="00782860">
        <w:trPr>
          <w:trHeight w:val="300"/>
        </w:trPr>
        <w:tc>
          <w:tcPr>
            <w:tcW w:w="3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Rodrigo-Troyano</w:t>
            </w:r>
          </w:p>
        </w:tc>
        <w:tc>
          <w:tcPr>
            <w:tcW w:w="130" w:type="pct"/>
            <w:tcBorders>
              <w:top w:val="single" w:sz="4" w:space="0" w:color="auto"/>
              <w:left w:val="nil"/>
              <w:bottom w:val="single" w:sz="4" w:space="0" w:color="auto"/>
              <w:right w:val="single" w:sz="4" w:space="0" w:color="auto"/>
            </w:tcBorders>
            <w:shd w:val="clear" w:color="auto" w:fill="auto"/>
            <w:noWrap/>
            <w:vAlign w:val="center"/>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0" w:type="pct"/>
            <w:tcBorders>
              <w:top w:val="single" w:sz="4" w:space="0" w:color="auto"/>
              <w:left w:val="nil"/>
              <w:bottom w:val="single" w:sz="4" w:space="0" w:color="auto"/>
              <w:right w:val="single" w:sz="4" w:space="0" w:color="auto"/>
            </w:tcBorders>
            <w:shd w:val="clear" w:color="auto" w:fill="auto"/>
            <w:noWrap/>
            <w:vAlign w:val="center"/>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0" w:type="pct"/>
            <w:tcBorders>
              <w:top w:val="single" w:sz="4" w:space="0" w:color="auto"/>
              <w:left w:val="nil"/>
              <w:bottom w:val="single" w:sz="4" w:space="0" w:color="auto"/>
              <w:right w:val="single" w:sz="4" w:space="0" w:color="auto"/>
            </w:tcBorders>
            <w:shd w:val="clear" w:color="auto" w:fill="auto"/>
            <w:noWrap/>
            <w:vAlign w:val="center"/>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0" w:type="pct"/>
            <w:tcBorders>
              <w:top w:val="single" w:sz="4" w:space="0" w:color="auto"/>
              <w:left w:val="nil"/>
              <w:bottom w:val="single" w:sz="4" w:space="0" w:color="auto"/>
              <w:right w:val="single" w:sz="4" w:space="0" w:color="auto"/>
            </w:tcBorders>
            <w:shd w:val="clear" w:color="auto" w:fill="auto"/>
            <w:noWrap/>
            <w:vAlign w:val="center"/>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4" w:type="pct"/>
            <w:tcBorders>
              <w:top w:val="single" w:sz="4" w:space="0" w:color="auto"/>
              <w:left w:val="nil"/>
              <w:bottom w:val="single" w:sz="4" w:space="0" w:color="auto"/>
              <w:right w:val="single" w:sz="4" w:space="0" w:color="auto"/>
            </w:tcBorders>
            <w:shd w:val="clear" w:color="auto" w:fill="BDD6EE" w:themeFill="accent5" w:themeFillTint="66"/>
            <w:noWrap/>
            <w:vAlign w:val="center"/>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L</w:t>
            </w:r>
          </w:p>
        </w:tc>
        <w:tc>
          <w:tcPr>
            <w:tcW w:w="130" w:type="pct"/>
            <w:tcBorders>
              <w:top w:val="single" w:sz="4" w:space="0" w:color="auto"/>
              <w:left w:val="nil"/>
              <w:bottom w:val="single" w:sz="4" w:space="0" w:color="auto"/>
              <w:right w:val="single" w:sz="4" w:space="0" w:color="auto"/>
            </w:tcBorders>
            <w:shd w:val="clear" w:color="auto" w:fill="auto"/>
            <w:noWrap/>
            <w:vAlign w:val="center"/>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0" w:type="pct"/>
            <w:tcBorders>
              <w:top w:val="single" w:sz="4" w:space="0" w:color="auto"/>
              <w:left w:val="nil"/>
              <w:bottom w:val="single" w:sz="4" w:space="0" w:color="auto"/>
              <w:right w:val="single" w:sz="4" w:space="0" w:color="auto"/>
            </w:tcBorders>
            <w:shd w:val="clear" w:color="auto" w:fill="auto"/>
            <w:noWrap/>
            <w:vAlign w:val="center"/>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0" w:type="pct"/>
            <w:tcBorders>
              <w:top w:val="single" w:sz="4" w:space="0" w:color="auto"/>
              <w:left w:val="nil"/>
              <w:bottom w:val="single" w:sz="4" w:space="0" w:color="auto"/>
              <w:right w:val="single" w:sz="4" w:space="0" w:color="auto"/>
            </w:tcBorders>
            <w:shd w:val="clear" w:color="auto" w:fill="auto"/>
            <w:noWrap/>
            <w:vAlign w:val="center"/>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2" w:type="pct"/>
            <w:tcBorders>
              <w:top w:val="single" w:sz="4" w:space="0" w:color="auto"/>
              <w:left w:val="nil"/>
              <w:bottom w:val="single" w:sz="4" w:space="0" w:color="auto"/>
              <w:right w:val="single" w:sz="4" w:space="0" w:color="auto"/>
            </w:tcBorders>
            <w:shd w:val="clear" w:color="auto" w:fill="auto"/>
            <w:noWrap/>
            <w:vAlign w:val="center"/>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0" w:type="pct"/>
            <w:tcBorders>
              <w:top w:val="single" w:sz="4" w:space="0" w:color="auto"/>
              <w:left w:val="nil"/>
              <w:bottom w:val="single" w:sz="4" w:space="0" w:color="auto"/>
              <w:right w:val="single" w:sz="4" w:space="0" w:color="auto"/>
            </w:tcBorders>
            <w:shd w:val="clear" w:color="auto" w:fill="auto"/>
            <w:noWrap/>
            <w:vAlign w:val="center"/>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N</w:t>
            </w:r>
          </w:p>
        </w:tc>
        <w:tc>
          <w:tcPr>
            <w:tcW w:w="132" w:type="pct"/>
            <w:tcBorders>
              <w:top w:val="single" w:sz="4" w:space="0" w:color="auto"/>
              <w:left w:val="nil"/>
              <w:bottom w:val="single" w:sz="4" w:space="0" w:color="auto"/>
              <w:right w:val="single" w:sz="4" w:space="0" w:color="auto"/>
            </w:tcBorders>
            <w:shd w:val="clear" w:color="auto" w:fill="BDD6EE" w:themeFill="accent5" w:themeFillTint="66"/>
            <w:noWrap/>
            <w:vAlign w:val="center"/>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M</w:t>
            </w:r>
          </w:p>
        </w:tc>
        <w:tc>
          <w:tcPr>
            <w:tcW w:w="130" w:type="pct"/>
            <w:tcBorders>
              <w:top w:val="single" w:sz="4" w:space="0" w:color="auto"/>
              <w:left w:val="nil"/>
              <w:bottom w:val="single" w:sz="4" w:space="0" w:color="auto"/>
              <w:right w:val="single" w:sz="4" w:space="0" w:color="auto"/>
            </w:tcBorders>
            <w:shd w:val="clear" w:color="auto" w:fill="auto"/>
            <w:noWrap/>
            <w:vAlign w:val="center"/>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0" w:type="pct"/>
            <w:tcBorders>
              <w:top w:val="single" w:sz="4" w:space="0" w:color="auto"/>
              <w:left w:val="nil"/>
              <w:bottom w:val="single" w:sz="4" w:space="0" w:color="auto"/>
              <w:right w:val="single" w:sz="4" w:space="0" w:color="auto"/>
            </w:tcBorders>
            <w:shd w:val="clear" w:color="auto" w:fill="auto"/>
            <w:noWrap/>
            <w:vAlign w:val="center"/>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0" w:type="pct"/>
            <w:tcBorders>
              <w:top w:val="single" w:sz="4" w:space="0" w:color="auto"/>
              <w:left w:val="nil"/>
              <w:bottom w:val="single" w:sz="4" w:space="0" w:color="auto"/>
              <w:right w:val="single" w:sz="4" w:space="0" w:color="auto"/>
            </w:tcBorders>
            <w:shd w:val="clear" w:color="auto" w:fill="auto"/>
            <w:noWrap/>
            <w:vAlign w:val="center"/>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0" w:type="pct"/>
            <w:tcBorders>
              <w:top w:val="single" w:sz="4" w:space="0" w:color="auto"/>
              <w:left w:val="nil"/>
              <w:bottom w:val="single" w:sz="4" w:space="0" w:color="auto"/>
              <w:right w:val="single" w:sz="4" w:space="0" w:color="auto"/>
            </w:tcBorders>
            <w:shd w:val="clear" w:color="auto" w:fill="auto"/>
            <w:noWrap/>
            <w:vAlign w:val="center"/>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0" w:type="pct"/>
            <w:tcBorders>
              <w:top w:val="single" w:sz="4" w:space="0" w:color="auto"/>
              <w:left w:val="nil"/>
              <w:bottom w:val="single" w:sz="4" w:space="0" w:color="auto"/>
              <w:right w:val="single" w:sz="4" w:space="0" w:color="auto"/>
            </w:tcBorders>
            <w:shd w:val="clear" w:color="auto" w:fill="BDD6EE" w:themeFill="accent5" w:themeFillTint="66"/>
            <w:noWrap/>
            <w:vAlign w:val="center"/>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L</w:t>
            </w:r>
          </w:p>
        </w:tc>
        <w:tc>
          <w:tcPr>
            <w:tcW w:w="130" w:type="pct"/>
            <w:tcBorders>
              <w:top w:val="single" w:sz="4" w:space="0" w:color="auto"/>
              <w:left w:val="nil"/>
              <w:bottom w:val="single" w:sz="4" w:space="0" w:color="auto"/>
              <w:right w:val="single" w:sz="4" w:space="0" w:color="auto"/>
            </w:tcBorders>
            <w:shd w:val="clear" w:color="auto" w:fill="auto"/>
            <w:noWrap/>
            <w:vAlign w:val="center"/>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xxx</w:t>
            </w:r>
          </w:p>
        </w:tc>
        <w:tc>
          <w:tcPr>
            <w:tcW w:w="132" w:type="pct"/>
            <w:tcBorders>
              <w:top w:val="single" w:sz="4" w:space="0" w:color="auto"/>
              <w:left w:val="nil"/>
              <w:bottom w:val="single" w:sz="4" w:space="0" w:color="auto"/>
              <w:right w:val="single" w:sz="4" w:space="0" w:color="auto"/>
            </w:tcBorders>
            <w:shd w:val="clear" w:color="auto" w:fill="auto"/>
            <w:noWrap/>
            <w:vAlign w:val="center"/>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xxx</w:t>
            </w:r>
          </w:p>
        </w:tc>
        <w:tc>
          <w:tcPr>
            <w:tcW w:w="130" w:type="pct"/>
            <w:tcBorders>
              <w:top w:val="single" w:sz="4" w:space="0" w:color="auto"/>
              <w:left w:val="nil"/>
              <w:bottom w:val="single" w:sz="4" w:space="0" w:color="auto"/>
              <w:right w:val="single" w:sz="4" w:space="0" w:color="auto"/>
            </w:tcBorders>
            <w:shd w:val="clear" w:color="auto" w:fill="auto"/>
            <w:noWrap/>
            <w:vAlign w:val="center"/>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xxx</w:t>
            </w:r>
          </w:p>
        </w:tc>
        <w:tc>
          <w:tcPr>
            <w:tcW w:w="130" w:type="pct"/>
            <w:tcBorders>
              <w:top w:val="single" w:sz="4" w:space="0" w:color="auto"/>
              <w:left w:val="nil"/>
              <w:bottom w:val="single" w:sz="4" w:space="0" w:color="auto"/>
              <w:right w:val="single" w:sz="4" w:space="0" w:color="auto"/>
            </w:tcBorders>
            <w:shd w:val="clear" w:color="auto" w:fill="BDD6EE" w:themeFill="accent5" w:themeFillTint="66"/>
            <w:noWrap/>
            <w:vAlign w:val="center"/>
          </w:tcPr>
          <w:p w:rsidR="00001D63" w:rsidRPr="005330BD" w:rsidRDefault="00001D63" w:rsidP="00782860">
            <w:pPr>
              <w:jc w:val="both"/>
              <w:rPr>
                <w:rFonts w:eastAsia="Times New Roman" w:cs="Times New Roman"/>
                <w:sz w:val="16"/>
                <w:szCs w:val="16"/>
                <w:lang w:val="en-GB" w:eastAsia="ca-ES"/>
              </w:rPr>
            </w:pPr>
          </w:p>
        </w:tc>
        <w:tc>
          <w:tcPr>
            <w:tcW w:w="13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0" w:type="pct"/>
            <w:tcBorders>
              <w:top w:val="single" w:sz="4" w:space="0" w:color="auto"/>
              <w:left w:val="nil"/>
              <w:bottom w:val="single" w:sz="4" w:space="0" w:color="auto"/>
              <w:right w:val="single" w:sz="4" w:space="0" w:color="auto"/>
            </w:tcBorders>
            <w:shd w:val="clear" w:color="auto" w:fill="auto"/>
            <w:noWrap/>
            <w:vAlign w:val="center"/>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NR</w:t>
            </w:r>
          </w:p>
        </w:tc>
        <w:tc>
          <w:tcPr>
            <w:tcW w:w="130" w:type="pct"/>
            <w:tcBorders>
              <w:top w:val="single" w:sz="4" w:space="0" w:color="auto"/>
              <w:left w:val="nil"/>
              <w:bottom w:val="single" w:sz="4" w:space="0" w:color="auto"/>
              <w:right w:val="single" w:sz="4" w:space="0" w:color="auto"/>
            </w:tcBorders>
            <w:shd w:val="clear" w:color="auto" w:fill="auto"/>
            <w:noWrap/>
            <w:vAlign w:val="center"/>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NR</w:t>
            </w:r>
          </w:p>
        </w:tc>
        <w:tc>
          <w:tcPr>
            <w:tcW w:w="130" w:type="pct"/>
            <w:tcBorders>
              <w:top w:val="single" w:sz="4" w:space="0" w:color="auto"/>
              <w:left w:val="nil"/>
              <w:bottom w:val="single" w:sz="4" w:space="0" w:color="auto"/>
              <w:right w:val="single" w:sz="4" w:space="0" w:color="auto"/>
            </w:tcBorders>
            <w:shd w:val="clear" w:color="auto" w:fill="BDD6EE" w:themeFill="accent5" w:themeFillTint="66"/>
            <w:noWrap/>
            <w:vAlign w:val="center"/>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M</w:t>
            </w:r>
          </w:p>
        </w:tc>
        <w:tc>
          <w:tcPr>
            <w:tcW w:w="13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0" w:type="pct"/>
            <w:tcBorders>
              <w:top w:val="single" w:sz="4" w:space="0" w:color="auto"/>
              <w:left w:val="nil"/>
              <w:bottom w:val="single" w:sz="4" w:space="0" w:color="auto"/>
              <w:right w:val="single" w:sz="4" w:space="0" w:color="auto"/>
            </w:tcBorders>
            <w:shd w:val="clear" w:color="auto" w:fill="auto"/>
            <w:noWrap/>
            <w:vAlign w:val="center"/>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1" w:type="pct"/>
            <w:tcBorders>
              <w:top w:val="single" w:sz="4" w:space="0" w:color="auto"/>
              <w:left w:val="nil"/>
              <w:bottom w:val="single" w:sz="4" w:space="0" w:color="auto"/>
              <w:right w:val="single" w:sz="4" w:space="0" w:color="auto"/>
            </w:tcBorders>
            <w:shd w:val="clear" w:color="auto" w:fill="auto"/>
            <w:noWrap/>
            <w:vAlign w:val="center"/>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0" w:type="pct"/>
            <w:tcBorders>
              <w:top w:val="single" w:sz="4" w:space="0" w:color="auto"/>
              <w:left w:val="nil"/>
              <w:bottom w:val="single" w:sz="4" w:space="0" w:color="auto"/>
              <w:right w:val="single" w:sz="4" w:space="0" w:color="auto"/>
            </w:tcBorders>
            <w:shd w:val="clear" w:color="auto" w:fill="BDD6EE" w:themeFill="accent5" w:themeFillTint="66"/>
            <w:noWrap/>
            <w:vAlign w:val="center"/>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L</w:t>
            </w:r>
          </w:p>
        </w:tc>
        <w:tc>
          <w:tcPr>
            <w:tcW w:w="13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N</w:t>
            </w:r>
          </w:p>
        </w:tc>
        <w:tc>
          <w:tcPr>
            <w:tcW w:w="130" w:type="pct"/>
            <w:tcBorders>
              <w:top w:val="single" w:sz="4" w:space="0" w:color="auto"/>
              <w:left w:val="nil"/>
              <w:bottom w:val="single" w:sz="4" w:space="0" w:color="auto"/>
              <w:right w:val="single" w:sz="4" w:space="0" w:color="auto"/>
            </w:tcBorders>
            <w:shd w:val="clear" w:color="auto" w:fill="auto"/>
            <w:noWrap/>
            <w:vAlign w:val="center"/>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NR</w:t>
            </w:r>
          </w:p>
        </w:tc>
        <w:tc>
          <w:tcPr>
            <w:tcW w:w="130" w:type="pct"/>
            <w:tcBorders>
              <w:top w:val="single" w:sz="4" w:space="0" w:color="auto"/>
              <w:left w:val="nil"/>
              <w:bottom w:val="single" w:sz="4" w:space="0" w:color="auto"/>
              <w:right w:val="single" w:sz="4" w:space="0" w:color="auto"/>
            </w:tcBorders>
            <w:shd w:val="clear" w:color="auto" w:fill="auto"/>
            <w:noWrap/>
            <w:vAlign w:val="center"/>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NR</w:t>
            </w:r>
          </w:p>
        </w:tc>
        <w:tc>
          <w:tcPr>
            <w:tcW w:w="130" w:type="pct"/>
            <w:tcBorders>
              <w:top w:val="single" w:sz="4" w:space="0" w:color="auto"/>
              <w:left w:val="nil"/>
              <w:bottom w:val="single" w:sz="4" w:space="0" w:color="auto"/>
              <w:right w:val="single" w:sz="4" w:space="0" w:color="auto"/>
            </w:tcBorders>
            <w:shd w:val="clear" w:color="auto" w:fill="auto"/>
            <w:noWrap/>
            <w:vAlign w:val="center"/>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NR</w:t>
            </w:r>
          </w:p>
        </w:tc>
        <w:tc>
          <w:tcPr>
            <w:tcW w:w="130" w:type="pct"/>
            <w:tcBorders>
              <w:top w:val="single" w:sz="4" w:space="0" w:color="auto"/>
              <w:left w:val="nil"/>
              <w:bottom w:val="single" w:sz="4" w:space="0" w:color="auto"/>
              <w:right w:val="single" w:sz="4" w:space="0" w:color="auto"/>
            </w:tcBorders>
            <w:shd w:val="clear" w:color="auto" w:fill="BDD6EE" w:themeFill="accent5" w:themeFillTint="66"/>
            <w:noWrap/>
            <w:vAlign w:val="center"/>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H</w:t>
            </w:r>
          </w:p>
        </w:tc>
        <w:tc>
          <w:tcPr>
            <w:tcW w:w="130" w:type="pct"/>
            <w:tcBorders>
              <w:top w:val="single" w:sz="4" w:space="0" w:color="auto"/>
              <w:left w:val="nil"/>
              <w:bottom w:val="single" w:sz="4" w:space="0" w:color="auto"/>
              <w:right w:val="single" w:sz="4" w:space="0" w:color="auto"/>
            </w:tcBorders>
            <w:shd w:val="clear" w:color="auto" w:fill="auto"/>
            <w:noWrap/>
            <w:vAlign w:val="center"/>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0" w:type="pct"/>
            <w:tcBorders>
              <w:top w:val="single" w:sz="4" w:space="0" w:color="auto"/>
              <w:left w:val="nil"/>
              <w:bottom w:val="single" w:sz="4" w:space="0" w:color="auto"/>
              <w:right w:val="single" w:sz="4" w:space="0" w:color="auto"/>
            </w:tcBorders>
            <w:shd w:val="clear" w:color="auto" w:fill="auto"/>
            <w:noWrap/>
            <w:vAlign w:val="center"/>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Y</w:t>
            </w:r>
          </w:p>
        </w:tc>
        <w:tc>
          <w:tcPr>
            <w:tcW w:w="131" w:type="pct"/>
            <w:tcBorders>
              <w:top w:val="single" w:sz="4" w:space="0" w:color="auto"/>
              <w:left w:val="nil"/>
              <w:bottom w:val="single" w:sz="4" w:space="0" w:color="auto"/>
              <w:right w:val="single" w:sz="4" w:space="0" w:color="auto"/>
            </w:tcBorders>
            <w:shd w:val="clear" w:color="auto" w:fill="BDD6EE" w:themeFill="accent5" w:themeFillTint="66"/>
            <w:noWrap/>
            <w:vAlign w:val="center"/>
          </w:tcPr>
          <w:p w:rsidR="00001D63" w:rsidRPr="005330BD" w:rsidRDefault="00001D63" w:rsidP="00782860">
            <w:pPr>
              <w:jc w:val="both"/>
              <w:rPr>
                <w:rFonts w:eastAsia="Times New Roman" w:cs="Times New Roman"/>
                <w:sz w:val="16"/>
                <w:szCs w:val="16"/>
                <w:lang w:val="en-GB" w:eastAsia="ca-ES"/>
              </w:rPr>
            </w:pPr>
            <w:r w:rsidRPr="005330BD">
              <w:rPr>
                <w:rFonts w:eastAsia="Times New Roman" w:cs="Times New Roman"/>
                <w:sz w:val="16"/>
                <w:szCs w:val="16"/>
                <w:lang w:val="en-GB" w:eastAsia="ca-ES"/>
              </w:rPr>
              <w:t xml:space="preserve">L </w:t>
            </w:r>
          </w:p>
        </w:tc>
      </w:tr>
    </w:tbl>
    <w:p w:rsidR="00001D63" w:rsidRPr="005330BD" w:rsidRDefault="00001D63" w:rsidP="00001D63">
      <w:pPr>
        <w:jc w:val="both"/>
        <w:rPr>
          <w:lang w:val="en-GB"/>
        </w:rPr>
      </w:pPr>
    </w:p>
    <w:p w:rsidR="00001D63" w:rsidRPr="005330BD" w:rsidRDefault="00001D63" w:rsidP="00001D63">
      <w:pPr>
        <w:jc w:val="both"/>
        <w:rPr>
          <w:lang w:val="en-GB"/>
        </w:rPr>
      </w:pPr>
    </w:p>
    <w:p w:rsidR="00001D63" w:rsidRPr="005330BD" w:rsidRDefault="00001D63" w:rsidP="00001D63">
      <w:pPr>
        <w:jc w:val="both"/>
        <w:rPr>
          <w:lang w:val="en-GB"/>
        </w:rPr>
      </w:pPr>
    </w:p>
    <w:p w:rsidR="00001D63" w:rsidRPr="005330BD" w:rsidRDefault="00001D63" w:rsidP="00001D63">
      <w:pPr>
        <w:jc w:val="both"/>
        <w:rPr>
          <w:lang w:val="en-GB"/>
        </w:rPr>
      </w:pPr>
    </w:p>
    <w:p w:rsidR="00001D63" w:rsidRPr="005330BD" w:rsidRDefault="00001D63" w:rsidP="00001D63">
      <w:pPr>
        <w:jc w:val="both"/>
        <w:rPr>
          <w:lang w:val="en-GB"/>
        </w:rPr>
      </w:pPr>
    </w:p>
    <w:p w:rsidR="006F337A" w:rsidRPr="005330BD" w:rsidRDefault="006F337A" w:rsidP="006F337A">
      <w:pPr>
        <w:pStyle w:val="Ttol2"/>
        <w:jc w:val="both"/>
        <w:rPr>
          <w:rFonts w:asciiTheme="minorHAnsi" w:hAnsiTheme="minorHAnsi"/>
          <w:lang w:val="en-GB"/>
        </w:rPr>
      </w:pPr>
      <w:r>
        <w:rPr>
          <w:rFonts w:asciiTheme="minorHAnsi" w:hAnsiTheme="minorHAnsi"/>
          <w:lang w:val="en-GB"/>
        </w:rPr>
        <w:lastRenderedPageBreak/>
        <w:t xml:space="preserve">Table </w:t>
      </w:r>
      <w:r w:rsidR="00FF550A">
        <w:rPr>
          <w:rFonts w:asciiTheme="minorHAnsi" w:hAnsiTheme="minorHAnsi"/>
          <w:lang w:val="en-GB"/>
        </w:rPr>
        <w:t>S</w:t>
      </w:r>
      <w:r w:rsidR="007703C1">
        <w:rPr>
          <w:rFonts w:asciiTheme="minorHAnsi" w:hAnsiTheme="minorHAnsi"/>
          <w:lang w:val="en-GB"/>
        </w:rPr>
        <w:t>3</w:t>
      </w:r>
      <w:r w:rsidRPr="005330BD">
        <w:rPr>
          <w:rFonts w:asciiTheme="minorHAnsi" w:hAnsiTheme="minorHAnsi"/>
          <w:lang w:val="en-GB"/>
        </w:rPr>
        <w:t>. Characteristics of included studies</w:t>
      </w:r>
      <w:bookmarkEnd w:id="2"/>
      <w:r w:rsidRPr="005330BD">
        <w:rPr>
          <w:rFonts w:asciiTheme="minorHAnsi" w:hAnsiTheme="minorHAnsi"/>
          <w:lang w:val="en-GB"/>
        </w:rPr>
        <w:t xml:space="preserve"> </w:t>
      </w:r>
    </w:p>
    <w:p w:rsidR="006F337A" w:rsidRPr="005330BD" w:rsidRDefault="006F337A" w:rsidP="006F337A">
      <w:pPr>
        <w:pStyle w:val="Ttol3"/>
        <w:jc w:val="both"/>
        <w:rPr>
          <w:rFonts w:asciiTheme="minorHAnsi" w:hAnsiTheme="minorHAnsi"/>
          <w:lang w:val="en-GB"/>
        </w:rPr>
      </w:pPr>
      <w:bookmarkStart w:id="5" w:name="_Toc65674760"/>
      <w:bookmarkStart w:id="6" w:name="_Toc65677680"/>
      <w:bookmarkStart w:id="7" w:name="_Toc66120095"/>
      <w:r w:rsidRPr="005330BD">
        <w:rPr>
          <w:rFonts w:asciiTheme="minorHAnsi" w:hAnsiTheme="minorHAnsi"/>
          <w:lang w:val="en-GB"/>
        </w:rPr>
        <w:t>Almagro 2012</w:t>
      </w:r>
      <w:bookmarkEnd w:id="5"/>
      <w:bookmarkEnd w:id="6"/>
      <w:bookmarkEnd w:id="7"/>
    </w:p>
    <w:tbl>
      <w:tblPr>
        <w:tblW w:w="0" w:type="auto"/>
        <w:tblCellMar>
          <w:top w:w="15" w:type="dxa"/>
          <w:left w:w="15" w:type="dxa"/>
          <w:bottom w:w="15" w:type="dxa"/>
          <w:right w:w="15" w:type="dxa"/>
        </w:tblCellMar>
        <w:tblLook w:val="04A0"/>
      </w:tblPr>
      <w:tblGrid>
        <w:gridCol w:w="1709"/>
        <w:gridCol w:w="12507"/>
      </w:tblGrid>
      <w:tr w:rsidR="006F337A" w:rsidRPr="005330BD" w:rsidTr="00633BFF">
        <w:tc>
          <w:tcPr>
            <w:tcW w:w="0" w:type="auto"/>
            <w:tcBorders>
              <w:top w:val="single" w:sz="4" w:space="0" w:color="000000"/>
              <w:left w:val="single" w:sz="4" w:space="0" w:color="000000"/>
              <w:bottom w:val="single" w:sz="4" w:space="0" w:color="000000"/>
              <w:right w:val="single" w:sz="4" w:space="0" w:color="000000"/>
            </w:tcBorders>
            <w:shd w:val="clear" w:color="auto" w:fill="95B3D7"/>
            <w:tcMar>
              <w:top w:w="0" w:type="dxa"/>
              <w:left w:w="115" w:type="dxa"/>
              <w:bottom w:w="0" w:type="dxa"/>
              <w:right w:w="115" w:type="dxa"/>
            </w:tcMar>
            <w:hideMark/>
          </w:tcPr>
          <w:p w:rsidR="006F337A" w:rsidRPr="005330BD" w:rsidRDefault="006F337A" w:rsidP="00633BFF">
            <w:pPr>
              <w:pStyle w:val="NormalWeb"/>
              <w:spacing w:before="120" w:beforeAutospacing="0" w:after="0" w:afterAutospacing="0"/>
              <w:jc w:val="both"/>
              <w:rPr>
                <w:rFonts w:asciiTheme="minorHAnsi" w:hAnsiTheme="minorHAnsi"/>
                <w:lang w:val="en-GB"/>
              </w:rPr>
            </w:pPr>
            <w:r w:rsidRPr="005330BD">
              <w:rPr>
                <w:rFonts w:asciiTheme="minorHAnsi" w:hAnsiTheme="minorHAnsi"/>
                <w:b/>
                <w:bCs/>
                <w:color w:val="000000"/>
                <w:sz w:val="18"/>
                <w:szCs w:val="18"/>
                <w:lang w:val="en-GB"/>
              </w:rPr>
              <w:t>Study ID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b/>
                <w:bCs/>
                <w:color w:val="000000"/>
                <w:sz w:val="18"/>
                <w:szCs w:val="18"/>
                <w:lang w:val="en-GB"/>
              </w:rPr>
              <w:t>Almagro 2012</w:t>
            </w:r>
          </w:p>
        </w:tc>
      </w:tr>
      <w:tr w:rsidR="006F337A" w:rsidRPr="007D4A32" w:rsidTr="00633BFF">
        <w:tc>
          <w:tcPr>
            <w:tcW w:w="0" w:type="auto"/>
            <w:tcBorders>
              <w:top w:val="single" w:sz="4" w:space="0" w:color="000000"/>
              <w:left w:val="single" w:sz="4" w:space="0" w:color="000000"/>
              <w:bottom w:val="single" w:sz="4" w:space="0" w:color="000000"/>
              <w:right w:val="single" w:sz="4" w:space="0" w:color="000000"/>
            </w:tcBorders>
            <w:shd w:val="clear" w:color="auto" w:fill="95B3D7"/>
            <w:tcMar>
              <w:top w:w="0" w:type="dxa"/>
              <w:left w:w="115" w:type="dxa"/>
              <w:bottom w:w="0" w:type="dxa"/>
              <w:right w:w="115" w:type="dxa"/>
            </w:tcMar>
            <w:hideMark/>
          </w:tcPr>
          <w:p w:rsidR="006F337A" w:rsidRPr="005330BD" w:rsidRDefault="006F337A" w:rsidP="00633BFF">
            <w:pPr>
              <w:pStyle w:val="NormalWeb"/>
              <w:spacing w:before="120" w:beforeAutospacing="0" w:after="0" w:afterAutospacing="0"/>
              <w:jc w:val="both"/>
              <w:rPr>
                <w:rFonts w:asciiTheme="minorHAnsi" w:hAnsiTheme="minorHAnsi"/>
                <w:lang w:val="en-GB"/>
              </w:rPr>
            </w:pPr>
            <w:r w:rsidRPr="005330BD">
              <w:rPr>
                <w:rFonts w:asciiTheme="minorHAnsi" w:hAnsiTheme="minorHAnsi"/>
                <w:b/>
                <w:bCs/>
                <w:color w:val="000000"/>
                <w:sz w:val="18"/>
                <w:szCs w:val="18"/>
                <w:lang w:val="en-GB"/>
              </w:rPr>
              <w:t>Objective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To determine whether PA isolation during hospitalization for COPD exacerbation was associated with a poorer prognosis after discharge independently of other well-known mortality predictors. </w:t>
            </w:r>
          </w:p>
        </w:tc>
      </w:tr>
      <w:tr w:rsidR="006F337A" w:rsidRPr="005330BD" w:rsidTr="00633BFF">
        <w:tc>
          <w:tcPr>
            <w:tcW w:w="0" w:type="auto"/>
            <w:tcBorders>
              <w:top w:val="single" w:sz="4" w:space="0" w:color="000000"/>
              <w:left w:val="single" w:sz="4" w:space="0" w:color="000000"/>
              <w:bottom w:val="single" w:sz="4" w:space="0" w:color="000000"/>
              <w:right w:val="single" w:sz="4" w:space="0" w:color="000000"/>
            </w:tcBorders>
            <w:shd w:val="clear" w:color="auto" w:fill="95B3D7"/>
            <w:tcMar>
              <w:top w:w="0" w:type="dxa"/>
              <w:left w:w="115" w:type="dxa"/>
              <w:bottom w:w="0" w:type="dxa"/>
              <w:right w:w="115" w:type="dxa"/>
            </w:tcMar>
            <w:hideMark/>
          </w:tcPr>
          <w:p w:rsidR="006F337A" w:rsidRPr="005330BD" w:rsidRDefault="006F337A" w:rsidP="00633BFF">
            <w:pPr>
              <w:pStyle w:val="NormalWeb"/>
              <w:spacing w:before="120" w:beforeAutospacing="0" w:after="0" w:afterAutospacing="0"/>
              <w:jc w:val="both"/>
              <w:rPr>
                <w:rFonts w:asciiTheme="minorHAnsi" w:hAnsiTheme="minorHAnsi"/>
                <w:lang w:val="en-GB"/>
              </w:rPr>
            </w:pPr>
            <w:r w:rsidRPr="005330BD">
              <w:rPr>
                <w:rFonts w:asciiTheme="minorHAnsi" w:hAnsiTheme="minorHAnsi"/>
                <w:b/>
                <w:bCs/>
                <w:color w:val="000000"/>
                <w:sz w:val="18"/>
                <w:szCs w:val="18"/>
                <w:lang w:val="en-GB"/>
              </w:rPr>
              <w:t>Design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Prospective study</w:t>
            </w:r>
          </w:p>
        </w:tc>
      </w:tr>
      <w:tr w:rsidR="006F337A" w:rsidRPr="007D4A32" w:rsidTr="00633BFF">
        <w:tc>
          <w:tcPr>
            <w:tcW w:w="0" w:type="auto"/>
            <w:tcBorders>
              <w:top w:val="single" w:sz="4" w:space="0" w:color="000000"/>
              <w:left w:val="single" w:sz="4" w:space="0" w:color="000000"/>
              <w:bottom w:val="single" w:sz="4" w:space="0" w:color="000000"/>
              <w:right w:val="single" w:sz="4" w:space="0" w:color="000000"/>
            </w:tcBorders>
            <w:shd w:val="clear" w:color="auto" w:fill="95B3D7"/>
            <w:tcMar>
              <w:top w:w="0" w:type="dxa"/>
              <w:left w:w="115" w:type="dxa"/>
              <w:bottom w:w="0" w:type="dxa"/>
              <w:right w:w="115" w:type="dxa"/>
            </w:tcMar>
            <w:hideMark/>
          </w:tcPr>
          <w:p w:rsidR="006F337A" w:rsidRPr="005330BD" w:rsidRDefault="006F337A" w:rsidP="00633BFF">
            <w:pPr>
              <w:pStyle w:val="NormalWeb"/>
              <w:spacing w:before="120" w:beforeAutospacing="0" w:after="0" w:afterAutospacing="0"/>
              <w:jc w:val="both"/>
              <w:rPr>
                <w:rFonts w:asciiTheme="minorHAnsi" w:hAnsiTheme="minorHAnsi"/>
                <w:lang w:val="en-GB"/>
              </w:rPr>
            </w:pPr>
            <w:r w:rsidRPr="005330BD">
              <w:rPr>
                <w:rFonts w:asciiTheme="minorHAnsi" w:hAnsiTheme="minorHAnsi"/>
                <w:b/>
                <w:bCs/>
                <w:color w:val="000000"/>
                <w:sz w:val="18"/>
                <w:szCs w:val="18"/>
                <w:lang w:val="en-GB"/>
              </w:rPr>
              <w:t>Study participation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u w:val="single"/>
                <w:lang w:val="en-GB"/>
              </w:rPr>
              <w:t>Study population:</w:t>
            </w:r>
          </w:p>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Cohort of consecutively patients (n=181) hospitalized for acute exacerbation of COPD, followed for up to 3 years after discharge.</w:t>
            </w:r>
          </w:p>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COPD exacerbation was defined according to the Anthonisen criteria (increased dyspnoea, sputum volume and sputum purulence). </w:t>
            </w:r>
          </w:p>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u w:val="single"/>
                <w:lang w:val="en-GB"/>
              </w:rPr>
              <w:t>Inclusion criteria</w:t>
            </w:r>
            <w:r w:rsidRPr="005330BD">
              <w:rPr>
                <w:rFonts w:asciiTheme="minorHAnsi" w:hAnsiTheme="minorHAnsi"/>
                <w:color w:val="000000"/>
                <w:sz w:val="18"/>
                <w:szCs w:val="18"/>
                <w:lang w:val="en-GB"/>
              </w:rPr>
              <w:t>: </w:t>
            </w:r>
          </w:p>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Hospitalization in a medical ward for acute exacerbation of COPD and baseline forced spirometry showing FEV</w:t>
            </w:r>
            <w:r w:rsidRPr="005330BD">
              <w:rPr>
                <w:rFonts w:asciiTheme="minorHAnsi" w:hAnsiTheme="minorHAnsi"/>
                <w:color w:val="000000"/>
                <w:sz w:val="11"/>
                <w:szCs w:val="11"/>
                <w:vertAlign w:val="subscript"/>
                <w:lang w:val="en-GB"/>
              </w:rPr>
              <w:t>1</w:t>
            </w:r>
            <w:r w:rsidRPr="005330BD">
              <w:rPr>
                <w:rFonts w:asciiTheme="minorHAnsi" w:hAnsiTheme="minorHAnsi"/>
                <w:color w:val="000000"/>
                <w:sz w:val="18"/>
                <w:szCs w:val="18"/>
                <w:lang w:val="en-GB"/>
              </w:rPr>
              <w:t xml:space="preserve"> ≤ 70% of the reference value and beta</w:t>
            </w:r>
            <w:r w:rsidRPr="005330BD">
              <w:rPr>
                <w:rFonts w:asciiTheme="minorHAnsi" w:hAnsiTheme="minorHAnsi"/>
                <w:color w:val="000000"/>
                <w:sz w:val="11"/>
                <w:szCs w:val="11"/>
                <w:vertAlign w:val="subscript"/>
                <w:lang w:val="en-GB"/>
              </w:rPr>
              <w:t>2</w:t>
            </w:r>
            <w:r w:rsidRPr="005330BD">
              <w:rPr>
                <w:rFonts w:asciiTheme="minorHAnsi" w:hAnsiTheme="minorHAnsi"/>
                <w:color w:val="000000"/>
                <w:sz w:val="18"/>
                <w:szCs w:val="18"/>
                <w:lang w:val="en-GB"/>
              </w:rPr>
              <w:t>-agonist reversibility of predicted FEV1 of &lt; 15% and/or 200 ml with FEV</w:t>
            </w:r>
            <w:r w:rsidRPr="005330BD">
              <w:rPr>
                <w:rFonts w:asciiTheme="minorHAnsi" w:hAnsiTheme="minorHAnsi"/>
                <w:color w:val="000000"/>
                <w:sz w:val="11"/>
                <w:szCs w:val="11"/>
                <w:vertAlign w:val="subscript"/>
                <w:lang w:val="en-GB"/>
              </w:rPr>
              <w:t>1</w:t>
            </w:r>
            <w:r w:rsidRPr="005330BD">
              <w:rPr>
                <w:rFonts w:asciiTheme="minorHAnsi" w:hAnsiTheme="minorHAnsi"/>
                <w:color w:val="000000"/>
                <w:sz w:val="18"/>
                <w:szCs w:val="18"/>
                <w:lang w:val="en-GB"/>
              </w:rPr>
              <w:t>/forced vital capacity &lt;70%.</w:t>
            </w:r>
          </w:p>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u w:val="single"/>
                <w:lang w:val="en-GB"/>
              </w:rPr>
              <w:t>Exclusion criteria</w:t>
            </w:r>
            <w:r w:rsidRPr="005330BD">
              <w:rPr>
                <w:rFonts w:asciiTheme="minorHAnsi" w:hAnsiTheme="minorHAnsi"/>
                <w:color w:val="000000"/>
                <w:sz w:val="18"/>
                <w:szCs w:val="18"/>
                <w:lang w:val="en-GB"/>
              </w:rPr>
              <w:t>: </w:t>
            </w:r>
          </w:p>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A history of asthma or bronchiectasis as a predominant illness, pneumonia or pulmonary oedema at admission, hospitalization for causes other than acute exacerbation of COPD and patient refusal to participate in the study. Patients who died during initial admission were also excluded.</w:t>
            </w:r>
          </w:p>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u w:val="single"/>
                <w:lang w:val="en-GB"/>
              </w:rPr>
              <w:t>Recruitment period and setting:</w:t>
            </w:r>
          </w:p>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All patients were recruited between June 2003 and September 2004.</w:t>
            </w:r>
          </w:p>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The study was carried out in a 500-bed university hospital in the province of Barcelona, Spain.</w:t>
            </w:r>
          </w:p>
        </w:tc>
      </w:tr>
      <w:tr w:rsidR="006F337A" w:rsidRPr="007D4A32" w:rsidTr="00633BFF">
        <w:trPr>
          <w:trHeight w:val="416"/>
        </w:trPr>
        <w:tc>
          <w:tcPr>
            <w:tcW w:w="0" w:type="auto"/>
            <w:tcBorders>
              <w:top w:val="single" w:sz="4" w:space="0" w:color="000000"/>
              <w:left w:val="single" w:sz="4" w:space="0" w:color="000000"/>
              <w:bottom w:val="single" w:sz="4" w:space="0" w:color="000000"/>
              <w:right w:val="single" w:sz="4" w:space="0" w:color="000000"/>
            </w:tcBorders>
            <w:shd w:val="clear" w:color="auto" w:fill="95B3D7"/>
            <w:tcMar>
              <w:top w:w="0" w:type="dxa"/>
              <w:left w:w="115" w:type="dxa"/>
              <w:bottom w:w="0" w:type="dxa"/>
              <w:right w:w="115" w:type="dxa"/>
            </w:tcMar>
            <w:hideMark/>
          </w:tcPr>
          <w:p w:rsidR="006F337A" w:rsidRPr="005330BD" w:rsidRDefault="006F337A" w:rsidP="00633BFF">
            <w:pPr>
              <w:pStyle w:val="NormalWeb"/>
              <w:spacing w:before="120" w:beforeAutospacing="0" w:after="0" w:afterAutospacing="0"/>
              <w:jc w:val="both"/>
              <w:rPr>
                <w:rFonts w:asciiTheme="minorHAnsi" w:hAnsiTheme="minorHAnsi"/>
                <w:lang w:val="en-GB"/>
              </w:rPr>
            </w:pPr>
            <w:r w:rsidRPr="005330BD">
              <w:rPr>
                <w:rFonts w:asciiTheme="minorHAnsi" w:hAnsiTheme="minorHAnsi"/>
                <w:b/>
                <w:bCs/>
                <w:color w:val="000000"/>
                <w:sz w:val="18"/>
                <w:szCs w:val="18"/>
                <w:lang w:val="en-GB"/>
              </w:rPr>
              <w:t>Follow-up and data collection</w:t>
            </w:r>
          </w:p>
          <w:p w:rsidR="006F337A" w:rsidRPr="005330BD" w:rsidRDefault="006F337A" w:rsidP="00633BFF">
            <w:pPr>
              <w:spacing w:after="240"/>
              <w:jc w:val="both"/>
              <w:rPr>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F337A" w:rsidRPr="005330BD" w:rsidRDefault="006F337A" w:rsidP="00633BFF">
            <w:pPr>
              <w:pStyle w:val="NormalWeb"/>
              <w:spacing w:before="120" w:beforeAutospacing="0" w:after="120" w:afterAutospacing="0"/>
              <w:jc w:val="both"/>
              <w:rPr>
                <w:rFonts w:asciiTheme="minorHAnsi" w:hAnsiTheme="minorHAnsi"/>
                <w:color w:val="000000"/>
                <w:lang w:val="en-GB"/>
              </w:rPr>
            </w:pPr>
            <w:r w:rsidRPr="005330BD">
              <w:rPr>
                <w:rFonts w:asciiTheme="minorHAnsi" w:hAnsiTheme="minorHAnsi"/>
                <w:color w:val="000000"/>
                <w:sz w:val="18"/>
                <w:szCs w:val="18"/>
                <w:lang w:val="en-GB"/>
              </w:rPr>
              <w:t>Comorbidity, functional dependence, hospitalizations during the previous year, dyspnoea, quality of life and other variables previously associated with mortality in COPD were studied and assessed at initial visit. </w:t>
            </w:r>
          </w:p>
        </w:tc>
      </w:tr>
      <w:tr w:rsidR="006F337A" w:rsidRPr="005330BD" w:rsidTr="00633BFF">
        <w:trPr>
          <w:trHeight w:val="1134"/>
        </w:trPr>
        <w:tc>
          <w:tcPr>
            <w:tcW w:w="0" w:type="auto"/>
            <w:tcBorders>
              <w:top w:val="single" w:sz="4" w:space="0" w:color="000000"/>
              <w:left w:val="single" w:sz="4" w:space="0" w:color="000000"/>
              <w:bottom w:val="single" w:sz="4" w:space="0" w:color="000000"/>
              <w:right w:val="single" w:sz="4" w:space="0" w:color="000000"/>
            </w:tcBorders>
            <w:shd w:val="clear" w:color="auto" w:fill="95B3D7"/>
            <w:tcMar>
              <w:top w:w="0" w:type="dxa"/>
              <w:left w:w="115" w:type="dxa"/>
              <w:bottom w:w="0" w:type="dxa"/>
              <w:right w:w="115" w:type="dxa"/>
            </w:tcMar>
            <w:hideMark/>
          </w:tcPr>
          <w:p w:rsidR="006F337A" w:rsidRPr="005330BD" w:rsidRDefault="006F337A" w:rsidP="00633BFF">
            <w:pPr>
              <w:pStyle w:val="NormalWeb"/>
              <w:spacing w:before="120" w:beforeAutospacing="0" w:after="0" w:afterAutospacing="0"/>
              <w:jc w:val="both"/>
              <w:rPr>
                <w:rFonts w:asciiTheme="minorHAnsi" w:hAnsiTheme="minorHAnsi"/>
                <w:lang w:val="en-GB"/>
              </w:rPr>
            </w:pPr>
            <w:r w:rsidRPr="005330BD">
              <w:rPr>
                <w:rFonts w:asciiTheme="minorHAnsi" w:hAnsiTheme="minorHAnsi"/>
                <w:b/>
                <w:bCs/>
                <w:color w:val="000000"/>
                <w:sz w:val="18"/>
                <w:szCs w:val="18"/>
                <w:lang w:val="en-GB"/>
              </w:rPr>
              <w:lastRenderedPageBreak/>
              <w:t>Prognostic Factor</w:t>
            </w:r>
          </w:p>
          <w:p w:rsidR="006F337A" w:rsidRPr="005330BD" w:rsidRDefault="006F337A" w:rsidP="00633BFF">
            <w:pPr>
              <w:pStyle w:val="NormalWeb"/>
              <w:spacing w:before="120" w:beforeAutospacing="0" w:after="0" w:afterAutospacing="0"/>
              <w:jc w:val="both"/>
              <w:rPr>
                <w:rFonts w:asciiTheme="minorHAnsi" w:hAnsiTheme="minorHAnsi"/>
                <w:lang w:val="en-GB"/>
              </w:rPr>
            </w:pPr>
            <w:r w:rsidRPr="005330BD">
              <w:rPr>
                <w:rFonts w:asciiTheme="minorHAnsi" w:hAnsiTheme="minorHAnsi"/>
                <w:b/>
                <w:bCs/>
                <w:color w:val="000000"/>
                <w:sz w:val="18"/>
                <w:szCs w:val="18"/>
                <w:lang w:val="en-GB"/>
              </w:rPr>
              <w:t>Measurement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A sputum culture was obtained at admission and before antibiotic administration. Sputum induction was performed using the usual methods, with a 3% saline nebulizer and respiratory physiotherapy, when required. Only good quality samples ( &lt; 10 squamous epithelial cells and &gt; 25 leukocytes per field) were accepted for processing. Sputum samples were processed microbiologically for semi quantitative culture following accepted laboratory methods (MacConkey agar under aerobic conditions and in chocolate agar and blood agar in an atmosphere containing 5-7% CO</w:t>
            </w:r>
            <w:r w:rsidRPr="005330BD">
              <w:rPr>
                <w:rFonts w:asciiTheme="minorHAnsi" w:hAnsiTheme="minorHAnsi"/>
                <w:color w:val="000000"/>
                <w:sz w:val="11"/>
                <w:szCs w:val="11"/>
                <w:vertAlign w:val="subscript"/>
                <w:lang w:val="en-GB"/>
              </w:rPr>
              <w:t>2</w:t>
            </w:r>
            <w:r w:rsidRPr="005330BD">
              <w:rPr>
                <w:rFonts w:asciiTheme="minorHAnsi" w:hAnsiTheme="minorHAnsi"/>
                <w:color w:val="000000"/>
                <w:sz w:val="18"/>
                <w:szCs w:val="18"/>
                <w:lang w:val="en-GB"/>
              </w:rPr>
              <w:t>. </w:t>
            </w:r>
          </w:p>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Bacterial agents were classified into potential pathogenic microorganisms and non-pathogenic microorganisms. Only pathogenic microorganisms were evaluated.</w:t>
            </w:r>
          </w:p>
        </w:tc>
      </w:tr>
      <w:tr w:rsidR="006F337A" w:rsidRPr="007D4A32" w:rsidTr="00633BFF">
        <w:trPr>
          <w:trHeight w:val="274"/>
        </w:trPr>
        <w:tc>
          <w:tcPr>
            <w:tcW w:w="0" w:type="auto"/>
            <w:tcBorders>
              <w:top w:val="single" w:sz="4" w:space="0" w:color="000000"/>
              <w:left w:val="single" w:sz="4" w:space="0" w:color="000000"/>
              <w:bottom w:val="single" w:sz="4" w:space="0" w:color="000000"/>
              <w:right w:val="single" w:sz="4" w:space="0" w:color="000000"/>
            </w:tcBorders>
            <w:shd w:val="clear" w:color="auto" w:fill="95B3D7"/>
            <w:tcMar>
              <w:top w:w="0" w:type="dxa"/>
              <w:left w:w="115" w:type="dxa"/>
              <w:bottom w:w="0" w:type="dxa"/>
              <w:right w:w="115" w:type="dxa"/>
            </w:tcMar>
            <w:hideMark/>
          </w:tcPr>
          <w:p w:rsidR="006F337A" w:rsidRPr="005330BD" w:rsidRDefault="006F337A" w:rsidP="00633BFF">
            <w:pPr>
              <w:pStyle w:val="NormalWeb"/>
              <w:spacing w:before="120" w:beforeAutospacing="0" w:after="0" w:afterAutospacing="0"/>
              <w:jc w:val="both"/>
              <w:rPr>
                <w:rFonts w:asciiTheme="minorHAnsi" w:hAnsiTheme="minorHAnsi"/>
                <w:lang w:val="en-GB"/>
              </w:rPr>
            </w:pPr>
            <w:r w:rsidRPr="005330BD">
              <w:rPr>
                <w:rFonts w:asciiTheme="minorHAnsi" w:hAnsiTheme="minorHAnsi"/>
                <w:b/>
                <w:bCs/>
                <w:color w:val="000000"/>
                <w:sz w:val="18"/>
                <w:szCs w:val="18"/>
                <w:lang w:val="en-GB"/>
              </w:rPr>
              <w:t>Outcome measurement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Mortality (and respiratory causes of death) was evaluated 3 years after discharge and was ascertained by means of telephone contact (with the patient or family) and/or checking hospital records and the Death Register of Catalonia.</w:t>
            </w:r>
          </w:p>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Number of readmissions was assessed up to 1 year after discharge.</w:t>
            </w:r>
          </w:p>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Spirometry was performed 1 month after discharge. </w:t>
            </w:r>
          </w:p>
        </w:tc>
      </w:tr>
      <w:tr w:rsidR="006F337A" w:rsidRPr="007D4A32" w:rsidTr="00633BFF">
        <w:tc>
          <w:tcPr>
            <w:tcW w:w="0" w:type="auto"/>
            <w:tcBorders>
              <w:top w:val="single" w:sz="4" w:space="0" w:color="000000"/>
              <w:left w:val="single" w:sz="4" w:space="0" w:color="000000"/>
              <w:bottom w:val="single" w:sz="4" w:space="0" w:color="000000"/>
              <w:right w:val="single" w:sz="4" w:space="0" w:color="000000"/>
            </w:tcBorders>
            <w:shd w:val="clear" w:color="auto" w:fill="95B3D7"/>
            <w:tcMar>
              <w:top w:w="0" w:type="dxa"/>
              <w:left w:w="115" w:type="dxa"/>
              <w:bottom w:w="0" w:type="dxa"/>
              <w:right w:w="115" w:type="dxa"/>
            </w:tcMar>
            <w:hideMark/>
          </w:tcPr>
          <w:p w:rsidR="006F337A" w:rsidRPr="005330BD" w:rsidRDefault="006F337A" w:rsidP="00633BFF">
            <w:pPr>
              <w:pStyle w:val="NormalWeb"/>
              <w:spacing w:before="120" w:beforeAutospacing="0" w:after="0" w:afterAutospacing="0"/>
              <w:jc w:val="both"/>
              <w:rPr>
                <w:rFonts w:asciiTheme="minorHAnsi" w:hAnsiTheme="minorHAnsi"/>
                <w:lang w:val="en-GB"/>
              </w:rPr>
            </w:pPr>
            <w:r w:rsidRPr="005330BD">
              <w:rPr>
                <w:rFonts w:asciiTheme="minorHAnsi" w:hAnsiTheme="minorHAnsi"/>
                <w:b/>
                <w:bCs/>
                <w:color w:val="000000"/>
                <w:sz w:val="18"/>
                <w:szCs w:val="18"/>
                <w:lang w:val="en-GB"/>
              </w:rPr>
              <w:t>Statistical analysis</w:t>
            </w:r>
          </w:p>
          <w:p w:rsidR="006F337A" w:rsidRPr="005330BD" w:rsidRDefault="006F337A" w:rsidP="00633BFF">
            <w:pPr>
              <w:jc w:val="both"/>
              <w:rPr>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Multivariate Cox proportional hazard regression models (graphically with Kaplan-Meier curves)</w:t>
            </w:r>
          </w:p>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Adjusted analysis for known and suspected confounders: Age, BODE index, comorbidity (Charlson index)</w:t>
            </w:r>
          </w:p>
        </w:tc>
      </w:tr>
    </w:tbl>
    <w:p w:rsidR="006F337A" w:rsidRPr="005330BD" w:rsidRDefault="006F337A" w:rsidP="006F337A">
      <w:pPr>
        <w:jc w:val="both"/>
        <w:rPr>
          <w:lang w:val="en-GB"/>
        </w:rPr>
      </w:pPr>
    </w:p>
    <w:p w:rsidR="006F337A" w:rsidRPr="005330BD" w:rsidRDefault="006F337A" w:rsidP="006F337A">
      <w:pPr>
        <w:pStyle w:val="Ttol3"/>
        <w:jc w:val="both"/>
        <w:rPr>
          <w:rFonts w:asciiTheme="minorHAnsi" w:hAnsiTheme="minorHAnsi"/>
          <w:lang w:val="en-GB"/>
        </w:rPr>
      </w:pPr>
      <w:bookmarkStart w:id="8" w:name="_Toc65674761"/>
      <w:bookmarkStart w:id="9" w:name="_Toc65677681"/>
      <w:bookmarkStart w:id="10" w:name="_Toc66120096"/>
      <w:r w:rsidRPr="005330BD">
        <w:rPr>
          <w:rFonts w:asciiTheme="minorHAnsi" w:hAnsiTheme="minorHAnsi"/>
          <w:lang w:val="en-GB"/>
        </w:rPr>
        <w:t>Bouquet 2020</w:t>
      </w:r>
      <w:bookmarkEnd w:id="8"/>
      <w:bookmarkEnd w:id="9"/>
      <w:bookmarkEnd w:id="10"/>
    </w:p>
    <w:tbl>
      <w:tblPr>
        <w:tblW w:w="0" w:type="auto"/>
        <w:tblCellMar>
          <w:top w:w="15" w:type="dxa"/>
          <w:left w:w="15" w:type="dxa"/>
          <w:bottom w:w="15" w:type="dxa"/>
          <w:right w:w="15" w:type="dxa"/>
        </w:tblCellMar>
        <w:tblLook w:val="04A0"/>
      </w:tblPr>
      <w:tblGrid>
        <w:gridCol w:w="1708"/>
        <w:gridCol w:w="12508"/>
      </w:tblGrid>
      <w:tr w:rsidR="006F337A" w:rsidRPr="005330BD" w:rsidTr="00633BFF">
        <w:tc>
          <w:tcPr>
            <w:tcW w:w="0" w:type="auto"/>
            <w:tcBorders>
              <w:top w:val="single" w:sz="4" w:space="0" w:color="000000"/>
              <w:left w:val="single" w:sz="4" w:space="0" w:color="000000"/>
              <w:bottom w:val="single" w:sz="4" w:space="0" w:color="000000"/>
              <w:right w:val="single" w:sz="4" w:space="0" w:color="000000"/>
            </w:tcBorders>
            <w:shd w:val="clear" w:color="auto" w:fill="95B3D7"/>
            <w:tcMar>
              <w:top w:w="0" w:type="dxa"/>
              <w:left w:w="115" w:type="dxa"/>
              <w:bottom w:w="0" w:type="dxa"/>
              <w:right w:w="115" w:type="dxa"/>
            </w:tcMar>
            <w:hideMark/>
          </w:tcPr>
          <w:p w:rsidR="006F337A" w:rsidRPr="005330BD" w:rsidRDefault="006F337A" w:rsidP="00633BFF">
            <w:pPr>
              <w:pStyle w:val="NormalWeb"/>
              <w:spacing w:before="120" w:beforeAutospacing="0" w:after="0" w:afterAutospacing="0"/>
              <w:jc w:val="both"/>
              <w:rPr>
                <w:rFonts w:asciiTheme="minorHAnsi" w:hAnsiTheme="minorHAnsi"/>
                <w:lang w:val="en-GB"/>
              </w:rPr>
            </w:pPr>
            <w:r w:rsidRPr="005330BD">
              <w:rPr>
                <w:rFonts w:asciiTheme="minorHAnsi" w:hAnsiTheme="minorHAnsi"/>
                <w:b/>
                <w:bCs/>
                <w:color w:val="000000"/>
                <w:sz w:val="18"/>
                <w:szCs w:val="18"/>
                <w:lang w:val="en-GB"/>
              </w:rPr>
              <w:t>Study ID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b/>
                <w:bCs/>
                <w:color w:val="000000"/>
                <w:sz w:val="18"/>
                <w:szCs w:val="18"/>
                <w:lang w:val="en-GB"/>
              </w:rPr>
              <w:t>Bouquet 2020 </w:t>
            </w:r>
          </w:p>
        </w:tc>
      </w:tr>
      <w:tr w:rsidR="006F337A" w:rsidRPr="007D4A32" w:rsidTr="00633BFF">
        <w:tc>
          <w:tcPr>
            <w:tcW w:w="0" w:type="auto"/>
            <w:tcBorders>
              <w:top w:val="single" w:sz="4" w:space="0" w:color="000000"/>
              <w:left w:val="single" w:sz="4" w:space="0" w:color="000000"/>
              <w:bottom w:val="single" w:sz="4" w:space="0" w:color="000000"/>
              <w:right w:val="single" w:sz="4" w:space="0" w:color="000000"/>
            </w:tcBorders>
            <w:shd w:val="clear" w:color="auto" w:fill="95B3D7"/>
            <w:tcMar>
              <w:top w:w="0" w:type="dxa"/>
              <w:left w:w="115" w:type="dxa"/>
              <w:bottom w:w="0" w:type="dxa"/>
              <w:right w:w="115" w:type="dxa"/>
            </w:tcMar>
            <w:hideMark/>
          </w:tcPr>
          <w:p w:rsidR="006F337A" w:rsidRPr="005330BD" w:rsidRDefault="006F337A" w:rsidP="00633BFF">
            <w:pPr>
              <w:pStyle w:val="NormalWeb"/>
              <w:spacing w:before="120" w:beforeAutospacing="0" w:after="0" w:afterAutospacing="0"/>
              <w:jc w:val="both"/>
              <w:rPr>
                <w:rFonts w:asciiTheme="minorHAnsi" w:hAnsiTheme="minorHAnsi"/>
                <w:lang w:val="en-GB"/>
              </w:rPr>
            </w:pPr>
            <w:r w:rsidRPr="005330BD">
              <w:rPr>
                <w:rFonts w:asciiTheme="minorHAnsi" w:hAnsiTheme="minorHAnsi"/>
                <w:b/>
                <w:bCs/>
                <w:color w:val="000000"/>
                <w:sz w:val="18"/>
                <w:szCs w:val="18"/>
                <w:lang w:val="en-GB"/>
              </w:rPr>
              <w:t>Objective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To determine the influence of viral infections on the frequency of exacerbations.</w:t>
            </w:r>
          </w:p>
        </w:tc>
      </w:tr>
      <w:tr w:rsidR="006F337A" w:rsidRPr="005330BD" w:rsidTr="00633BFF">
        <w:tc>
          <w:tcPr>
            <w:tcW w:w="0" w:type="auto"/>
            <w:tcBorders>
              <w:top w:val="single" w:sz="4" w:space="0" w:color="000000"/>
              <w:left w:val="single" w:sz="4" w:space="0" w:color="000000"/>
              <w:bottom w:val="single" w:sz="4" w:space="0" w:color="000000"/>
              <w:right w:val="single" w:sz="4" w:space="0" w:color="000000"/>
            </w:tcBorders>
            <w:shd w:val="clear" w:color="auto" w:fill="95B3D7"/>
            <w:tcMar>
              <w:top w:w="0" w:type="dxa"/>
              <w:left w:w="115" w:type="dxa"/>
              <w:bottom w:w="0" w:type="dxa"/>
              <w:right w:w="115" w:type="dxa"/>
            </w:tcMar>
            <w:hideMark/>
          </w:tcPr>
          <w:p w:rsidR="006F337A" w:rsidRPr="005330BD" w:rsidRDefault="006F337A" w:rsidP="00633BFF">
            <w:pPr>
              <w:pStyle w:val="NormalWeb"/>
              <w:spacing w:before="120" w:beforeAutospacing="0" w:after="0" w:afterAutospacing="0"/>
              <w:jc w:val="both"/>
              <w:rPr>
                <w:rFonts w:asciiTheme="minorHAnsi" w:hAnsiTheme="minorHAnsi"/>
                <w:lang w:val="en-GB"/>
              </w:rPr>
            </w:pPr>
            <w:r w:rsidRPr="005330BD">
              <w:rPr>
                <w:rFonts w:asciiTheme="minorHAnsi" w:hAnsiTheme="minorHAnsi"/>
                <w:b/>
                <w:bCs/>
                <w:color w:val="000000"/>
                <w:sz w:val="18"/>
                <w:szCs w:val="18"/>
                <w:lang w:val="en-GB"/>
              </w:rPr>
              <w:t>Design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Prospective study</w:t>
            </w:r>
          </w:p>
        </w:tc>
      </w:tr>
      <w:tr w:rsidR="006F337A" w:rsidRPr="007D4A32" w:rsidTr="00633BFF">
        <w:tc>
          <w:tcPr>
            <w:tcW w:w="0" w:type="auto"/>
            <w:tcBorders>
              <w:top w:val="single" w:sz="4" w:space="0" w:color="000000"/>
              <w:left w:val="single" w:sz="4" w:space="0" w:color="000000"/>
              <w:bottom w:val="single" w:sz="4" w:space="0" w:color="000000"/>
              <w:right w:val="single" w:sz="4" w:space="0" w:color="000000"/>
            </w:tcBorders>
            <w:shd w:val="clear" w:color="auto" w:fill="95B3D7"/>
            <w:tcMar>
              <w:top w:w="0" w:type="dxa"/>
              <w:left w:w="115" w:type="dxa"/>
              <w:bottom w:w="0" w:type="dxa"/>
              <w:right w:w="115" w:type="dxa"/>
            </w:tcMar>
            <w:hideMark/>
          </w:tcPr>
          <w:p w:rsidR="006F337A" w:rsidRPr="005330BD" w:rsidRDefault="006F337A" w:rsidP="00633BFF">
            <w:pPr>
              <w:pStyle w:val="NormalWeb"/>
              <w:spacing w:before="120" w:beforeAutospacing="0" w:after="0" w:afterAutospacing="0"/>
              <w:jc w:val="both"/>
              <w:rPr>
                <w:rFonts w:asciiTheme="minorHAnsi" w:hAnsiTheme="minorHAnsi"/>
                <w:lang w:val="en-GB"/>
              </w:rPr>
            </w:pPr>
            <w:r w:rsidRPr="005330BD">
              <w:rPr>
                <w:rFonts w:asciiTheme="minorHAnsi" w:hAnsiTheme="minorHAnsi"/>
                <w:b/>
                <w:bCs/>
                <w:color w:val="000000"/>
                <w:sz w:val="18"/>
                <w:szCs w:val="18"/>
                <w:lang w:val="en-GB"/>
              </w:rPr>
              <w:t>Study participation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u w:val="single"/>
                <w:lang w:val="en-GB"/>
              </w:rPr>
              <w:t>Study population: </w:t>
            </w:r>
          </w:p>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Cohort of stable severe COPD outpatients (n=200), followed longitudinally for 3 years.</w:t>
            </w:r>
          </w:p>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The patient cohort is part of an observational study on the incidence of acute respiratory illness (ARI) or events leading to the worsening of cardiorespiratory status in COPD (ClinicalTrials.gov, NCT01455402)</w:t>
            </w:r>
          </w:p>
          <w:p w:rsidR="006F337A" w:rsidRPr="006F337A" w:rsidRDefault="006F337A" w:rsidP="00633BFF">
            <w:pPr>
              <w:pStyle w:val="NormalWeb"/>
              <w:spacing w:before="120" w:beforeAutospacing="0" w:after="120" w:afterAutospacing="0"/>
              <w:jc w:val="both"/>
              <w:rPr>
                <w:rFonts w:asciiTheme="minorHAnsi" w:hAnsiTheme="minorHAnsi"/>
              </w:rPr>
            </w:pPr>
            <w:r w:rsidRPr="006F337A">
              <w:rPr>
                <w:rFonts w:asciiTheme="minorHAnsi" w:hAnsiTheme="minorHAnsi"/>
                <w:color w:val="000000"/>
                <w:sz w:val="18"/>
                <w:szCs w:val="18"/>
                <w:u w:val="single"/>
              </w:rPr>
              <w:t>Inclusion criteria</w:t>
            </w:r>
            <w:r w:rsidRPr="006F337A">
              <w:rPr>
                <w:rFonts w:asciiTheme="minorHAnsi" w:hAnsiTheme="minorHAnsi"/>
                <w:color w:val="000000"/>
                <w:sz w:val="18"/>
                <w:szCs w:val="18"/>
              </w:rPr>
              <w:t>:</w:t>
            </w:r>
          </w:p>
          <w:p w:rsidR="006F337A" w:rsidRPr="006F337A" w:rsidRDefault="006F337A" w:rsidP="00633BFF">
            <w:pPr>
              <w:pStyle w:val="NormalWeb"/>
              <w:spacing w:before="120" w:beforeAutospacing="0" w:after="120" w:afterAutospacing="0"/>
              <w:jc w:val="both"/>
              <w:rPr>
                <w:rFonts w:asciiTheme="minorHAnsi" w:hAnsiTheme="minorHAnsi"/>
              </w:rPr>
            </w:pPr>
            <w:r w:rsidRPr="006F337A">
              <w:rPr>
                <w:rFonts w:asciiTheme="minorHAnsi" w:hAnsiTheme="minorHAnsi"/>
                <w:color w:val="000000"/>
                <w:sz w:val="18"/>
                <w:szCs w:val="18"/>
              </w:rPr>
              <w:t>NR </w:t>
            </w:r>
          </w:p>
          <w:p w:rsidR="006F337A" w:rsidRPr="006F337A" w:rsidRDefault="006F337A" w:rsidP="00633BFF">
            <w:pPr>
              <w:pStyle w:val="NormalWeb"/>
              <w:spacing w:before="120" w:beforeAutospacing="0" w:after="120" w:afterAutospacing="0"/>
              <w:jc w:val="both"/>
              <w:rPr>
                <w:rFonts w:asciiTheme="minorHAnsi" w:hAnsiTheme="minorHAnsi"/>
              </w:rPr>
            </w:pPr>
            <w:r w:rsidRPr="006F337A">
              <w:rPr>
                <w:rFonts w:asciiTheme="minorHAnsi" w:hAnsiTheme="minorHAnsi"/>
                <w:color w:val="000000"/>
                <w:sz w:val="18"/>
                <w:szCs w:val="18"/>
                <w:u w:val="single"/>
              </w:rPr>
              <w:t>Exclusion criteria</w:t>
            </w:r>
            <w:r w:rsidRPr="006F337A">
              <w:rPr>
                <w:rFonts w:asciiTheme="minorHAnsi" w:hAnsiTheme="minorHAnsi"/>
                <w:color w:val="000000"/>
                <w:sz w:val="18"/>
                <w:szCs w:val="18"/>
              </w:rPr>
              <w:t>:</w:t>
            </w:r>
          </w:p>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lastRenderedPageBreak/>
              <w:t>NR</w:t>
            </w:r>
          </w:p>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u w:val="single"/>
                <w:lang w:val="en-GB"/>
              </w:rPr>
              <w:t>Recruitment period and setting: </w:t>
            </w:r>
          </w:p>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The study population included adults ≥50 years of age with COPD, recruited at 6 sites in Bulgaria, 5 sites in Czech Republic, and 14 sites across the USA from fall 2011 to spring 2014.</w:t>
            </w:r>
          </w:p>
        </w:tc>
      </w:tr>
      <w:tr w:rsidR="006F337A" w:rsidRPr="007D4A32" w:rsidTr="00633BFF">
        <w:trPr>
          <w:trHeight w:val="416"/>
        </w:trPr>
        <w:tc>
          <w:tcPr>
            <w:tcW w:w="0" w:type="auto"/>
            <w:tcBorders>
              <w:top w:val="single" w:sz="4" w:space="0" w:color="000000"/>
              <w:left w:val="single" w:sz="4" w:space="0" w:color="000000"/>
              <w:bottom w:val="single" w:sz="4" w:space="0" w:color="000000"/>
              <w:right w:val="single" w:sz="4" w:space="0" w:color="000000"/>
            </w:tcBorders>
            <w:shd w:val="clear" w:color="auto" w:fill="95B3D7"/>
            <w:tcMar>
              <w:top w:w="0" w:type="dxa"/>
              <w:left w:w="115" w:type="dxa"/>
              <w:bottom w:w="0" w:type="dxa"/>
              <w:right w:w="115" w:type="dxa"/>
            </w:tcMar>
            <w:hideMark/>
          </w:tcPr>
          <w:p w:rsidR="006F337A" w:rsidRPr="005330BD" w:rsidRDefault="006F337A" w:rsidP="00633BFF">
            <w:pPr>
              <w:pStyle w:val="NormalWeb"/>
              <w:spacing w:before="120" w:beforeAutospacing="0" w:after="0" w:afterAutospacing="0"/>
              <w:jc w:val="both"/>
              <w:rPr>
                <w:rFonts w:asciiTheme="minorHAnsi" w:hAnsiTheme="minorHAnsi"/>
                <w:lang w:val="en-GB"/>
              </w:rPr>
            </w:pPr>
            <w:r w:rsidRPr="005330BD">
              <w:rPr>
                <w:rFonts w:asciiTheme="minorHAnsi" w:hAnsiTheme="minorHAnsi"/>
                <w:b/>
                <w:bCs/>
                <w:color w:val="000000"/>
                <w:sz w:val="18"/>
                <w:szCs w:val="18"/>
                <w:lang w:val="en-GB"/>
              </w:rPr>
              <w:lastRenderedPageBreak/>
              <w:t>Follow-up and data collection</w:t>
            </w:r>
          </w:p>
          <w:p w:rsidR="006F337A" w:rsidRPr="005330BD" w:rsidRDefault="006F337A" w:rsidP="00633BFF">
            <w:pPr>
              <w:spacing w:after="240"/>
              <w:jc w:val="both"/>
              <w:rPr>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Subjects had scheduled wellness visits in May and October each year to obtain sputum and clinical data. Unscheduled illness visits to collect sputum and clinical data were performed when a subject experienced an ARI or acute exacerbation of COPD symptoms, and during follow-up illness visits. Samples were considered stable if collected at least 30 days from the last day of hospitalization or from the last ARI or acute exacerbation event if it did not require hospitalization. Acute exacerbation samples were collected within 72 h of an event, additional samples were collected 4–30 days after an acute exacerbation event during unscheduled visits.</w:t>
            </w:r>
          </w:p>
        </w:tc>
      </w:tr>
      <w:tr w:rsidR="006F337A" w:rsidRPr="007D4A32" w:rsidTr="00633BFF">
        <w:trPr>
          <w:trHeight w:val="1134"/>
        </w:trPr>
        <w:tc>
          <w:tcPr>
            <w:tcW w:w="0" w:type="auto"/>
            <w:tcBorders>
              <w:top w:val="single" w:sz="4" w:space="0" w:color="000000"/>
              <w:left w:val="single" w:sz="4" w:space="0" w:color="000000"/>
              <w:bottom w:val="single" w:sz="4" w:space="0" w:color="000000"/>
              <w:right w:val="single" w:sz="4" w:space="0" w:color="000000"/>
            </w:tcBorders>
            <w:shd w:val="clear" w:color="auto" w:fill="95B3D7"/>
            <w:tcMar>
              <w:top w:w="0" w:type="dxa"/>
              <w:left w:w="115" w:type="dxa"/>
              <w:bottom w:w="0" w:type="dxa"/>
              <w:right w:w="115" w:type="dxa"/>
            </w:tcMar>
            <w:hideMark/>
          </w:tcPr>
          <w:p w:rsidR="006F337A" w:rsidRPr="005330BD" w:rsidRDefault="006F337A" w:rsidP="00633BFF">
            <w:pPr>
              <w:pStyle w:val="NormalWeb"/>
              <w:spacing w:before="120" w:beforeAutospacing="0" w:after="0" w:afterAutospacing="0"/>
              <w:jc w:val="both"/>
              <w:rPr>
                <w:rFonts w:asciiTheme="minorHAnsi" w:hAnsiTheme="minorHAnsi"/>
                <w:lang w:val="en-GB"/>
              </w:rPr>
            </w:pPr>
            <w:r w:rsidRPr="005330BD">
              <w:rPr>
                <w:rFonts w:asciiTheme="minorHAnsi" w:hAnsiTheme="minorHAnsi"/>
                <w:b/>
                <w:bCs/>
                <w:color w:val="000000"/>
                <w:sz w:val="18"/>
                <w:szCs w:val="18"/>
                <w:lang w:val="en-GB"/>
              </w:rPr>
              <w:t>Prognostic Factor</w:t>
            </w:r>
          </w:p>
          <w:p w:rsidR="006F337A" w:rsidRPr="005330BD" w:rsidRDefault="006F337A" w:rsidP="00633BFF">
            <w:pPr>
              <w:pStyle w:val="NormalWeb"/>
              <w:spacing w:before="120" w:beforeAutospacing="0" w:after="0" w:afterAutospacing="0"/>
              <w:jc w:val="both"/>
              <w:rPr>
                <w:rFonts w:asciiTheme="minorHAnsi" w:hAnsiTheme="minorHAnsi"/>
                <w:lang w:val="en-GB"/>
              </w:rPr>
            </w:pPr>
            <w:r w:rsidRPr="005330BD">
              <w:rPr>
                <w:rFonts w:asciiTheme="minorHAnsi" w:hAnsiTheme="minorHAnsi"/>
                <w:b/>
                <w:bCs/>
                <w:color w:val="000000"/>
                <w:sz w:val="18"/>
                <w:szCs w:val="18"/>
                <w:lang w:val="en-GB"/>
              </w:rPr>
              <w:t>Measurement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6F337A" w:rsidRPr="005330BD" w:rsidRDefault="006F337A" w:rsidP="00633BFF">
            <w:pPr>
              <w:pStyle w:val="NormalWeb"/>
              <w:spacing w:before="120" w:beforeAutospacing="0" w:after="120" w:afterAutospacing="0"/>
              <w:jc w:val="both"/>
              <w:rPr>
                <w:rFonts w:asciiTheme="minorHAnsi" w:hAnsiTheme="minorHAnsi"/>
                <w:color w:val="000000"/>
                <w:sz w:val="18"/>
                <w:szCs w:val="18"/>
                <w:lang w:val="en-GB"/>
              </w:rPr>
            </w:pPr>
            <w:r w:rsidRPr="005330BD">
              <w:rPr>
                <w:rFonts w:asciiTheme="minorHAnsi" w:hAnsiTheme="minorHAnsi"/>
                <w:color w:val="000000"/>
                <w:sz w:val="18"/>
                <w:szCs w:val="18"/>
                <w:lang w:val="en-GB"/>
              </w:rPr>
              <w:t>The bacterial microbiota in 1179 sputum samples was collected at stable, acute exacerbation and follow-up visits.</w:t>
            </w:r>
          </w:p>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Subjects were asked to gargle with water immediately prior to sputum collection to reduce the number of oral bacteria. Subjects were asked to cough deeply and expectorate into a cup, mixed 1:1 with cold Transport Media and kept at -60 °C or below.</w:t>
            </w:r>
          </w:p>
        </w:tc>
      </w:tr>
      <w:tr w:rsidR="006F337A" w:rsidRPr="007D4A32" w:rsidTr="00633BFF">
        <w:trPr>
          <w:trHeight w:val="274"/>
        </w:trPr>
        <w:tc>
          <w:tcPr>
            <w:tcW w:w="0" w:type="auto"/>
            <w:tcBorders>
              <w:top w:val="single" w:sz="4" w:space="0" w:color="000000"/>
              <w:left w:val="single" w:sz="4" w:space="0" w:color="000000"/>
              <w:bottom w:val="single" w:sz="4" w:space="0" w:color="000000"/>
              <w:right w:val="single" w:sz="4" w:space="0" w:color="000000"/>
            </w:tcBorders>
            <w:shd w:val="clear" w:color="auto" w:fill="95B3D7"/>
            <w:tcMar>
              <w:top w:w="0" w:type="dxa"/>
              <w:left w:w="115" w:type="dxa"/>
              <w:bottom w:w="0" w:type="dxa"/>
              <w:right w:w="115" w:type="dxa"/>
            </w:tcMar>
            <w:hideMark/>
          </w:tcPr>
          <w:p w:rsidR="006F337A" w:rsidRPr="005330BD" w:rsidRDefault="006F337A" w:rsidP="00633BFF">
            <w:pPr>
              <w:pStyle w:val="NormalWeb"/>
              <w:spacing w:before="120" w:beforeAutospacing="0" w:after="0" w:afterAutospacing="0"/>
              <w:jc w:val="both"/>
              <w:rPr>
                <w:rFonts w:asciiTheme="minorHAnsi" w:hAnsiTheme="minorHAnsi"/>
                <w:lang w:val="en-GB"/>
              </w:rPr>
            </w:pPr>
            <w:r w:rsidRPr="005330BD">
              <w:rPr>
                <w:rFonts w:asciiTheme="minorHAnsi" w:hAnsiTheme="minorHAnsi"/>
                <w:b/>
                <w:bCs/>
                <w:color w:val="000000"/>
                <w:sz w:val="18"/>
                <w:szCs w:val="18"/>
                <w:lang w:val="en-GB"/>
              </w:rPr>
              <w:t>Outcome measurement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Exacerbation events and frequent exacerbations (2 or more exacerbation events per year) at 3 years of follow-up.</w:t>
            </w:r>
          </w:p>
        </w:tc>
      </w:tr>
      <w:tr w:rsidR="006F337A" w:rsidRPr="007D4A32" w:rsidTr="00633BFF">
        <w:tc>
          <w:tcPr>
            <w:tcW w:w="0" w:type="auto"/>
            <w:tcBorders>
              <w:top w:val="single" w:sz="4" w:space="0" w:color="000000"/>
              <w:left w:val="single" w:sz="4" w:space="0" w:color="000000"/>
              <w:bottom w:val="single" w:sz="4" w:space="0" w:color="000000"/>
              <w:right w:val="single" w:sz="4" w:space="0" w:color="000000"/>
            </w:tcBorders>
            <w:shd w:val="clear" w:color="auto" w:fill="95B3D7"/>
            <w:tcMar>
              <w:top w:w="0" w:type="dxa"/>
              <w:left w:w="115" w:type="dxa"/>
              <w:bottom w:w="0" w:type="dxa"/>
              <w:right w:w="115" w:type="dxa"/>
            </w:tcMar>
            <w:hideMark/>
          </w:tcPr>
          <w:p w:rsidR="006F337A" w:rsidRPr="005330BD" w:rsidRDefault="006F337A" w:rsidP="00633BFF">
            <w:pPr>
              <w:pStyle w:val="NormalWeb"/>
              <w:spacing w:before="120" w:beforeAutospacing="0" w:after="0" w:afterAutospacing="0"/>
              <w:jc w:val="both"/>
              <w:rPr>
                <w:rFonts w:asciiTheme="minorHAnsi" w:hAnsiTheme="minorHAnsi"/>
                <w:lang w:val="en-GB"/>
              </w:rPr>
            </w:pPr>
            <w:r w:rsidRPr="005330BD">
              <w:rPr>
                <w:rFonts w:asciiTheme="minorHAnsi" w:hAnsiTheme="minorHAnsi"/>
                <w:b/>
                <w:bCs/>
                <w:color w:val="000000"/>
                <w:sz w:val="18"/>
                <w:szCs w:val="18"/>
                <w:lang w:val="en-GB"/>
              </w:rPr>
              <w:t>Statistical analysis</w:t>
            </w:r>
          </w:p>
          <w:p w:rsidR="006F337A" w:rsidRPr="005330BD" w:rsidRDefault="006F337A" w:rsidP="00633BFF">
            <w:pPr>
              <w:jc w:val="both"/>
              <w:rPr>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The analysis model is not explicitly described, although odds ratios reported are labelled as adjusted.</w:t>
            </w:r>
          </w:p>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No description of the adjusted analysis.</w:t>
            </w:r>
          </w:p>
        </w:tc>
      </w:tr>
    </w:tbl>
    <w:p w:rsidR="006F337A" w:rsidRPr="005330BD" w:rsidRDefault="006F337A" w:rsidP="006F337A">
      <w:pPr>
        <w:jc w:val="both"/>
        <w:rPr>
          <w:lang w:val="en-GB"/>
        </w:rPr>
      </w:pPr>
    </w:p>
    <w:p w:rsidR="006F337A" w:rsidRPr="005330BD" w:rsidRDefault="006F337A" w:rsidP="006F337A">
      <w:pPr>
        <w:pStyle w:val="Ttol3"/>
        <w:jc w:val="both"/>
        <w:rPr>
          <w:rFonts w:asciiTheme="minorHAnsi" w:hAnsiTheme="minorHAnsi"/>
          <w:lang w:val="en-GB"/>
        </w:rPr>
      </w:pPr>
      <w:bookmarkStart w:id="11" w:name="_Toc65674762"/>
      <w:bookmarkStart w:id="12" w:name="_Toc65677682"/>
      <w:bookmarkStart w:id="13" w:name="_Toc66120097"/>
      <w:r w:rsidRPr="005330BD">
        <w:rPr>
          <w:rFonts w:asciiTheme="minorHAnsi" w:hAnsiTheme="minorHAnsi"/>
          <w:lang w:val="en-GB"/>
        </w:rPr>
        <w:t>Boutou 2014</w:t>
      </w:r>
      <w:bookmarkEnd w:id="11"/>
      <w:bookmarkEnd w:id="12"/>
      <w:bookmarkEnd w:id="13"/>
    </w:p>
    <w:tbl>
      <w:tblPr>
        <w:tblW w:w="0" w:type="auto"/>
        <w:tblCellMar>
          <w:top w:w="15" w:type="dxa"/>
          <w:left w:w="15" w:type="dxa"/>
          <w:bottom w:w="15" w:type="dxa"/>
          <w:right w:w="15" w:type="dxa"/>
        </w:tblCellMar>
        <w:tblLook w:val="04A0"/>
      </w:tblPr>
      <w:tblGrid>
        <w:gridCol w:w="1712"/>
        <w:gridCol w:w="12504"/>
      </w:tblGrid>
      <w:tr w:rsidR="006F337A" w:rsidRPr="005330BD" w:rsidTr="00633BFF">
        <w:tc>
          <w:tcPr>
            <w:tcW w:w="0" w:type="auto"/>
            <w:tcBorders>
              <w:top w:val="single" w:sz="4" w:space="0" w:color="000000"/>
              <w:left w:val="single" w:sz="4" w:space="0" w:color="000000"/>
              <w:bottom w:val="single" w:sz="4" w:space="0" w:color="000000"/>
              <w:right w:val="single" w:sz="4" w:space="0" w:color="000000"/>
            </w:tcBorders>
            <w:shd w:val="clear" w:color="auto" w:fill="95B3D7"/>
            <w:tcMar>
              <w:top w:w="0" w:type="dxa"/>
              <w:left w:w="115" w:type="dxa"/>
              <w:bottom w:w="0" w:type="dxa"/>
              <w:right w:w="115" w:type="dxa"/>
            </w:tcMar>
            <w:hideMark/>
          </w:tcPr>
          <w:p w:rsidR="006F337A" w:rsidRPr="005330BD" w:rsidRDefault="006F337A" w:rsidP="00633BFF">
            <w:pPr>
              <w:pStyle w:val="NormalWeb"/>
              <w:spacing w:before="120" w:beforeAutospacing="0" w:after="0" w:afterAutospacing="0"/>
              <w:jc w:val="both"/>
              <w:rPr>
                <w:rFonts w:asciiTheme="minorHAnsi" w:hAnsiTheme="minorHAnsi"/>
                <w:lang w:val="en-GB"/>
              </w:rPr>
            </w:pPr>
            <w:r w:rsidRPr="005330BD">
              <w:rPr>
                <w:rFonts w:asciiTheme="minorHAnsi" w:hAnsiTheme="minorHAnsi"/>
                <w:b/>
                <w:bCs/>
                <w:color w:val="000000"/>
                <w:sz w:val="18"/>
                <w:szCs w:val="18"/>
                <w:lang w:val="en-GB"/>
              </w:rPr>
              <w:t>Study ID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b/>
                <w:bCs/>
                <w:color w:val="000000"/>
                <w:sz w:val="18"/>
                <w:szCs w:val="18"/>
                <w:lang w:val="en-GB"/>
              </w:rPr>
              <w:t>Boutou 2014</w:t>
            </w:r>
          </w:p>
        </w:tc>
      </w:tr>
      <w:tr w:rsidR="006F337A" w:rsidRPr="007D4A32" w:rsidTr="00633BFF">
        <w:tc>
          <w:tcPr>
            <w:tcW w:w="0" w:type="auto"/>
            <w:tcBorders>
              <w:top w:val="single" w:sz="4" w:space="0" w:color="000000"/>
              <w:left w:val="single" w:sz="4" w:space="0" w:color="000000"/>
              <w:bottom w:val="single" w:sz="4" w:space="0" w:color="000000"/>
              <w:right w:val="single" w:sz="4" w:space="0" w:color="000000"/>
            </w:tcBorders>
            <w:shd w:val="clear" w:color="auto" w:fill="95B3D7"/>
            <w:tcMar>
              <w:top w:w="0" w:type="dxa"/>
              <w:left w:w="115" w:type="dxa"/>
              <w:bottom w:w="0" w:type="dxa"/>
              <w:right w:w="115" w:type="dxa"/>
            </w:tcMar>
            <w:hideMark/>
          </w:tcPr>
          <w:p w:rsidR="006F337A" w:rsidRPr="005330BD" w:rsidRDefault="006F337A" w:rsidP="00633BFF">
            <w:pPr>
              <w:pStyle w:val="NormalWeb"/>
              <w:spacing w:before="120" w:beforeAutospacing="0" w:after="0" w:afterAutospacing="0"/>
              <w:jc w:val="both"/>
              <w:rPr>
                <w:rFonts w:asciiTheme="minorHAnsi" w:hAnsiTheme="minorHAnsi"/>
                <w:lang w:val="en-GB"/>
              </w:rPr>
            </w:pPr>
            <w:r w:rsidRPr="005330BD">
              <w:rPr>
                <w:rFonts w:asciiTheme="minorHAnsi" w:hAnsiTheme="minorHAnsi"/>
                <w:b/>
                <w:bCs/>
                <w:color w:val="000000"/>
                <w:sz w:val="18"/>
                <w:szCs w:val="18"/>
                <w:lang w:val="en-GB"/>
              </w:rPr>
              <w:t>Objective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To investigate whether the isolation of P. aeruginosa in the sputum of a general COPD population was associated with long-term mortality.</w:t>
            </w:r>
          </w:p>
        </w:tc>
      </w:tr>
      <w:tr w:rsidR="006F337A" w:rsidRPr="007D4A32" w:rsidTr="00633BFF">
        <w:tc>
          <w:tcPr>
            <w:tcW w:w="0" w:type="auto"/>
            <w:tcBorders>
              <w:top w:val="single" w:sz="4" w:space="0" w:color="000000"/>
              <w:left w:val="single" w:sz="4" w:space="0" w:color="000000"/>
              <w:bottom w:val="single" w:sz="4" w:space="0" w:color="000000"/>
              <w:right w:val="single" w:sz="4" w:space="0" w:color="000000"/>
            </w:tcBorders>
            <w:shd w:val="clear" w:color="auto" w:fill="95B3D7"/>
            <w:tcMar>
              <w:top w:w="0" w:type="dxa"/>
              <w:left w:w="115" w:type="dxa"/>
              <w:bottom w:w="0" w:type="dxa"/>
              <w:right w:w="115" w:type="dxa"/>
            </w:tcMar>
            <w:hideMark/>
          </w:tcPr>
          <w:p w:rsidR="006F337A" w:rsidRPr="005330BD" w:rsidRDefault="006F337A" w:rsidP="00633BFF">
            <w:pPr>
              <w:pStyle w:val="NormalWeb"/>
              <w:spacing w:before="120" w:beforeAutospacing="0" w:after="0" w:afterAutospacing="0"/>
              <w:jc w:val="both"/>
              <w:rPr>
                <w:rFonts w:asciiTheme="minorHAnsi" w:hAnsiTheme="minorHAnsi"/>
                <w:lang w:val="en-GB"/>
              </w:rPr>
            </w:pPr>
            <w:r w:rsidRPr="005330BD">
              <w:rPr>
                <w:rFonts w:asciiTheme="minorHAnsi" w:hAnsiTheme="minorHAnsi"/>
                <w:b/>
                <w:bCs/>
                <w:color w:val="000000"/>
                <w:sz w:val="18"/>
                <w:szCs w:val="18"/>
                <w:lang w:val="en-GB"/>
              </w:rPr>
              <w:t>Design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Case-control study, Retrospective study</w:t>
            </w:r>
          </w:p>
        </w:tc>
      </w:tr>
      <w:tr w:rsidR="006F337A" w:rsidRPr="007D4A32" w:rsidTr="00633BFF">
        <w:tc>
          <w:tcPr>
            <w:tcW w:w="0" w:type="auto"/>
            <w:tcBorders>
              <w:top w:val="single" w:sz="4" w:space="0" w:color="000000"/>
              <w:left w:val="single" w:sz="4" w:space="0" w:color="000000"/>
              <w:bottom w:val="single" w:sz="4" w:space="0" w:color="000000"/>
              <w:right w:val="single" w:sz="4" w:space="0" w:color="000000"/>
            </w:tcBorders>
            <w:shd w:val="clear" w:color="auto" w:fill="95B3D7"/>
            <w:tcMar>
              <w:top w:w="0" w:type="dxa"/>
              <w:left w:w="115" w:type="dxa"/>
              <w:bottom w:w="0" w:type="dxa"/>
              <w:right w:w="115" w:type="dxa"/>
            </w:tcMar>
            <w:hideMark/>
          </w:tcPr>
          <w:p w:rsidR="006F337A" w:rsidRPr="005330BD" w:rsidRDefault="006F337A" w:rsidP="00633BFF">
            <w:pPr>
              <w:pStyle w:val="NormalWeb"/>
              <w:spacing w:before="120" w:beforeAutospacing="0" w:after="0" w:afterAutospacing="0"/>
              <w:jc w:val="both"/>
              <w:rPr>
                <w:rFonts w:asciiTheme="minorHAnsi" w:hAnsiTheme="minorHAnsi"/>
                <w:lang w:val="en-GB"/>
              </w:rPr>
            </w:pPr>
            <w:r w:rsidRPr="005330BD">
              <w:rPr>
                <w:rFonts w:asciiTheme="minorHAnsi" w:hAnsiTheme="minorHAnsi"/>
                <w:b/>
                <w:bCs/>
                <w:color w:val="000000"/>
                <w:sz w:val="18"/>
                <w:szCs w:val="18"/>
                <w:lang w:val="en-GB"/>
              </w:rPr>
              <w:t>Study participation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u w:val="single"/>
                <w:lang w:val="en-GB"/>
              </w:rPr>
              <w:t>Study population:</w:t>
            </w:r>
          </w:p>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COPD patients (n=132)</w:t>
            </w:r>
          </w:p>
          <w:p w:rsidR="006F337A" w:rsidRPr="006F337A" w:rsidRDefault="006F337A" w:rsidP="00633BFF">
            <w:pPr>
              <w:pStyle w:val="NormalWeb"/>
              <w:spacing w:before="120" w:beforeAutospacing="0" w:after="120" w:afterAutospacing="0"/>
              <w:jc w:val="both"/>
              <w:rPr>
                <w:rFonts w:asciiTheme="minorHAnsi" w:hAnsiTheme="minorHAnsi"/>
              </w:rPr>
            </w:pPr>
            <w:r w:rsidRPr="006F337A">
              <w:rPr>
                <w:rFonts w:asciiTheme="minorHAnsi" w:hAnsiTheme="minorHAnsi"/>
                <w:color w:val="000000"/>
                <w:sz w:val="18"/>
                <w:szCs w:val="18"/>
                <w:u w:val="single"/>
              </w:rPr>
              <w:t>Inclusion criteria</w:t>
            </w:r>
            <w:r w:rsidRPr="006F337A">
              <w:rPr>
                <w:rFonts w:asciiTheme="minorHAnsi" w:hAnsiTheme="minorHAnsi"/>
                <w:color w:val="000000"/>
                <w:sz w:val="18"/>
                <w:szCs w:val="18"/>
              </w:rPr>
              <w:t>: </w:t>
            </w:r>
          </w:p>
          <w:p w:rsidR="006F337A" w:rsidRPr="006F337A" w:rsidRDefault="006F337A" w:rsidP="00633BFF">
            <w:pPr>
              <w:pStyle w:val="NormalWeb"/>
              <w:spacing w:before="120" w:beforeAutospacing="0" w:after="120" w:afterAutospacing="0"/>
              <w:jc w:val="both"/>
              <w:rPr>
                <w:rFonts w:asciiTheme="minorHAnsi" w:hAnsiTheme="minorHAnsi"/>
              </w:rPr>
            </w:pPr>
            <w:r w:rsidRPr="006F337A">
              <w:rPr>
                <w:rFonts w:asciiTheme="minorHAnsi" w:hAnsiTheme="minorHAnsi"/>
                <w:color w:val="000000"/>
                <w:sz w:val="18"/>
                <w:szCs w:val="18"/>
              </w:rPr>
              <w:lastRenderedPageBreak/>
              <w:t>NR</w:t>
            </w:r>
          </w:p>
          <w:p w:rsidR="006F337A" w:rsidRPr="006F337A" w:rsidRDefault="006F337A" w:rsidP="00633BFF">
            <w:pPr>
              <w:pStyle w:val="NormalWeb"/>
              <w:spacing w:before="120" w:beforeAutospacing="0" w:after="120" w:afterAutospacing="0"/>
              <w:jc w:val="both"/>
              <w:rPr>
                <w:rFonts w:asciiTheme="minorHAnsi" w:hAnsiTheme="minorHAnsi"/>
              </w:rPr>
            </w:pPr>
            <w:r w:rsidRPr="006F337A">
              <w:rPr>
                <w:rFonts w:asciiTheme="minorHAnsi" w:hAnsiTheme="minorHAnsi"/>
                <w:color w:val="000000"/>
                <w:sz w:val="18"/>
                <w:szCs w:val="18"/>
                <w:u w:val="single"/>
              </w:rPr>
              <w:t>Exclusion criteria</w:t>
            </w:r>
            <w:r w:rsidRPr="006F337A">
              <w:rPr>
                <w:rFonts w:asciiTheme="minorHAnsi" w:hAnsiTheme="minorHAnsi"/>
                <w:color w:val="000000"/>
                <w:sz w:val="18"/>
                <w:szCs w:val="18"/>
              </w:rPr>
              <w:t>:</w:t>
            </w:r>
          </w:p>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NR</w:t>
            </w:r>
          </w:p>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u w:val="single"/>
                <w:lang w:val="en-GB"/>
              </w:rPr>
              <w:t>Recruitment period and setting: </w:t>
            </w:r>
          </w:p>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All patients were recruited from Royal Brompton Hospital (London, UK) between 2000-2012</w:t>
            </w:r>
            <w:r w:rsidRPr="005330BD">
              <w:rPr>
                <w:rFonts w:asciiTheme="minorHAnsi" w:hAnsiTheme="minorHAnsi"/>
                <w:color w:val="000000"/>
                <w:sz w:val="18"/>
                <w:szCs w:val="18"/>
                <w:u w:val="single"/>
                <w:lang w:val="en-GB"/>
              </w:rPr>
              <w:t>.</w:t>
            </w:r>
          </w:p>
        </w:tc>
      </w:tr>
      <w:tr w:rsidR="006F337A" w:rsidRPr="007D4A32" w:rsidTr="00633BFF">
        <w:trPr>
          <w:trHeight w:val="416"/>
        </w:trPr>
        <w:tc>
          <w:tcPr>
            <w:tcW w:w="0" w:type="auto"/>
            <w:tcBorders>
              <w:top w:val="single" w:sz="4" w:space="0" w:color="000000"/>
              <w:left w:val="single" w:sz="4" w:space="0" w:color="000000"/>
              <w:bottom w:val="single" w:sz="4" w:space="0" w:color="000000"/>
              <w:right w:val="single" w:sz="4" w:space="0" w:color="000000"/>
            </w:tcBorders>
            <w:shd w:val="clear" w:color="auto" w:fill="95B3D7"/>
            <w:tcMar>
              <w:top w:w="0" w:type="dxa"/>
              <w:left w:w="115" w:type="dxa"/>
              <w:bottom w:w="0" w:type="dxa"/>
              <w:right w:w="115" w:type="dxa"/>
            </w:tcMar>
            <w:hideMark/>
          </w:tcPr>
          <w:p w:rsidR="006F337A" w:rsidRPr="005330BD" w:rsidRDefault="006F337A" w:rsidP="00633BFF">
            <w:pPr>
              <w:pStyle w:val="NormalWeb"/>
              <w:spacing w:before="120" w:beforeAutospacing="0" w:after="0" w:afterAutospacing="0"/>
              <w:jc w:val="both"/>
              <w:rPr>
                <w:rFonts w:asciiTheme="minorHAnsi" w:hAnsiTheme="minorHAnsi"/>
                <w:lang w:val="en-GB"/>
              </w:rPr>
            </w:pPr>
            <w:r w:rsidRPr="005330BD">
              <w:rPr>
                <w:rFonts w:asciiTheme="minorHAnsi" w:hAnsiTheme="minorHAnsi"/>
                <w:b/>
                <w:bCs/>
                <w:color w:val="000000"/>
                <w:sz w:val="18"/>
                <w:szCs w:val="18"/>
                <w:lang w:val="en-GB"/>
              </w:rPr>
              <w:lastRenderedPageBreak/>
              <w:t>Follow-up and data collection</w:t>
            </w:r>
          </w:p>
          <w:p w:rsidR="006F337A" w:rsidRPr="005330BD" w:rsidRDefault="006F337A" w:rsidP="00633BFF">
            <w:pPr>
              <w:spacing w:after="240"/>
              <w:jc w:val="both"/>
              <w:rPr>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Demographic variables, lung function measurements, gas transfer data, arterial blood gases and exacerbation frequency during the year prior to entering the study were recorded for all patients.</w:t>
            </w:r>
          </w:p>
        </w:tc>
      </w:tr>
      <w:tr w:rsidR="006F337A" w:rsidRPr="007D4A32" w:rsidTr="00633BFF">
        <w:trPr>
          <w:trHeight w:val="1134"/>
        </w:trPr>
        <w:tc>
          <w:tcPr>
            <w:tcW w:w="0" w:type="auto"/>
            <w:tcBorders>
              <w:top w:val="single" w:sz="4" w:space="0" w:color="000000"/>
              <w:left w:val="single" w:sz="4" w:space="0" w:color="000000"/>
              <w:bottom w:val="single" w:sz="4" w:space="0" w:color="000000"/>
              <w:right w:val="single" w:sz="4" w:space="0" w:color="000000"/>
            </w:tcBorders>
            <w:shd w:val="clear" w:color="auto" w:fill="95B3D7"/>
            <w:tcMar>
              <w:top w:w="0" w:type="dxa"/>
              <w:left w:w="115" w:type="dxa"/>
              <w:bottom w:w="0" w:type="dxa"/>
              <w:right w:w="115" w:type="dxa"/>
            </w:tcMar>
            <w:hideMark/>
          </w:tcPr>
          <w:p w:rsidR="006F337A" w:rsidRPr="005330BD" w:rsidRDefault="006F337A" w:rsidP="00633BFF">
            <w:pPr>
              <w:pStyle w:val="NormalWeb"/>
              <w:spacing w:before="120" w:beforeAutospacing="0" w:after="0" w:afterAutospacing="0"/>
              <w:jc w:val="both"/>
              <w:rPr>
                <w:rFonts w:asciiTheme="minorHAnsi" w:hAnsiTheme="minorHAnsi"/>
                <w:lang w:val="en-GB"/>
              </w:rPr>
            </w:pPr>
            <w:r w:rsidRPr="005330BD">
              <w:rPr>
                <w:rFonts w:asciiTheme="minorHAnsi" w:hAnsiTheme="minorHAnsi"/>
                <w:b/>
                <w:bCs/>
                <w:color w:val="000000"/>
                <w:sz w:val="18"/>
                <w:szCs w:val="18"/>
                <w:lang w:val="en-GB"/>
              </w:rPr>
              <w:t>Prognostic Factor</w:t>
            </w:r>
          </w:p>
          <w:p w:rsidR="006F337A" w:rsidRPr="005330BD" w:rsidRDefault="006F337A" w:rsidP="00633BFF">
            <w:pPr>
              <w:pStyle w:val="NormalWeb"/>
              <w:spacing w:before="120" w:beforeAutospacing="0" w:after="0" w:afterAutospacing="0"/>
              <w:jc w:val="both"/>
              <w:rPr>
                <w:rFonts w:asciiTheme="minorHAnsi" w:hAnsiTheme="minorHAnsi"/>
                <w:lang w:val="en-GB"/>
              </w:rPr>
            </w:pPr>
            <w:r w:rsidRPr="005330BD">
              <w:rPr>
                <w:rFonts w:asciiTheme="minorHAnsi" w:hAnsiTheme="minorHAnsi"/>
                <w:b/>
                <w:bCs/>
                <w:color w:val="000000"/>
                <w:sz w:val="18"/>
                <w:szCs w:val="18"/>
                <w:lang w:val="en-GB"/>
              </w:rPr>
              <w:t>Measurement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All sputum specimen results were cross-correlated with patients listed on our COPD research audit database. The reason for obtaining a sputum culture was not recorded systematically, but included repeated exacerbations and deterioration in symptom severity and/or clinical status, as well as opportunistic collection from patients with chronic sputum production. The laboratory threshold for a culture to be considered P. aeruginosa positive was 200 CFU·mL-1 (a semi-quantitative method). </w:t>
            </w:r>
          </w:p>
        </w:tc>
      </w:tr>
      <w:tr w:rsidR="006F337A" w:rsidRPr="007D4A32" w:rsidTr="00633BFF">
        <w:trPr>
          <w:trHeight w:val="274"/>
        </w:trPr>
        <w:tc>
          <w:tcPr>
            <w:tcW w:w="0" w:type="auto"/>
            <w:tcBorders>
              <w:top w:val="single" w:sz="4" w:space="0" w:color="000000"/>
              <w:left w:val="single" w:sz="4" w:space="0" w:color="000000"/>
              <w:bottom w:val="single" w:sz="4" w:space="0" w:color="000000"/>
              <w:right w:val="single" w:sz="4" w:space="0" w:color="000000"/>
            </w:tcBorders>
            <w:shd w:val="clear" w:color="auto" w:fill="95B3D7"/>
            <w:tcMar>
              <w:top w:w="0" w:type="dxa"/>
              <w:left w:w="115" w:type="dxa"/>
              <w:bottom w:w="0" w:type="dxa"/>
              <w:right w:w="115" w:type="dxa"/>
            </w:tcMar>
            <w:hideMark/>
          </w:tcPr>
          <w:p w:rsidR="006F337A" w:rsidRPr="005330BD" w:rsidRDefault="006F337A" w:rsidP="00633BFF">
            <w:pPr>
              <w:pStyle w:val="NormalWeb"/>
              <w:spacing w:before="120" w:beforeAutospacing="0" w:after="0" w:afterAutospacing="0"/>
              <w:jc w:val="both"/>
              <w:rPr>
                <w:rFonts w:asciiTheme="minorHAnsi" w:hAnsiTheme="minorHAnsi"/>
                <w:lang w:val="en-GB"/>
              </w:rPr>
            </w:pPr>
            <w:r w:rsidRPr="005330BD">
              <w:rPr>
                <w:rFonts w:asciiTheme="minorHAnsi" w:hAnsiTheme="minorHAnsi"/>
                <w:b/>
                <w:bCs/>
                <w:color w:val="000000"/>
                <w:sz w:val="18"/>
                <w:szCs w:val="18"/>
                <w:lang w:val="en-GB"/>
              </w:rPr>
              <w:t>Outcome measurement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Mortality (duration of follow up not stated)</w:t>
            </w:r>
          </w:p>
        </w:tc>
      </w:tr>
      <w:tr w:rsidR="006F337A" w:rsidRPr="007D4A32" w:rsidTr="00633BFF">
        <w:tc>
          <w:tcPr>
            <w:tcW w:w="0" w:type="auto"/>
            <w:tcBorders>
              <w:top w:val="single" w:sz="4" w:space="0" w:color="000000"/>
              <w:left w:val="single" w:sz="4" w:space="0" w:color="000000"/>
              <w:bottom w:val="single" w:sz="4" w:space="0" w:color="000000"/>
              <w:right w:val="single" w:sz="4" w:space="0" w:color="000000"/>
            </w:tcBorders>
            <w:shd w:val="clear" w:color="auto" w:fill="95B3D7"/>
            <w:tcMar>
              <w:top w:w="0" w:type="dxa"/>
              <w:left w:w="115" w:type="dxa"/>
              <w:bottom w:w="0" w:type="dxa"/>
              <w:right w:w="115" w:type="dxa"/>
            </w:tcMar>
            <w:hideMark/>
          </w:tcPr>
          <w:p w:rsidR="006F337A" w:rsidRPr="005330BD" w:rsidRDefault="006F337A" w:rsidP="00633BFF">
            <w:pPr>
              <w:pStyle w:val="NormalWeb"/>
              <w:spacing w:before="120" w:beforeAutospacing="0" w:after="0" w:afterAutospacing="0"/>
              <w:jc w:val="both"/>
              <w:rPr>
                <w:rFonts w:asciiTheme="minorHAnsi" w:hAnsiTheme="minorHAnsi"/>
                <w:lang w:val="en-GB"/>
              </w:rPr>
            </w:pPr>
            <w:r w:rsidRPr="005330BD">
              <w:rPr>
                <w:rFonts w:asciiTheme="minorHAnsi" w:hAnsiTheme="minorHAnsi"/>
                <w:b/>
                <w:bCs/>
                <w:color w:val="000000"/>
                <w:sz w:val="18"/>
                <w:szCs w:val="18"/>
                <w:lang w:val="en-GB"/>
              </w:rPr>
              <w:t>Statistical analysis</w:t>
            </w:r>
          </w:p>
          <w:p w:rsidR="006F337A" w:rsidRPr="005330BD" w:rsidRDefault="006F337A" w:rsidP="00633BFF">
            <w:pPr>
              <w:jc w:val="both"/>
              <w:rPr>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Initial matching was done according to three baseline variables (sex, age and FEV1 % predicted)</w:t>
            </w:r>
          </w:p>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Cox proportional hazard regression models (graphically with Kaplan-Meier curves)</w:t>
            </w:r>
          </w:p>
          <w:p w:rsidR="006F337A" w:rsidRPr="005330BD" w:rsidRDefault="006F337A" w:rsidP="00633BFF">
            <w:pPr>
              <w:pStyle w:val="NormalWeb"/>
              <w:spacing w:before="120" w:after="120"/>
              <w:jc w:val="both"/>
              <w:rPr>
                <w:rFonts w:asciiTheme="minorHAnsi" w:hAnsiTheme="minorHAnsi"/>
                <w:lang w:val="en-GB"/>
              </w:rPr>
            </w:pPr>
            <w:r w:rsidRPr="005330BD">
              <w:rPr>
                <w:rFonts w:asciiTheme="minorHAnsi" w:hAnsiTheme="minorHAnsi"/>
                <w:color w:val="000000"/>
                <w:sz w:val="18"/>
                <w:szCs w:val="18"/>
                <w:lang w:val="en-GB"/>
              </w:rPr>
              <w:t>Adjusted analysis for known and suspected confounders: although statistical analyses were not adjusted, the case and control participants were matched by sex, age and FEV1 % predicted </w:t>
            </w:r>
          </w:p>
        </w:tc>
      </w:tr>
    </w:tbl>
    <w:p w:rsidR="006F337A" w:rsidRPr="005330BD" w:rsidRDefault="006F337A" w:rsidP="006F337A">
      <w:pPr>
        <w:jc w:val="both"/>
        <w:rPr>
          <w:lang w:val="en-GB"/>
        </w:rPr>
      </w:pPr>
    </w:p>
    <w:p w:rsidR="006F337A" w:rsidRPr="005330BD" w:rsidRDefault="006F337A" w:rsidP="006F337A">
      <w:pPr>
        <w:rPr>
          <w:rFonts w:eastAsiaTheme="majorEastAsia" w:cstheme="majorBidi"/>
          <w:b/>
          <w:bCs/>
          <w:color w:val="4472C4" w:themeColor="accent1"/>
          <w:lang w:val="en-GB"/>
        </w:rPr>
      </w:pPr>
      <w:bookmarkStart w:id="14" w:name="_Toc65674763"/>
      <w:r w:rsidRPr="005330BD">
        <w:rPr>
          <w:lang w:val="en-GB"/>
        </w:rPr>
        <w:br w:type="page"/>
      </w:r>
    </w:p>
    <w:p w:rsidR="006F337A" w:rsidRPr="005330BD" w:rsidRDefault="006F337A" w:rsidP="006F337A">
      <w:pPr>
        <w:pStyle w:val="Ttol3"/>
        <w:jc w:val="both"/>
        <w:rPr>
          <w:rFonts w:asciiTheme="minorHAnsi" w:hAnsiTheme="minorHAnsi"/>
          <w:lang w:val="en-GB"/>
        </w:rPr>
      </w:pPr>
      <w:bookmarkStart w:id="15" w:name="_Toc65677683"/>
      <w:bookmarkStart w:id="16" w:name="_Toc66120098"/>
      <w:r w:rsidRPr="005330BD">
        <w:rPr>
          <w:rFonts w:asciiTheme="minorHAnsi" w:hAnsiTheme="minorHAnsi"/>
          <w:lang w:val="en-GB"/>
        </w:rPr>
        <w:lastRenderedPageBreak/>
        <w:t>Choi 2018</w:t>
      </w:r>
      <w:bookmarkEnd w:id="14"/>
      <w:bookmarkEnd w:id="15"/>
      <w:bookmarkEnd w:id="16"/>
    </w:p>
    <w:tbl>
      <w:tblPr>
        <w:tblW w:w="0" w:type="auto"/>
        <w:tblCellMar>
          <w:top w:w="15" w:type="dxa"/>
          <w:left w:w="15" w:type="dxa"/>
          <w:bottom w:w="15" w:type="dxa"/>
          <w:right w:w="15" w:type="dxa"/>
        </w:tblCellMar>
        <w:tblLook w:val="04A0"/>
      </w:tblPr>
      <w:tblGrid>
        <w:gridCol w:w="1790"/>
        <w:gridCol w:w="12426"/>
      </w:tblGrid>
      <w:tr w:rsidR="006F337A" w:rsidRPr="005330BD" w:rsidTr="00633BFF">
        <w:tc>
          <w:tcPr>
            <w:tcW w:w="0" w:type="auto"/>
            <w:tcBorders>
              <w:top w:val="single" w:sz="4" w:space="0" w:color="000000"/>
              <w:left w:val="single" w:sz="4" w:space="0" w:color="000000"/>
              <w:bottom w:val="single" w:sz="4" w:space="0" w:color="000000"/>
              <w:right w:val="single" w:sz="4" w:space="0" w:color="000000"/>
            </w:tcBorders>
            <w:shd w:val="clear" w:color="auto" w:fill="95B3D7"/>
            <w:tcMar>
              <w:top w:w="0" w:type="dxa"/>
              <w:left w:w="115" w:type="dxa"/>
              <w:bottom w:w="0" w:type="dxa"/>
              <w:right w:w="115" w:type="dxa"/>
            </w:tcMar>
            <w:hideMark/>
          </w:tcPr>
          <w:p w:rsidR="006F337A" w:rsidRPr="005330BD" w:rsidRDefault="006F337A" w:rsidP="00633BFF">
            <w:pPr>
              <w:pStyle w:val="NormalWeb"/>
              <w:spacing w:before="120" w:beforeAutospacing="0" w:after="0" w:afterAutospacing="0"/>
              <w:jc w:val="both"/>
              <w:rPr>
                <w:rFonts w:asciiTheme="minorHAnsi" w:hAnsiTheme="minorHAnsi"/>
                <w:lang w:val="en-GB"/>
              </w:rPr>
            </w:pPr>
            <w:r w:rsidRPr="005330BD">
              <w:rPr>
                <w:rFonts w:asciiTheme="minorHAnsi" w:hAnsiTheme="minorHAnsi"/>
                <w:b/>
                <w:bCs/>
                <w:color w:val="000000"/>
                <w:sz w:val="18"/>
                <w:szCs w:val="18"/>
                <w:lang w:val="en-GB"/>
              </w:rPr>
              <w:t>Study ID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b/>
                <w:bCs/>
                <w:color w:val="000000"/>
                <w:sz w:val="18"/>
                <w:szCs w:val="18"/>
                <w:lang w:val="en-GB"/>
              </w:rPr>
              <w:t>Choi 2018</w:t>
            </w:r>
          </w:p>
        </w:tc>
      </w:tr>
      <w:tr w:rsidR="006F337A" w:rsidRPr="007D4A32" w:rsidTr="00633BFF">
        <w:tc>
          <w:tcPr>
            <w:tcW w:w="0" w:type="auto"/>
            <w:tcBorders>
              <w:top w:val="single" w:sz="4" w:space="0" w:color="000000"/>
              <w:left w:val="single" w:sz="4" w:space="0" w:color="000000"/>
              <w:bottom w:val="single" w:sz="4" w:space="0" w:color="000000"/>
              <w:right w:val="single" w:sz="4" w:space="0" w:color="000000"/>
            </w:tcBorders>
            <w:shd w:val="clear" w:color="auto" w:fill="95B3D7"/>
            <w:tcMar>
              <w:top w:w="0" w:type="dxa"/>
              <w:left w:w="115" w:type="dxa"/>
              <w:bottom w:w="0" w:type="dxa"/>
              <w:right w:w="115" w:type="dxa"/>
            </w:tcMar>
            <w:hideMark/>
          </w:tcPr>
          <w:p w:rsidR="006F337A" w:rsidRPr="005330BD" w:rsidRDefault="006F337A" w:rsidP="00633BFF">
            <w:pPr>
              <w:pStyle w:val="NormalWeb"/>
              <w:spacing w:before="120" w:beforeAutospacing="0" w:after="0" w:afterAutospacing="0"/>
              <w:jc w:val="both"/>
              <w:rPr>
                <w:rFonts w:asciiTheme="minorHAnsi" w:hAnsiTheme="minorHAnsi"/>
                <w:lang w:val="en-GB"/>
              </w:rPr>
            </w:pPr>
            <w:r w:rsidRPr="005330BD">
              <w:rPr>
                <w:rFonts w:asciiTheme="minorHAnsi" w:hAnsiTheme="minorHAnsi"/>
                <w:b/>
                <w:bCs/>
                <w:color w:val="000000"/>
                <w:sz w:val="18"/>
                <w:szCs w:val="18"/>
                <w:lang w:val="en-GB"/>
              </w:rPr>
              <w:t>Objective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To determine whether readmission of patients with severe AECOPD varies according to the bacterium identified.</w:t>
            </w:r>
          </w:p>
        </w:tc>
      </w:tr>
      <w:tr w:rsidR="006F337A" w:rsidRPr="005330BD" w:rsidTr="00633BFF">
        <w:tc>
          <w:tcPr>
            <w:tcW w:w="0" w:type="auto"/>
            <w:tcBorders>
              <w:top w:val="single" w:sz="4" w:space="0" w:color="000000"/>
              <w:left w:val="single" w:sz="4" w:space="0" w:color="000000"/>
              <w:bottom w:val="single" w:sz="4" w:space="0" w:color="000000"/>
              <w:right w:val="single" w:sz="4" w:space="0" w:color="000000"/>
            </w:tcBorders>
            <w:shd w:val="clear" w:color="auto" w:fill="95B3D7"/>
            <w:tcMar>
              <w:top w:w="0" w:type="dxa"/>
              <w:left w:w="115" w:type="dxa"/>
              <w:bottom w:w="0" w:type="dxa"/>
              <w:right w:w="115" w:type="dxa"/>
            </w:tcMar>
            <w:hideMark/>
          </w:tcPr>
          <w:p w:rsidR="006F337A" w:rsidRPr="005330BD" w:rsidRDefault="006F337A" w:rsidP="00633BFF">
            <w:pPr>
              <w:pStyle w:val="NormalWeb"/>
              <w:spacing w:before="120" w:beforeAutospacing="0" w:after="0" w:afterAutospacing="0"/>
              <w:jc w:val="both"/>
              <w:rPr>
                <w:rFonts w:asciiTheme="minorHAnsi" w:hAnsiTheme="minorHAnsi"/>
                <w:lang w:val="en-GB"/>
              </w:rPr>
            </w:pPr>
            <w:r w:rsidRPr="005330BD">
              <w:rPr>
                <w:rFonts w:asciiTheme="minorHAnsi" w:hAnsiTheme="minorHAnsi"/>
                <w:b/>
                <w:bCs/>
                <w:color w:val="000000"/>
                <w:sz w:val="18"/>
                <w:szCs w:val="18"/>
                <w:lang w:val="en-GB"/>
              </w:rPr>
              <w:t>Design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Retrospective study</w:t>
            </w:r>
          </w:p>
        </w:tc>
      </w:tr>
      <w:tr w:rsidR="006F337A" w:rsidRPr="007D4A32" w:rsidTr="00633BFF">
        <w:tc>
          <w:tcPr>
            <w:tcW w:w="0" w:type="auto"/>
            <w:tcBorders>
              <w:top w:val="single" w:sz="4" w:space="0" w:color="000000"/>
              <w:left w:val="single" w:sz="4" w:space="0" w:color="000000"/>
              <w:bottom w:val="single" w:sz="4" w:space="0" w:color="000000"/>
              <w:right w:val="single" w:sz="4" w:space="0" w:color="000000"/>
            </w:tcBorders>
            <w:shd w:val="clear" w:color="auto" w:fill="95B3D7"/>
            <w:tcMar>
              <w:top w:w="0" w:type="dxa"/>
              <w:left w:w="115" w:type="dxa"/>
              <w:bottom w:w="0" w:type="dxa"/>
              <w:right w:w="115" w:type="dxa"/>
            </w:tcMar>
            <w:hideMark/>
          </w:tcPr>
          <w:p w:rsidR="006F337A" w:rsidRPr="005330BD" w:rsidRDefault="006F337A" w:rsidP="00633BFF">
            <w:pPr>
              <w:pStyle w:val="NormalWeb"/>
              <w:spacing w:before="120" w:beforeAutospacing="0" w:after="0" w:afterAutospacing="0"/>
              <w:jc w:val="both"/>
              <w:rPr>
                <w:rFonts w:asciiTheme="minorHAnsi" w:hAnsiTheme="minorHAnsi"/>
                <w:lang w:val="en-GB"/>
              </w:rPr>
            </w:pPr>
            <w:r w:rsidRPr="005330BD">
              <w:rPr>
                <w:rFonts w:asciiTheme="minorHAnsi" w:hAnsiTheme="minorHAnsi"/>
                <w:b/>
                <w:bCs/>
                <w:color w:val="000000"/>
                <w:sz w:val="18"/>
                <w:szCs w:val="18"/>
                <w:lang w:val="en-GB"/>
              </w:rPr>
              <w:t>Study participation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u w:val="single"/>
                <w:lang w:val="en-GB"/>
              </w:rPr>
              <w:t>Study population: </w:t>
            </w:r>
          </w:p>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Patients (n=104, after matching) diagnosed with severe AECOPD.</w:t>
            </w:r>
          </w:p>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AECOPD was defined as “worsening of a patient’s respiratory symptoms beyond normal day-to-day variation.” Severe AECOPD was defined as AECOPD requiring hospitalization.</w:t>
            </w:r>
          </w:p>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u w:val="single"/>
                <w:lang w:val="en-GB"/>
              </w:rPr>
              <w:t>Inclusion criteria</w:t>
            </w:r>
            <w:r w:rsidRPr="005330BD">
              <w:rPr>
                <w:rFonts w:asciiTheme="minorHAnsi" w:hAnsiTheme="minorHAnsi"/>
                <w:color w:val="000000"/>
                <w:sz w:val="18"/>
                <w:szCs w:val="18"/>
                <w:lang w:val="en-GB"/>
              </w:rPr>
              <w:t>:</w:t>
            </w:r>
          </w:p>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Events were included if the following criteria were met: 1) the patient had a previous spirometry that showed airway obstruction (a ratio of forced expiratory volume in the first second to forced vital capacity of &lt;70% in post bronchodilator spirometry); 2) the patient was diagnosed with severe AECOPD; 3) the patient was discharged after treatment and continuously followed up; and 4) the patient was &gt;40 years old.</w:t>
            </w:r>
          </w:p>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u w:val="single"/>
                <w:lang w:val="en-GB"/>
              </w:rPr>
              <w:t>Exclusion criteria</w:t>
            </w:r>
            <w:r w:rsidRPr="005330BD">
              <w:rPr>
                <w:rFonts w:asciiTheme="minorHAnsi" w:hAnsiTheme="minorHAnsi"/>
                <w:color w:val="000000"/>
                <w:sz w:val="18"/>
                <w:szCs w:val="18"/>
                <w:lang w:val="en-GB"/>
              </w:rPr>
              <w:t>:</w:t>
            </w:r>
          </w:p>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NR</w:t>
            </w:r>
          </w:p>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u w:val="single"/>
                <w:lang w:val="en-GB"/>
              </w:rPr>
              <w:t>Recruitment period and setting: </w:t>
            </w:r>
          </w:p>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All patients were recruited in Korea University Guro Hospital from January 2011 to May 2017.</w:t>
            </w:r>
          </w:p>
        </w:tc>
      </w:tr>
      <w:tr w:rsidR="006F337A" w:rsidRPr="007D4A32" w:rsidTr="00633BFF">
        <w:trPr>
          <w:trHeight w:val="416"/>
        </w:trPr>
        <w:tc>
          <w:tcPr>
            <w:tcW w:w="0" w:type="auto"/>
            <w:tcBorders>
              <w:top w:val="single" w:sz="4" w:space="0" w:color="000000"/>
              <w:left w:val="single" w:sz="4" w:space="0" w:color="000000"/>
              <w:bottom w:val="single" w:sz="4" w:space="0" w:color="000000"/>
              <w:right w:val="single" w:sz="4" w:space="0" w:color="000000"/>
            </w:tcBorders>
            <w:shd w:val="clear" w:color="auto" w:fill="95B3D7"/>
            <w:tcMar>
              <w:top w:w="0" w:type="dxa"/>
              <w:left w:w="115" w:type="dxa"/>
              <w:bottom w:w="0" w:type="dxa"/>
              <w:right w:w="115" w:type="dxa"/>
            </w:tcMar>
            <w:hideMark/>
          </w:tcPr>
          <w:p w:rsidR="006F337A" w:rsidRPr="005330BD" w:rsidRDefault="006F337A" w:rsidP="00633BFF">
            <w:pPr>
              <w:pStyle w:val="NormalWeb"/>
              <w:spacing w:before="120" w:beforeAutospacing="0" w:after="0" w:afterAutospacing="0"/>
              <w:jc w:val="both"/>
              <w:rPr>
                <w:rFonts w:asciiTheme="minorHAnsi" w:hAnsiTheme="minorHAnsi"/>
                <w:lang w:val="en-GB"/>
              </w:rPr>
            </w:pPr>
            <w:r w:rsidRPr="005330BD">
              <w:rPr>
                <w:rFonts w:asciiTheme="minorHAnsi" w:hAnsiTheme="minorHAnsi"/>
                <w:b/>
                <w:bCs/>
                <w:color w:val="000000"/>
                <w:sz w:val="18"/>
                <w:szCs w:val="18"/>
                <w:lang w:val="en-GB"/>
              </w:rPr>
              <w:t>Follow-up and data collection</w:t>
            </w:r>
          </w:p>
          <w:p w:rsidR="006F337A" w:rsidRPr="005330BD" w:rsidRDefault="006F337A" w:rsidP="00633BFF">
            <w:pPr>
              <w:spacing w:after="240"/>
              <w:jc w:val="both"/>
              <w:rPr>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Medical records were reviewed and analysed for the following data: age, gender, smoking history, comorbidities, Global Initiative for Chronic Obstructive Lung Disease (GOLD) stage, inhaler use, pulmonary oral medication use, use of home oxygen therapy, and culture and polymerase chain reaction (PCR) assay data for identification of the bacterium or virus.</w:t>
            </w:r>
          </w:p>
        </w:tc>
      </w:tr>
      <w:tr w:rsidR="006F337A" w:rsidRPr="005330BD" w:rsidTr="00633BFF">
        <w:trPr>
          <w:trHeight w:val="1134"/>
        </w:trPr>
        <w:tc>
          <w:tcPr>
            <w:tcW w:w="0" w:type="auto"/>
            <w:tcBorders>
              <w:top w:val="single" w:sz="4" w:space="0" w:color="000000"/>
              <w:left w:val="single" w:sz="4" w:space="0" w:color="000000"/>
              <w:bottom w:val="single" w:sz="4" w:space="0" w:color="000000"/>
              <w:right w:val="single" w:sz="4" w:space="0" w:color="000000"/>
            </w:tcBorders>
            <w:shd w:val="clear" w:color="auto" w:fill="95B3D7"/>
            <w:tcMar>
              <w:top w:w="0" w:type="dxa"/>
              <w:left w:w="115" w:type="dxa"/>
              <w:bottom w:w="0" w:type="dxa"/>
              <w:right w:w="115" w:type="dxa"/>
            </w:tcMar>
            <w:hideMark/>
          </w:tcPr>
          <w:p w:rsidR="006F337A" w:rsidRPr="005330BD" w:rsidRDefault="006F337A" w:rsidP="00633BFF">
            <w:pPr>
              <w:pStyle w:val="NormalWeb"/>
              <w:spacing w:before="120" w:beforeAutospacing="0" w:after="0" w:afterAutospacing="0"/>
              <w:jc w:val="both"/>
              <w:rPr>
                <w:rFonts w:asciiTheme="minorHAnsi" w:hAnsiTheme="minorHAnsi"/>
                <w:lang w:val="en-GB"/>
              </w:rPr>
            </w:pPr>
            <w:r w:rsidRPr="005330BD">
              <w:rPr>
                <w:rFonts w:asciiTheme="minorHAnsi" w:hAnsiTheme="minorHAnsi"/>
                <w:b/>
                <w:bCs/>
                <w:color w:val="000000"/>
                <w:sz w:val="18"/>
                <w:szCs w:val="18"/>
                <w:lang w:val="en-GB"/>
              </w:rPr>
              <w:t>Prognostic Factor Measurement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The three most frequently identified bacteria were analysed in the study. All cultures were performed within 24 hours of admission. </w:t>
            </w:r>
          </w:p>
        </w:tc>
      </w:tr>
      <w:tr w:rsidR="006F337A" w:rsidRPr="007D4A32" w:rsidTr="00633BFF">
        <w:trPr>
          <w:trHeight w:val="274"/>
        </w:trPr>
        <w:tc>
          <w:tcPr>
            <w:tcW w:w="0" w:type="auto"/>
            <w:tcBorders>
              <w:top w:val="single" w:sz="4" w:space="0" w:color="000000"/>
              <w:left w:val="single" w:sz="4" w:space="0" w:color="000000"/>
              <w:bottom w:val="single" w:sz="4" w:space="0" w:color="000000"/>
              <w:right w:val="single" w:sz="4" w:space="0" w:color="000000"/>
            </w:tcBorders>
            <w:shd w:val="clear" w:color="auto" w:fill="95B3D7"/>
            <w:tcMar>
              <w:top w:w="0" w:type="dxa"/>
              <w:left w:w="115" w:type="dxa"/>
              <w:bottom w:w="0" w:type="dxa"/>
              <w:right w:w="115" w:type="dxa"/>
            </w:tcMar>
            <w:hideMark/>
          </w:tcPr>
          <w:p w:rsidR="006F337A" w:rsidRPr="005330BD" w:rsidRDefault="006F337A" w:rsidP="00633BFF">
            <w:pPr>
              <w:pStyle w:val="NormalWeb"/>
              <w:spacing w:before="120" w:beforeAutospacing="0" w:after="0" w:afterAutospacing="0"/>
              <w:jc w:val="both"/>
              <w:rPr>
                <w:rFonts w:asciiTheme="minorHAnsi" w:hAnsiTheme="minorHAnsi"/>
                <w:lang w:val="en-GB"/>
              </w:rPr>
            </w:pPr>
            <w:r w:rsidRPr="005330BD">
              <w:rPr>
                <w:rFonts w:asciiTheme="minorHAnsi" w:hAnsiTheme="minorHAnsi"/>
                <w:b/>
                <w:bCs/>
                <w:color w:val="000000"/>
                <w:sz w:val="18"/>
                <w:szCs w:val="18"/>
                <w:lang w:val="en-GB"/>
              </w:rPr>
              <w:t>Outcome measurement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Events were divided in two groups: readmission (within 30 days after discharge) and no readmission (within 30 days after discharge).</w:t>
            </w:r>
          </w:p>
        </w:tc>
      </w:tr>
      <w:tr w:rsidR="006F337A" w:rsidRPr="007D4A32" w:rsidTr="00633BFF">
        <w:tc>
          <w:tcPr>
            <w:tcW w:w="0" w:type="auto"/>
            <w:tcBorders>
              <w:top w:val="single" w:sz="4" w:space="0" w:color="000000"/>
              <w:left w:val="single" w:sz="4" w:space="0" w:color="000000"/>
              <w:bottom w:val="single" w:sz="4" w:space="0" w:color="000000"/>
              <w:right w:val="single" w:sz="4" w:space="0" w:color="000000"/>
            </w:tcBorders>
            <w:shd w:val="clear" w:color="auto" w:fill="95B3D7"/>
            <w:tcMar>
              <w:top w:w="0" w:type="dxa"/>
              <w:left w:w="115" w:type="dxa"/>
              <w:bottom w:w="0" w:type="dxa"/>
              <w:right w:w="115" w:type="dxa"/>
            </w:tcMar>
            <w:hideMark/>
          </w:tcPr>
          <w:p w:rsidR="006F337A" w:rsidRPr="005330BD" w:rsidRDefault="006F337A" w:rsidP="00633BFF">
            <w:pPr>
              <w:pStyle w:val="NormalWeb"/>
              <w:spacing w:before="120" w:beforeAutospacing="0" w:after="0" w:afterAutospacing="0"/>
              <w:jc w:val="both"/>
              <w:rPr>
                <w:rFonts w:asciiTheme="minorHAnsi" w:hAnsiTheme="minorHAnsi"/>
                <w:lang w:val="en-GB"/>
              </w:rPr>
            </w:pPr>
            <w:r w:rsidRPr="005330BD">
              <w:rPr>
                <w:rFonts w:asciiTheme="minorHAnsi" w:hAnsiTheme="minorHAnsi"/>
                <w:b/>
                <w:bCs/>
                <w:color w:val="000000"/>
                <w:sz w:val="18"/>
                <w:szCs w:val="18"/>
                <w:lang w:val="en-GB"/>
              </w:rPr>
              <w:lastRenderedPageBreak/>
              <w:t>Statistical analysis</w:t>
            </w:r>
          </w:p>
          <w:p w:rsidR="006F337A" w:rsidRPr="005330BD" w:rsidRDefault="006F337A" w:rsidP="00633BFF">
            <w:pPr>
              <w:jc w:val="both"/>
              <w:rPr>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Adjustments: propensity score matching</w:t>
            </w:r>
          </w:p>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Multivariate logistic regression </w:t>
            </w:r>
          </w:p>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Adjusted analysis for known and suspected confounders: variables associated with prognosis such as age, comorbidity (hypertension, diabetes, coronary artery disease, cerebrovascular accident), COPD severity, smoking history, length of hospital stay, intensive care unit admission, use of mechanical ventilation, use of non-invasive ventilation, inhaler use, oral medication use.</w:t>
            </w:r>
          </w:p>
        </w:tc>
      </w:tr>
    </w:tbl>
    <w:p w:rsidR="006F337A" w:rsidRPr="005330BD" w:rsidRDefault="006F337A" w:rsidP="006F337A">
      <w:pPr>
        <w:jc w:val="both"/>
        <w:rPr>
          <w:lang w:val="en-GB"/>
        </w:rPr>
      </w:pPr>
    </w:p>
    <w:p w:rsidR="006F337A" w:rsidRPr="005330BD" w:rsidRDefault="006F337A" w:rsidP="006F337A">
      <w:pPr>
        <w:rPr>
          <w:rFonts w:eastAsiaTheme="majorEastAsia" w:cstheme="majorBidi"/>
          <w:b/>
          <w:bCs/>
          <w:color w:val="4472C4" w:themeColor="accent1"/>
          <w:lang w:val="en-GB"/>
        </w:rPr>
      </w:pPr>
      <w:bookmarkStart w:id="17" w:name="_Toc65674764"/>
      <w:r w:rsidRPr="005330BD">
        <w:rPr>
          <w:lang w:val="en-GB"/>
        </w:rPr>
        <w:br w:type="page"/>
      </w:r>
    </w:p>
    <w:p w:rsidR="006F337A" w:rsidRPr="005330BD" w:rsidRDefault="006F337A" w:rsidP="006F337A">
      <w:pPr>
        <w:pStyle w:val="Ttol3"/>
        <w:jc w:val="both"/>
        <w:rPr>
          <w:rFonts w:asciiTheme="minorHAnsi" w:hAnsiTheme="minorHAnsi"/>
          <w:lang w:val="en-GB"/>
        </w:rPr>
      </w:pPr>
      <w:bookmarkStart w:id="18" w:name="_Toc65677684"/>
      <w:bookmarkStart w:id="19" w:name="_Toc66120099"/>
      <w:r w:rsidRPr="005330BD">
        <w:rPr>
          <w:rFonts w:asciiTheme="minorHAnsi" w:hAnsiTheme="minorHAnsi"/>
          <w:lang w:val="en-GB"/>
        </w:rPr>
        <w:lastRenderedPageBreak/>
        <w:t>Eklöf 2020</w:t>
      </w:r>
      <w:bookmarkEnd w:id="17"/>
      <w:bookmarkEnd w:id="18"/>
      <w:bookmarkEnd w:id="19"/>
    </w:p>
    <w:tbl>
      <w:tblPr>
        <w:tblW w:w="0" w:type="auto"/>
        <w:tblCellMar>
          <w:top w:w="15" w:type="dxa"/>
          <w:left w:w="15" w:type="dxa"/>
          <w:bottom w:w="15" w:type="dxa"/>
          <w:right w:w="15" w:type="dxa"/>
        </w:tblCellMar>
        <w:tblLook w:val="04A0"/>
      </w:tblPr>
      <w:tblGrid>
        <w:gridCol w:w="1706"/>
        <w:gridCol w:w="12510"/>
      </w:tblGrid>
      <w:tr w:rsidR="006F337A" w:rsidRPr="005330BD" w:rsidTr="00633BFF">
        <w:tc>
          <w:tcPr>
            <w:tcW w:w="0" w:type="auto"/>
            <w:tcBorders>
              <w:top w:val="single" w:sz="4" w:space="0" w:color="000000"/>
              <w:left w:val="single" w:sz="4" w:space="0" w:color="000000"/>
              <w:bottom w:val="single" w:sz="4" w:space="0" w:color="000000"/>
              <w:right w:val="single" w:sz="4" w:space="0" w:color="000000"/>
            </w:tcBorders>
            <w:shd w:val="clear" w:color="auto" w:fill="95B3D7"/>
            <w:tcMar>
              <w:top w:w="0" w:type="dxa"/>
              <w:left w:w="115" w:type="dxa"/>
              <w:bottom w:w="0" w:type="dxa"/>
              <w:right w:w="115" w:type="dxa"/>
            </w:tcMar>
            <w:hideMark/>
          </w:tcPr>
          <w:p w:rsidR="006F337A" w:rsidRPr="005330BD" w:rsidRDefault="006F337A" w:rsidP="00633BFF">
            <w:pPr>
              <w:pStyle w:val="NormalWeb"/>
              <w:spacing w:before="120" w:beforeAutospacing="0" w:after="0" w:afterAutospacing="0"/>
              <w:jc w:val="both"/>
              <w:rPr>
                <w:rFonts w:asciiTheme="minorHAnsi" w:hAnsiTheme="minorHAnsi"/>
                <w:lang w:val="en-GB"/>
              </w:rPr>
            </w:pPr>
            <w:r w:rsidRPr="005330BD">
              <w:rPr>
                <w:rFonts w:asciiTheme="minorHAnsi" w:hAnsiTheme="minorHAnsi"/>
                <w:b/>
                <w:bCs/>
                <w:color w:val="000000"/>
                <w:sz w:val="18"/>
                <w:szCs w:val="18"/>
                <w:lang w:val="en-GB"/>
              </w:rPr>
              <w:t>Study ID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b/>
                <w:bCs/>
                <w:color w:val="000000"/>
                <w:sz w:val="18"/>
                <w:szCs w:val="18"/>
                <w:lang w:val="en-GB"/>
              </w:rPr>
              <w:t>Eklöf 2020</w:t>
            </w:r>
          </w:p>
        </w:tc>
      </w:tr>
      <w:tr w:rsidR="006F337A" w:rsidRPr="007D4A32" w:rsidTr="00633BFF">
        <w:tc>
          <w:tcPr>
            <w:tcW w:w="0" w:type="auto"/>
            <w:tcBorders>
              <w:top w:val="single" w:sz="4" w:space="0" w:color="000000"/>
              <w:left w:val="single" w:sz="4" w:space="0" w:color="000000"/>
              <w:bottom w:val="single" w:sz="4" w:space="0" w:color="000000"/>
              <w:right w:val="single" w:sz="4" w:space="0" w:color="000000"/>
            </w:tcBorders>
            <w:shd w:val="clear" w:color="auto" w:fill="95B3D7"/>
            <w:tcMar>
              <w:top w:w="0" w:type="dxa"/>
              <w:left w:w="115" w:type="dxa"/>
              <w:bottom w:w="0" w:type="dxa"/>
              <w:right w:w="115" w:type="dxa"/>
            </w:tcMar>
            <w:hideMark/>
          </w:tcPr>
          <w:p w:rsidR="006F337A" w:rsidRPr="005330BD" w:rsidRDefault="006F337A" w:rsidP="00633BFF">
            <w:pPr>
              <w:pStyle w:val="NormalWeb"/>
              <w:spacing w:before="120" w:beforeAutospacing="0" w:after="0" w:afterAutospacing="0"/>
              <w:jc w:val="both"/>
              <w:rPr>
                <w:rFonts w:asciiTheme="minorHAnsi" w:hAnsiTheme="minorHAnsi"/>
                <w:lang w:val="en-GB"/>
              </w:rPr>
            </w:pPr>
            <w:r w:rsidRPr="005330BD">
              <w:rPr>
                <w:rFonts w:asciiTheme="minorHAnsi" w:hAnsiTheme="minorHAnsi"/>
                <w:b/>
                <w:bCs/>
                <w:color w:val="000000"/>
                <w:sz w:val="18"/>
                <w:szCs w:val="18"/>
                <w:lang w:val="en-GB"/>
              </w:rPr>
              <w:t>Objective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To determine whether P. aeruginosa is associated with increased risk of exacerbations or death in patients with COPD.</w:t>
            </w:r>
          </w:p>
        </w:tc>
      </w:tr>
      <w:tr w:rsidR="006F337A" w:rsidRPr="005330BD" w:rsidTr="00633BFF">
        <w:tc>
          <w:tcPr>
            <w:tcW w:w="0" w:type="auto"/>
            <w:tcBorders>
              <w:top w:val="single" w:sz="4" w:space="0" w:color="000000"/>
              <w:left w:val="single" w:sz="4" w:space="0" w:color="000000"/>
              <w:bottom w:val="single" w:sz="4" w:space="0" w:color="000000"/>
              <w:right w:val="single" w:sz="4" w:space="0" w:color="000000"/>
            </w:tcBorders>
            <w:shd w:val="clear" w:color="auto" w:fill="95B3D7"/>
            <w:tcMar>
              <w:top w:w="0" w:type="dxa"/>
              <w:left w:w="115" w:type="dxa"/>
              <w:bottom w:w="0" w:type="dxa"/>
              <w:right w:w="115" w:type="dxa"/>
            </w:tcMar>
            <w:hideMark/>
          </w:tcPr>
          <w:p w:rsidR="006F337A" w:rsidRPr="005330BD" w:rsidRDefault="006F337A" w:rsidP="00633BFF">
            <w:pPr>
              <w:pStyle w:val="NormalWeb"/>
              <w:spacing w:before="120" w:beforeAutospacing="0" w:after="0" w:afterAutospacing="0"/>
              <w:jc w:val="both"/>
              <w:rPr>
                <w:rFonts w:asciiTheme="minorHAnsi" w:hAnsiTheme="minorHAnsi"/>
                <w:lang w:val="en-GB"/>
              </w:rPr>
            </w:pPr>
            <w:r w:rsidRPr="005330BD">
              <w:rPr>
                <w:rFonts w:asciiTheme="minorHAnsi" w:hAnsiTheme="minorHAnsi"/>
                <w:b/>
                <w:bCs/>
                <w:color w:val="000000"/>
                <w:sz w:val="18"/>
                <w:szCs w:val="18"/>
                <w:lang w:val="en-GB"/>
              </w:rPr>
              <w:t>Design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Prospective study</w:t>
            </w:r>
          </w:p>
        </w:tc>
      </w:tr>
      <w:tr w:rsidR="006F337A" w:rsidRPr="007D4A32" w:rsidTr="00633BFF">
        <w:tc>
          <w:tcPr>
            <w:tcW w:w="0" w:type="auto"/>
            <w:tcBorders>
              <w:top w:val="single" w:sz="4" w:space="0" w:color="000000"/>
              <w:left w:val="single" w:sz="4" w:space="0" w:color="000000"/>
              <w:bottom w:val="single" w:sz="4" w:space="0" w:color="000000"/>
              <w:right w:val="single" w:sz="4" w:space="0" w:color="000000"/>
            </w:tcBorders>
            <w:shd w:val="clear" w:color="auto" w:fill="95B3D7"/>
            <w:tcMar>
              <w:top w:w="0" w:type="dxa"/>
              <w:left w:w="115" w:type="dxa"/>
              <w:bottom w:w="0" w:type="dxa"/>
              <w:right w:w="115" w:type="dxa"/>
            </w:tcMar>
            <w:hideMark/>
          </w:tcPr>
          <w:p w:rsidR="006F337A" w:rsidRPr="005330BD" w:rsidRDefault="006F337A" w:rsidP="00633BFF">
            <w:pPr>
              <w:pStyle w:val="NormalWeb"/>
              <w:spacing w:before="120" w:beforeAutospacing="0" w:after="0" w:afterAutospacing="0"/>
              <w:jc w:val="both"/>
              <w:rPr>
                <w:rFonts w:asciiTheme="minorHAnsi" w:hAnsiTheme="minorHAnsi"/>
                <w:lang w:val="en-GB"/>
              </w:rPr>
            </w:pPr>
            <w:r w:rsidRPr="005330BD">
              <w:rPr>
                <w:rFonts w:asciiTheme="minorHAnsi" w:hAnsiTheme="minorHAnsi"/>
                <w:b/>
                <w:bCs/>
                <w:color w:val="000000"/>
                <w:sz w:val="18"/>
                <w:szCs w:val="18"/>
                <w:lang w:val="en-GB"/>
              </w:rPr>
              <w:t>Study participation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u w:val="single"/>
                <w:lang w:val="en-GB"/>
              </w:rPr>
              <w:t>Study population: </w:t>
            </w:r>
          </w:p>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Multiregional cohort study of COPD outpatients (n= 22053) with any microbiological data.</w:t>
            </w:r>
          </w:p>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u w:val="single"/>
                <w:lang w:val="en-GB"/>
              </w:rPr>
              <w:t>Inclusion criteria</w:t>
            </w:r>
            <w:r w:rsidRPr="005330BD">
              <w:rPr>
                <w:rFonts w:asciiTheme="minorHAnsi" w:hAnsiTheme="minorHAnsi"/>
                <w:color w:val="000000"/>
                <w:sz w:val="18"/>
                <w:szCs w:val="18"/>
                <w:lang w:val="en-GB"/>
              </w:rPr>
              <w:t>:</w:t>
            </w:r>
          </w:p>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All patients who were registered with a visit to the outpatient clinic between 1 January 2010 and 31 October 2017 in the DrCOPD were included.</w:t>
            </w:r>
          </w:p>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u w:val="single"/>
                <w:lang w:val="en-GB"/>
              </w:rPr>
              <w:t>Exclusion criteria</w:t>
            </w:r>
            <w:r w:rsidRPr="005330BD">
              <w:rPr>
                <w:rFonts w:asciiTheme="minorHAnsi" w:hAnsiTheme="minorHAnsi"/>
                <w:color w:val="000000"/>
                <w:sz w:val="18"/>
                <w:szCs w:val="18"/>
                <w:lang w:val="en-GB"/>
              </w:rPr>
              <w:t>:</w:t>
            </w:r>
          </w:p>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Patients with malignant neoplasms within 5 years prior to study entry were excluded since this condition is strongly associated with mortality and may affect the ability to interpret the results of the study exposure.</w:t>
            </w:r>
          </w:p>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All patients from Eastern Denmark were included, regardless of microbiological status.</w:t>
            </w:r>
          </w:p>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u w:val="single"/>
                <w:lang w:val="en-GB"/>
              </w:rPr>
              <w:t>Recruitment period and setting: </w:t>
            </w:r>
          </w:p>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Data from patients were retrieved from the nationwide Danish Register of Chronic Obstructive Pulmonary Disease (DrCOPD) between 1 January 2010 and 31 October 2017 </w:t>
            </w:r>
          </w:p>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The DrCOPD holds individual data on all outpatient visits and hospital admissions due to exacerbation of COPD, in patients aged 30 years or above, at all Danish hospitals since 2008. </w:t>
            </w:r>
          </w:p>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Patients from the western part of Denmark were not included since we could not gain access to microbiological data for these patients.</w:t>
            </w:r>
          </w:p>
        </w:tc>
      </w:tr>
      <w:tr w:rsidR="006F337A" w:rsidRPr="007D4A32" w:rsidTr="00633BFF">
        <w:trPr>
          <w:trHeight w:val="416"/>
        </w:trPr>
        <w:tc>
          <w:tcPr>
            <w:tcW w:w="0" w:type="auto"/>
            <w:tcBorders>
              <w:top w:val="single" w:sz="4" w:space="0" w:color="000000"/>
              <w:left w:val="single" w:sz="4" w:space="0" w:color="000000"/>
              <w:bottom w:val="single" w:sz="4" w:space="0" w:color="000000"/>
              <w:right w:val="single" w:sz="4" w:space="0" w:color="000000"/>
            </w:tcBorders>
            <w:shd w:val="clear" w:color="auto" w:fill="95B3D7"/>
            <w:tcMar>
              <w:top w:w="0" w:type="dxa"/>
              <w:left w:w="115" w:type="dxa"/>
              <w:bottom w:w="0" w:type="dxa"/>
              <w:right w:w="115" w:type="dxa"/>
            </w:tcMar>
            <w:hideMark/>
          </w:tcPr>
          <w:p w:rsidR="006F337A" w:rsidRPr="005330BD" w:rsidRDefault="006F337A" w:rsidP="00633BFF">
            <w:pPr>
              <w:pStyle w:val="NormalWeb"/>
              <w:spacing w:before="120" w:beforeAutospacing="0" w:after="0" w:afterAutospacing="0"/>
              <w:jc w:val="both"/>
              <w:rPr>
                <w:rFonts w:asciiTheme="minorHAnsi" w:hAnsiTheme="minorHAnsi"/>
                <w:lang w:val="en-GB"/>
              </w:rPr>
            </w:pPr>
            <w:r w:rsidRPr="005330BD">
              <w:rPr>
                <w:rFonts w:asciiTheme="minorHAnsi" w:hAnsiTheme="minorHAnsi"/>
                <w:b/>
                <w:bCs/>
                <w:color w:val="000000"/>
                <w:sz w:val="18"/>
                <w:szCs w:val="18"/>
                <w:lang w:val="en-GB"/>
              </w:rPr>
              <w:t>Follow-up and data collection</w:t>
            </w:r>
          </w:p>
          <w:p w:rsidR="006F337A" w:rsidRPr="005330BD" w:rsidRDefault="006F337A" w:rsidP="00633BFF">
            <w:pPr>
              <w:spacing w:after="240"/>
              <w:jc w:val="both"/>
              <w:rPr>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Patient characteristics were assessed at study entry. Information was obtained from the DrCOPD and the Danish National Patient Registry (DNPR). </w:t>
            </w:r>
          </w:p>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The DNPR holds data on all Danish in-hospital and out-patient-clinic contacts since 1977. </w:t>
            </w:r>
          </w:p>
        </w:tc>
      </w:tr>
      <w:tr w:rsidR="006F337A" w:rsidRPr="007D4A32" w:rsidTr="00633BFF">
        <w:trPr>
          <w:trHeight w:val="1134"/>
        </w:trPr>
        <w:tc>
          <w:tcPr>
            <w:tcW w:w="0" w:type="auto"/>
            <w:tcBorders>
              <w:top w:val="single" w:sz="4" w:space="0" w:color="000000"/>
              <w:left w:val="single" w:sz="4" w:space="0" w:color="000000"/>
              <w:bottom w:val="single" w:sz="4" w:space="0" w:color="000000"/>
              <w:right w:val="single" w:sz="4" w:space="0" w:color="000000"/>
            </w:tcBorders>
            <w:shd w:val="clear" w:color="auto" w:fill="95B3D7"/>
            <w:tcMar>
              <w:top w:w="0" w:type="dxa"/>
              <w:left w:w="115" w:type="dxa"/>
              <w:bottom w:w="0" w:type="dxa"/>
              <w:right w:w="115" w:type="dxa"/>
            </w:tcMar>
            <w:hideMark/>
          </w:tcPr>
          <w:p w:rsidR="006F337A" w:rsidRPr="005330BD" w:rsidRDefault="006F337A" w:rsidP="00633BFF">
            <w:pPr>
              <w:pStyle w:val="NormalWeb"/>
              <w:spacing w:before="120" w:beforeAutospacing="0" w:after="0" w:afterAutospacing="0"/>
              <w:jc w:val="both"/>
              <w:rPr>
                <w:rFonts w:asciiTheme="minorHAnsi" w:hAnsiTheme="minorHAnsi"/>
                <w:lang w:val="en-GB"/>
              </w:rPr>
            </w:pPr>
            <w:r w:rsidRPr="005330BD">
              <w:rPr>
                <w:rFonts w:asciiTheme="minorHAnsi" w:hAnsiTheme="minorHAnsi"/>
                <w:b/>
                <w:bCs/>
                <w:color w:val="000000"/>
                <w:sz w:val="18"/>
                <w:szCs w:val="18"/>
                <w:lang w:val="en-GB"/>
              </w:rPr>
              <w:lastRenderedPageBreak/>
              <w:t>Prognostic Factor</w:t>
            </w:r>
          </w:p>
          <w:p w:rsidR="006F337A" w:rsidRPr="005330BD" w:rsidRDefault="006F337A" w:rsidP="00633BFF">
            <w:pPr>
              <w:pStyle w:val="NormalWeb"/>
              <w:spacing w:before="120" w:beforeAutospacing="0" w:after="0" w:afterAutospacing="0"/>
              <w:jc w:val="both"/>
              <w:rPr>
                <w:rFonts w:asciiTheme="minorHAnsi" w:hAnsiTheme="minorHAnsi"/>
                <w:lang w:val="en-GB"/>
              </w:rPr>
            </w:pPr>
            <w:r w:rsidRPr="005330BD">
              <w:rPr>
                <w:rFonts w:asciiTheme="minorHAnsi" w:hAnsiTheme="minorHAnsi"/>
                <w:b/>
                <w:bCs/>
                <w:color w:val="000000"/>
                <w:sz w:val="18"/>
                <w:szCs w:val="18"/>
                <w:lang w:val="en-GB"/>
              </w:rPr>
              <w:t>Measurement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Exposure was defined as any P. aeruginosa-positive culture sample from the lower respiratory tract (i.e. sputum, tracheal secretion, bronchial secretion and bronchial alveolar lavage) after the study participant's entry date in the DrCOPD until end of follow-up on 31 October 2017. Exposure date was defined as the date of the first registered positive sample.</w:t>
            </w:r>
          </w:p>
        </w:tc>
      </w:tr>
      <w:tr w:rsidR="006F337A" w:rsidRPr="005330BD" w:rsidTr="00633BFF">
        <w:trPr>
          <w:trHeight w:val="274"/>
        </w:trPr>
        <w:tc>
          <w:tcPr>
            <w:tcW w:w="0" w:type="auto"/>
            <w:tcBorders>
              <w:top w:val="single" w:sz="4" w:space="0" w:color="000000"/>
              <w:left w:val="single" w:sz="4" w:space="0" w:color="000000"/>
              <w:bottom w:val="single" w:sz="4" w:space="0" w:color="000000"/>
              <w:right w:val="single" w:sz="4" w:space="0" w:color="000000"/>
            </w:tcBorders>
            <w:shd w:val="clear" w:color="auto" w:fill="95B3D7"/>
            <w:tcMar>
              <w:top w:w="0" w:type="dxa"/>
              <w:left w:w="115" w:type="dxa"/>
              <w:bottom w:w="0" w:type="dxa"/>
              <w:right w:w="115" w:type="dxa"/>
            </w:tcMar>
            <w:hideMark/>
          </w:tcPr>
          <w:p w:rsidR="006F337A" w:rsidRPr="005330BD" w:rsidRDefault="006F337A" w:rsidP="00633BFF">
            <w:pPr>
              <w:pStyle w:val="NormalWeb"/>
              <w:spacing w:before="120" w:beforeAutospacing="0" w:after="0" w:afterAutospacing="0"/>
              <w:jc w:val="both"/>
              <w:rPr>
                <w:rFonts w:asciiTheme="minorHAnsi" w:hAnsiTheme="minorHAnsi"/>
                <w:lang w:val="en-GB"/>
              </w:rPr>
            </w:pPr>
            <w:r w:rsidRPr="005330BD">
              <w:rPr>
                <w:rFonts w:asciiTheme="minorHAnsi" w:hAnsiTheme="minorHAnsi"/>
                <w:b/>
                <w:bCs/>
                <w:color w:val="000000"/>
                <w:sz w:val="18"/>
                <w:szCs w:val="18"/>
                <w:lang w:val="en-GB"/>
              </w:rPr>
              <w:t>Outcome measurement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Combined endpoint of hospitalization for exacerbation or all-cause death, and all-cause death separately, respectively, after 2 years.</w:t>
            </w:r>
          </w:p>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We chose to assess the outcome after 2 years since we expected a general low long-term survival rate in the study population based on previous national and international literature on mortality in COPD. Data on outcomes were retrieved from the DrCOPD and DNPR. Exacerbation was defined using the ICD-10 codes.</w:t>
            </w:r>
          </w:p>
        </w:tc>
      </w:tr>
      <w:tr w:rsidR="006F337A" w:rsidRPr="005330BD" w:rsidTr="00633BFF">
        <w:tc>
          <w:tcPr>
            <w:tcW w:w="0" w:type="auto"/>
            <w:tcBorders>
              <w:top w:val="single" w:sz="4" w:space="0" w:color="000000"/>
              <w:left w:val="single" w:sz="4" w:space="0" w:color="000000"/>
              <w:bottom w:val="single" w:sz="4" w:space="0" w:color="000000"/>
              <w:right w:val="single" w:sz="4" w:space="0" w:color="000000"/>
            </w:tcBorders>
            <w:shd w:val="clear" w:color="auto" w:fill="95B3D7"/>
            <w:tcMar>
              <w:top w:w="0" w:type="dxa"/>
              <w:left w:w="115" w:type="dxa"/>
              <w:bottom w:w="0" w:type="dxa"/>
              <w:right w:w="115" w:type="dxa"/>
            </w:tcMar>
            <w:hideMark/>
          </w:tcPr>
          <w:p w:rsidR="006F337A" w:rsidRPr="005330BD" w:rsidRDefault="006F337A" w:rsidP="00633BFF">
            <w:pPr>
              <w:pStyle w:val="NormalWeb"/>
              <w:spacing w:before="120" w:beforeAutospacing="0" w:after="0" w:afterAutospacing="0"/>
              <w:jc w:val="both"/>
              <w:rPr>
                <w:rFonts w:asciiTheme="minorHAnsi" w:hAnsiTheme="minorHAnsi"/>
                <w:lang w:val="en-GB"/>
              </w:rPr>
            </w:pPr>
            <w:r w:rsidRPr="005330BD">
              <w:rPr>
                <w:rFonts w:asciiTheme="minorHAnsi" w:hAnsiTheme="minorHAnsi"/>
                <w:b/>
                <w:bCs/>
                <w:color w:val="000000"/>
                <w:sz w:val="18"/>
                <w:szCs w:val="18"/>
                <w:lang w:val="en-GB"/>
              </w:rPr>
              <w:t>Statistical analysis</w:t>
            </w:r>
          </w:p>
          <w:p w:rsidR="006F337A" w:rsidRPr="005330BD" w:rsidRDefault="006F337A" w:rsidP="00633BFF">
            <w:pPr>
              <w:jc w:val="both"/>
              <w:rPr>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A greedy-matched propensity score model was applied as a sensitivity analysis, forming a subpopulation of patients with available microbiological data on culture samples from the lower respiratory tract. A second propensity score model, inverse probability of treatment weighting (IPTW) of propensity score, was additionally performed as a sensitivity analysis.</w:t>
            </w:r>
          </w:p>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Cox proportional hazard regression models and cumulative incidence plots </w:t>
            </w:r>
          </w:p>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Adjusted analysis for known and suspected confounders, assessed at study entry based on previous literature in the field: age (continuous), sex (male versus female), severity of airflow obstruction based on percentage predicted forced expiratory volume in the first second; forced expiratory volume (FEV1) (ordinal: 1e4), medical research council dyspnoea scale (MRC) (ordinal: 1-5), body mass index (BMI) (continuous), smoking status (active versus not active), previous hospitalization for exacerbation of COPD within 12 months prior to study entry (yes versus no), inhaled corticosteroid; ICS (yes versus no) and calendar year for entry in DrCOPD (ordinal: 2010-2017). Patients with unknown smoking status were classified as non-active smokers. No forward or backward variable selection was made.</w:t>
            </w:r>
          </w:p>
        </w:tc>
      </w:tr>
    </w:tbl>
    <w:p w:rsidR="006F337A" w:rsidRPr="005330BD" w:rsidRDefault="006F337A" w:rsidP="006F337A">
      <w:pPr>
        <w:jc w:val="both"/>
        <w:rPr>
          <w:lang w:val="en-GB"/>
        </w:rPr>
      </w:pPr>
    </w:p>
    <w:p w:rsidR="006F337A" w:rsidRPr="005330BD" w:rsidRDefault="006F337A" w:rsidP="006F337A">
      <w:pPr>
        <w:pStyle w:val="Ttol3"/>
        <w:jc w:val="both"/>
        <w:rPr>
          <w:rFonts w:asciiTheme="minorHAnsi" w:hAnsiTheme="minorHAnsi"/>
          <w:lang w:val="en-GB"/>
        </w:rPr>
      </w:pPr>
      <w:bookmarkStart w:id="20" w:name="_Toc65674765"/>
      <w:bookmarkStart w:id="21" w:name="_Toc65677685"/>
      <w:bookmarkStart w:id="22" w:name="_Toc66120100"/>
      <w:r w:rsidRPr="005330BD">
        <w:rPr>
          <w:rFonts w:asciiTheme="minorHAnsi" w:hAnsiTheme="minorHAnsi"/>
          <w:lang w:val="en-GB"/>
        </w:rPr>
        <w:t>Jacobs 2020</w:t>
      </w:r>
      <w:bookmarkEnd w:id="20"/>
      <w:bookmarkEnd w:id="21"/>
      <w:bookmarkEnd w:id="22"/>
    </w:p>
    <w:tbl>
      <w:tblPr>
        <w:tblW w:w="0" w:type="auto"/>
        <w:tblCellMar>
          <w:top w:w="15" w:type="dxa"/>
          <w:left w:w="15" w:type="dxa"/>
          <w:bottom w:w="15" w:type="dxa"/>
          <w:right w:w="15" w:type="dxa"/>
        </w:tblCellMar>
        <w:tblLook w:val="04A0"/>
      </w:tblPr>
      <w:tblGrid>
        <w:gridCol w:w="1776"/>
        <w:gridCol w:w="12440"/>
      </w:tblGrid>
      <w:tr w:rsidR="006F337A" w:rsidRPr="005330BD" w:rsidTr="00633BFF">
        <w:tc>
          <w:tcPr>
            <w:tcW w:w="0" w:type="auto"/>
            <w:tcBorders>
              <w:top w:val="single" w:sz="4" w:space="0" w:color="000000"/>
              <w:left w:val="single" w:sz="4" w:space="0" w:color="000000"/>
              <w:bottom w:val="single" w:sz="4" w:space="0" w:color="000000"/>
              <w:right w:val="single" w:sz="4" w:space="0" w:color="000000"/>
            </w:tcBorders>
            <w:shd w:val="clear" w:color="auto" w:fill="95B3D7"/>
            <w:tcMar>
              <w:top w:w="0" w:type="dxa"/>
              <w:left w:w="115" w:type="dxa"/>
              <w:bottom w:w="0" w:type="dxa"/>
              <w:right w:w="115" w:type="dxa"/>
            </w:tcMar>
            <w:hideMark/>
          </w:tcPr>
          <w:p w:rsidR="006F337A" w:rsidRPr="005330BD" w:rsidRDefault="006F337A" w:rsidP="00633BFF">
            <w:pPr>
              <w:pStyle w:val="NormalWeb"/>
              <w:spacing w:before="120" w:beforeAutospacing="0" w:after="0" w:afterAutospacing="0"/>
              <w:jc w:val="both"/>
              <w:rPr>
                <w:rFonts w:asciiTheme="minorHAnsi" w:hAnsiTheme="minorHAnsi"/>
                <w:lang w:val="en-GB"/>
              </w:rPr>
            </w:pPr>
            <w:r w:rsidRPr="005330BD">
              <w:rPr>
                <w:rFonts w:asciiTheme="minorHAnsi" w:hAnsiTheme="minorHAnsi"/>
                <w:b/>
                <w:bCs/>
                <w:color w:val="000000"/>
                <w:sz w:val="18"/>
                <w:szCs w:val="18"/>
                <w:lang w:val="en-GB"/>
              </w:rPr>
              <w:t>Study ID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b/>
                <w:bCs/>
                <w:color w:val="000000"/>
                <w:sz w:val="18"/>
                <w:szCs w:val="18"/>
                <w:lang w:val="en-GB"/>
              </w:rPr>
              <w:t>Jacobs 2020</w:t>
            </w:r>
          </w:p>
        </w:tc>
      </w:tr>
      <w:tr w:rsidR="006F337A" w:rsidRPr="007D4A32" w:rsidTr="00633BFF">
        <w:tc>
          <w:tcPr>
            <w:tcW w:w="0" w:type="auto"/>
            <w:tcBorders>
              <w:top w:val="single" w:sz="4" w:space="0" w:color="000000"/>
              <w:left w:val="single" w:sz="4" w:space="0" w:color="000000"/>
              <w:bottom w:val="single" w:sz="4" w:space="0" w:color="000000"/>
              <w:right w:val="single" w:sz="4" w:space="0" w:color="000000"/>
            </w:tcBorders>
            <w:shd w:val="clear" w:color="auto" w:fill="95B3D7"/>
            <w:tcMar>
              <w:top w:w="0" w:type="dxa"/>
              <w:left w:w="115" w:type="dxa"/>
              <w:bottom w:w="0" w:type="dxa"/>
              <w:right w:w="115" w:type="dxa"/>
            </w:tcMar>
            <w:hideMark/>
          </w:tcPr>
          <w:p w:rsidR="006F337A" w:rsidRPr="005330BD" w:rsidRDefault="006F337A" w:rsidP="00633BFF">
            <w:pPr>
              <w:pStyle w:val="NormalWeb"/>
              <w:spacing w:before="120" w:beforeAutospacing="0" w:after="0" w:afterAutospacing="0"/>
              <w:jc w:val="both"/>
              <w:rPr>
                <w:rFonts w:asciiTheme="minorHAnsi" w:hAnsiTheme="minorHAnsi"/>
                <w:lang w:val="en-GB"/>
              </w:rPr>
            </w:pPr>
            <w:r w:rsidRPr="005330BD">
              <w:rPr>
                <w:rFonts w:asciiTheme="minorHAnsi" w:hAnsiTheme="minorHAnsi"/>
                <w:b/>
                <w:bCs/>
                <w:color w:val="000000"/>
                <w:sz w:val="18"/>
                <w:szCs w:val="18"/>
                <w:lang w:val="en-GB"/>
              </w:rPr>
              <w:t>Objective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To determine whether PA isolation is associated with mortality and changes in exacerbation and hospitalization rates within a longitudinal cohort of COPD outpatients</w:t>
            </w:r>
          </w:p>
        </w:tc>
      </w:tr>
      <w:tr w:rsidR="006F337A" w:rsidRPr="005330BD" w:rsidTr="00633BFF">
        <w:tc>
          <w:tcPr>
            <w:tcW w:w="0" w:type="auto"/>
            <w:tcBorders>
              <w:top w:val="single" w:sz="4" w:space="0" w:color="000000"/>
              <w:left w:val="single" w:sz="4" w:space="0" w:color="000000"/>
              <w:bottom w:val="single" w:sz="4" w:space="0" w:color="000000"/>
              <w:right w:val="single" w:sz="4" w:space="0" w:color="000000"/>
            </w:tcBorders>
            <w:shd w:val="clear" w:color="auto" w:fill="95B3D7"/>
            <w:tcMar>
              <w:top w:w="0" w:type="dxa"/>
              <w:left w:w="115" w:type="dxa"/>
              <w:bottom w:w="0" w:type="dxa"/>
              <w:right w:w="115" w:type="dxa"/>
            </w:tcMar>
            <w:hideMark/>
          </w:tcPr>
          <w:p w:rsidR="006F337A" w:rsidRPr="005330BD" w:rsidRDefault="006F337A" w:rsidP="00633BFF">
            <w:pPr>
              <w:pStyle w:val="NormalWeb"/>
              <w:spacing w:before="120" w:beforeAutospacing="0" w:after="0" w:afterAutospacing="0"/>
              <w:jc w:val="both"/>
              <w:rPr>
                <w:rFonts w:asciiTheme="minorHAnsi" w:hAnsiTheme="minorHAnsi"/>
                <w:lang w:val="en-GB"/>
              </w:rPr>
            </w:pPr>
            <w:r w:rsidRPr="005330BD">
              <w:rPr>
                <w:rFonts w:asciiTheme="minorHAnsi" w:hAnsiTheme="minorHAnsi"/>
                <w:b/>
                <w:bCs/>
                <w:color w:val="000000"/>
                <w:sz w:val="18"/>
                <w:szCs w:val="18"/>
                <w:lang w:val="en-GB"/>
              </w:rPr>
              <w:t>Design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Prospective study</w:t>
            </w:r>
          </w:p>
        </w:tc>
      </w:tr>
      <w:tr w:rsidR="006F337A" w:rsidRPr="007D4A32" w:rsidTr="00633BFF">
        <w:tc>
          <w:tcPr>
            <w:tcW w:w="0" w:type="auto"/>
            <w:tcBorders>
              <w:top w:val="single" w:sz="4" w:space="0" w:color="000000"/>
              <w:left w:val="single" w:sz="4" w:space="0" w:color="000000"/>
              <w:bottom w:val="single" w:sz="4" w:space="0" w:color="000000"/>
              <w:right w:val="single" w:sz="4" w:space="0" w:color="000000"/>
            </w:tcBorders>
            <w:shd w:val="clear" w:color="auto" w:fill="95B3D7"/>
            <w:tcMar>
              <w:top w:w="0" w:type="dxa"/>
              <w:left w:w="115" w:type="dxa"/>
              <w:bottom w:w="0" w:type="dxa"/>
              <w:right w:w="115" w:type="dxa"/>
            </w:tcMar>
            <w:hideMark/>
          </w:tcPr>
          <w:p w:rsidR="006F337A" w:rsidRPr="005330BD" w:rsidRDefault="006F337A" w:rsidP="00633BFF">
            <w:pPr>
              <w:pStyle w:val="NormalWeb"/>
              <w:spacing w:before="120" w:beforeAutospacing="0" w:after="0" w:afterAutospacing="0"/>
              <w:jc w:val="both"/>
              <w:rPr>
                <w:rFonts w:asciiTheme="minorHAnsi" w:hAnsiTheme="minorHAnsi"/>
                <w:lang w:val="en-GB"/>
              </w:rPr>
            </w:pPr>
            <w:r w:rsidRPr="005330BD">
              <w:rPr>
                <w:rFonts w:asciiTheme="minorHAnsi" w:hAnsiTheme="minorHAnsi"/>
                <w:b/>
                <w:bCs/>
                <w:color w:val="000000"/>
                <w:sz w:val="18"/>
                <w:szCs w:val="18"/>
                <w:lang w:val="en-GB"/>
              </w:rPr>
              <w:t>Study participation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u w:val="single"/>
                <w:lang w:val="en-GB"/>
              </w:rPr>
              <w:t>Study population: </w:t>
            </w:r>
          </w:p>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Cohort of COPD stable or acute exacerbation outpatients (n=181)</w:t>
            </w:r>
          </w:p>
          <w:p w:rsidR="006F337A" w:rsidRPr="006F337A" w:rsidRDefault="006F337A" w:rsidP="00633BFF">
            <w:pPr>
              <w:pStyle w:val="NormalWeb"/>
              <w:spacing w:before="120" w:beforeAutospacing="0" w:after="120" w:afterAutospacing="0"/>
              <w:jc w:val="both"/>
              <w:rPr>
                <w:rFonts w:asciiTheme="minorHAnsi" w:hAnsiTheme="minorHAnsi"/>
              </w:rPr>
            </w:pPr>
            <w:r w:rsidRPr="006F337A">
              <w:rPr>
                <w:rFonts w:asciiTheme="minorHAnsi" w:hAnsiTheme="minorHAnsi"/>
                <w:color w:val="000000"/>
                <w:sz w:val="18"/>
                <w:szCs w:val="18"/>
                <w:u w:val="single"/>
              </w:rPr>
              <w:t>Inclusion criteria</w:t>
            </w:r>
            <w:r w:rsidRPr="006F337A">
              <w:rPr>
                <w:rFonts w:asciiTheme="minorHAnsi" w:hAnsiTheme="minorHAnsi"/>
                <w:color w:val="000000"/>
                <w:sz w:val="18"/>
                <w:szCs w:val="18"/>
              </w:rPr>
              <w:t>:</w:t>
            </w:r>
          </w:p>
          <w:p w:rsidR="006F337A" w:rsidRPr="006F337A" w:rsidRDefault="006F337A" w:rsidP="00633BFF">
            <w:pPr>
              <w:pStyle w:val="NormalWeb"/>
              <w:spacing w:before="120" w:beforeAutospacing="0" w:after="120" w:afterAutospacing="0"/>
              <w:jc w:val="both"/>
              <w:rPr>
                <w:rFonts w:asciiTheme="minorHAnsi" w:hAnsiTheme="minorHAnsi"/>
              </w:rPr>
            </w:pPr>
            <w:r w:rsidRPr="006F337A">
              <w:rPr>
                <w:rFonts w:asciiTheme="minorHAnsi" w:hAnsiTheme="minorHAnsi"/>
                <w:color w:val="000000"/>
                <w:sz w:val="18"/>
                <w:szCs w:val="18"/>
              </w:rPr>
              <w:t>NR</w:t>
            </w:r>
          </w:p>
          <w:p w:rsidR="006F337A" w:rsidRPr="006F337A" w:rsidRDefault="006F337A" w:rsidP="00633BFF">
            <w:pPr>
              <w:pStyle w:val="NormalWeb"/>
              <w:spacing w:before="120" w:beforeAutospacing="0" w:after="120" w:afterAutospacing="0"/>
              <w:jc w:val="both"/>
              <w:rPr>
                <w:rFonts w:asciiTheme="minorHAnsi" w:hAnsiTheme="minorHAnsi"/>
              </w:rPr>
            </w:pPr>
            <w:r w:rsidRPr="006F337A">
              <w:rPr>
                <w:rFonts w:asciiTheme="minorHAnsi" w:hAnsiTheme="minorHAnsi"/>
                <w:color w:val="000000"/>
                <w:sz w:val="18"/>
                <w:szCs w:val="18"/>
                <w:u w:val="single"/>
              </w:rPr>
              <w:lastRenderedPageBreak/>
              <w:t>Exclusion criteria</w:t>
            </w:r>
            <w:r w:rsidRPr="006F337A">
              <w:rPr>
                <w:rFonts w:asciiTheme="minorHAnsi" w:hAnsiTheme="minorHAnsi"/>
                <w:color w:val="000000"/>
                <w:sz w:val="18"/>
                <w:szCs w:val="18"/>
              </w:rPr>
              <w:t>:</w:t>
            </w:r>
          </w:p>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NR</w:t>
            </w:r>
          </w:p>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u w:val="single"/>
                <w:lang w:val="en-GB"/>
              </w:rPr>
              <w:t>Recruitment period and setting: </w:t>
            </w:r>
          </w:p>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The COPD study clinic is a prospective study that started in 1994 at the Buffalo VA Medical Center (VAMC). </w:t>
            </w:r>
          </w:p>
        </w:tc>
      </w:tr>
      <w:tr w:rsidR="006F337A" w:rsidRPr="007D4A32" w:rsidTr="00633BFF">
        <w:trPr>
          <w:trHeight w:val="416"/>
        </w:trPr>
        <w:tc>
          <w:tcPr>
            <w:tcW w:w="0" w:type="auto"/>
            <w:tcBorders>
              <w:top w:val="single" w:sz="4" w:space="0" w:color="000000"/>
              <w:left w:val="single" w:sz="4" w:space="0" w:color="000000"/>
              <w:bottom w:val="single" w:sz="4" w:space="0" w:color="000000"/>
              <w:right w:val="single" w:sz="4" w:space="0" w:color="000000"/>
            </w:tcBorders>
            <w:shd w:val="clear" w:color="auto" w:fill="95B3D7"/>
            <w:tcMar>
              <w:top w:w="0" w:type="dxa"/>
              <w:left w:w="115" w:type="dxa"/>
              <w:bottom w:w="0" w:type="dxa"/>
              <w:right w:w="115" w:type="dxa"/>
            </w:tcMar>
            <w:hideMark/>
          </w:tcPr>
          <w:p w:rsidR="006F337A" w:rsidRPr="005330BD" w:rsidRDefault="006F337A" w:rsidP="00633BFF">
            <w:pPr>
              <w:pStyle w:val="NormalWeb"/>
              <w:spacing w:before="120" w:beforeAutospacing="0" w:after="0" w:afterAutospacing="0"/>
              <w:jc w:val="both"/>
              <w:rPr>
                <w:rFonts w:asciiTheme="minorHAnsi" w:hAnsiTheme="minorHAnsi"/>
                <w:lang w:val="en-GB"/>
              </w:rPr>
            </w:pPr>
            <w:r w:rsidRPr="005330BD">
              <w:rPr>
                <w:rFonts w:asciiTheme="minorHAnsi" w:hAnsiTheme="minorHAnsi"/>
                <w:b/>
                <w:bCs/>
                <w:color w:val="000000"/>
                <w:sz w:val="18"/>
                <w:szCs w:val="18"/>
                <w:lang w:val="en-GB"/>
              </w:rPr>
              <w:lastRenderedPageBreak/>
              <w:t>Follow-up and data collection</w:t>
            </w:r>
          </w:p>
          <w:p w:rsidR="006F337A" w:rsidRPr="005330BD" w:rsidRDefault="006F337A" w:rsidP="00633BFF">
            <w:pPr>
              <w:spacing w:after="240"/>
              <w:jc w:val="both"/>
              <w:rPr>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Participants were evaluated monthly and whenever they had symptoms suggestive of an exacerbation. At clinic visits, clinical information and sputum and serum samples were obtained. A clinical evaluation was performed at each visit to determine whether the patients had stable disease or an exacerbation.</w:t>
            </w:r>
          </w:p>
        </w:tc>
      </w:tr>
      <w:tr w:rsidR="006F337A" w:rsidRPr="007D4A32" w:rsidTr="00633BFF">
        <w:trPr>
          <w:trHeight w:val="1134"/>
        </w:trPr>
        <w:tc>
          <w:tcPr>
            <w:tcW w:w="0" w:type="auto"/>
            <w:tcBorders>
              <w:top w:val="single" w:sz="4" w:space="0" w:color="000000"/>
              <w:left w:val="single" w:sz="4" w:space="0" w:color="000000"/>
              <w:bottom w:val="single" w:sz="4" w:space="0" w:color="000000"/>
              <w:right w:val="single" w:sz="4" w:space="0" w:color="000000"/>
            </w:tcBorders>
            <w:shd w:val="clear" w:color="auto" w:fill="95B3D7"/>
            <w:tcMar>
              <w:top w:w="0" w:type="dxa"/>
              <w:left w:w="115" w:type="dxa"/>
              <w:bottom w:w="0" w:type="dxa"/>
              <w:right w:w="115" w:type="dxa"/>
            </w:tcMar>
            <w:hideMark/>
          </w:tcPr>
          <w:p w:rsidR="006F337A" w:rsidRPr="005330BD" w:rsidRDefault="006F337A" w:rsidP="00633BFF">
            <w:pPr>
              <w:pStyle w:val="NormalWeb"/>
              <w:spacing w:before="120" w:beforeAutospacing="0" w:after="0" w:afterAutospacing="0"/>
              <w:jc w:val="both"/>
              <w:rPr>
                <w:rFonts w:asciiTheme="minorHAnsi" w:hAnsiTheme="minorHAnsi"/>
                <w:lang w:val="en-GB"/>
              </w:rPr>
            </w:pPr>
            <w:r w:rsidRPr="005330BD">
              <w:rPr>
                <w:rFonts w:asciiTheme="minorHAnsi" w:hAnsiTheme="minorHAnsi"/>
                <w:b/>
                <w:bCs/>
                <w:color w:val="000000"/>
                <w:sz w:val="18"/>
                <w:szCs w:val="18"/>
                <w:lang w:val="en-GB"/>
              </w:rPr>
              <w:t>Prognostic Factor</w:t>
            </w:r>
          </w:p>
          <w:p w:rsidR="006F337A" w:rsidRPr="005330BD" w:rsidRDefault="006F337A" w:rsidP="00633BFF">
            <w:pPr>
              <w:pStyle w:val="NormalWeb"/>
              <w:spacing w:before="120" w:beforeAutospacing="0" w:after="0" w:afterAutospacing="0"/>
              <w:jc w:val="both"/>
              <w:rPr>
                <w:rFonts w:asciiTheme="minorHAnsi" w:hAnsiTheme="minorHAnsi"/>
                <w:lang w:val="en-GB"/>
              </w:rPr>
            </w:pPr>
            <w:r w:rsidRPr="005330BD">
              <w:rPr>
                <w:rFonts w:asciiTheme="minorHAnsi" w:hAnsiTheme="minorHAnsi"/>
                <w:b/>
                <w:bCs/>
                <w:color w:val="000000"/>
                <w:sz w:val="18"/>
                <w:szCs w:val="18"/>
                <w:lang w:val="en-GB"/>
              </w:rPr>
              <w:t>Measurement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Spontaneously expectorated morning sputum samples were homogenized in 0.1% dithiothreitol, and serial dilutions were subjected to quantitative culture. Bacterial identification was performed using standard techniques. Pseudomonas aeruginosa isolation was identified by colony morphology, the absence of lactose fermentation, and the presence of oxidase.</w:t>
            </w:r>
          </w:p>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We further identified PA sputum culture-positive patients utilizing the microbiology records within the Buffalo VAMC electronic medical record (EMR). For the purposes of this study, patients were divided into 2 groups: those in whom PA was isolated in sputum (PA+) and those in whom PA was not isolated in sputum over the study period (PA−).</w:t>
            </w:r>
          </w:p>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Exposure was defined as any PA+ sputum culture after the study participant’s entry date into the study until end of follow-up. Exposure date was defined as the date of the first PA+ sputum culture.</w:t>
            </w:r>
          </w:p>
        </w:tc>
      </w:tr>
      <w:tr w:rsidR="006F337A" w:rsidRPr="007D4A32" w:rsidTr="00633BFF">
        <w:trPr>
          <w:trHeight w:val="274"/>
        </w:trPr>
        <w:tc>
          <w:tcPr>
            <w:tcW w:w="0" w:type="auto"/>
            <w:tcBorders>
              <w:top w:val="single" w:sz="4" w:space="0" w:color="000000"/>
              <w:left w:val="single" w:sz="4" w:space="0" w:color="000000"/>
              <w:bottom w:val="single" w:sz="4" w:space="0" w:color="000000"/>
              <w:right w:val="single" w:sz="4" w:space="0" w:color="000000"/>
            </w:tcBorders>
            <w:shd w:val="clear" w:color="auto" w:fill="95B3D7"/>
            <w:tcMar>
              <w:top w:w="0" w:type="dxa"/>
              <w:left w:w="115" w:type="dxa"/>
              <w:bottom w:w="0" w:type="dxa"/>
              <w:right w:w="115" w:type="dxa"/>
            </w:tcMar>
            <w:hideMark/>
          </w:tcPr>
          <w:p w:rsidR="006F337A" w:rsidRPr="005330BD" w:rsidRDefault="006F337A" w:rsidP="00633BFF">
            <w:pPr>
              <w:pStyle w:val="NormalWeb"/>
              <w:spacing w:before="120" w:beforeAutospacing="0" w:after="0" w:afterAutospacing="0"/>
              <w:jc w:val="both"/>
              <w:rPr>
                <w:rFonts w:asciiTheme="minorHAnsi" w:hAnsiTheme="minorHAnsi"/>
                <w:lang w:val="en-GB"/>
              </w:rPr>
            </w:pPr>
            <w:r w:rsidRPr="005330BD">
              <w:rPr>
                <w:rFonts w:asciiTheme="minorHAnsi" w:hAnsiTheme="minorHAnsi"/>
                <w:b/>
                <w:bCs/>
                <w:color w:val="000000"/>
                <w:sz w:val="18"/>
                <w:szCs w:val="18"/>
                <w:lang w:val="en-GB"/>
              </w:rPr>
              <w:t>Outcome measurement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Mortality at 36 months follow up period.</w:t>
            </w:r>
          </w:p>
          <w:p w:rsidR="006F337A" w:rsidRPr="005330BD" w:rsidRDefault="006F337A" w:rsidP="00633BFF">
            <w:pPr>
              <w:pStyle w:val="NormalWeb"/>
              <w:spacing w:before="120" w:beforeAutospacing="0" w:after="120" w:afterAutospacing="0"/>
              <w:ind w:left="720"/>
              <w:jc w:val="both"/>
              <w:rPr>
                <w:rFonts w:asciiTheme="minorHAnsi" w:hAnsiTheme="minorHAnsi"/>
                <w:lang w:val="en-GB"/>
              </w:rPr>
            </w:pPr>
            <w:r w:rsidRPr="005330BD">
              <w:rPr>
                <w:rFonts w:asciiTheme="minorHAnsi" w:hAnsiTheme="minorHAnsi"/>
                <w:color w:val="000000"/>
                <w:sz w:val="18"/>
                <w:szCs w:val="18"/>
                <w:lang w:val="en-GB"/>
              </w:rPr>
              <w:t>Survival time was defined as the interval between study entry and the date of death or the date of final follow-up in the VAMC EMR (May 31, 2017).</w:t>
            </w:r>
          </w:p>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Exacerbation rates and hospitalization rates per 100 person-month, including COPD-related hospitalizations</w:t>
            </w:r>
          </w:p>
          <w:p w:rsidR="006F337A" w:rsidRPr="005330BD" w:rsidRDefault="006F337A" w:rsidP="00633BFF">
            <w:pPr>
              <w:pStyle w:val="NormalWeb"/>
              <w:spacing w:before="120" w:beforeAutospacing="0" w:after="120" w:afterAutospacing="0"/>
              <w:ind w:left="720"/>
              <w:jc w:val="both"/>
              <w:rPr>
                <w:rFonts w:asciiTheme="minorHAnsi" w:hAnsiTheme="minorHAnsi"/>
                <w:lang w:val="en-GB"/>
              </w:rPr>
            </w:pPr>
            <w:r w:rsidRPr="005330BD">
              <w:rPr>
                <w:rFonts w:asciiTheme="minorHAnsi" w:hAnsiTheme="minorHAnsi"/>
                <w:color w:val="000000"/>
                <w:sz w:val="18"/>
                <w:szCs w:val="18"/>
                <w:lang w:val="en-GB"/>
              </w:rPr>
              <w:t>Only patients with complete data over the 36-month period were included (n = 133).</w:t>
            </w:r>
          </w:p>
        </w:tc>
      </w:tr>
      <w:tr w:rsidR="006F337A" w:rsidRPr="007D4A32" w:rsidTr="00633BFF">
        <w:tc>
          <w:tcPr>
            <w:tcW w:w="0" w:type="auto"/>
            <w:tcBorders>
              <w:top w:val="single" w:sz="4" w:space="0" w:color="000000"/>
              <w:left w:val="single" w:sz="4" w:space="0" w:color="000000"/>
              <w:bottom w:val="single" w:sz="4" w:space="0" w:color="000000"/>
              <w:right w:val="single" w:sz="4" w:space="0" w:color="000000"/>
            </w:tcBorders>
            <w:shd w:val="clear" w:color="auto" w:fill="95B3D7"/>
            <w:tcMar>
              <w:top w:w="0" w:type="dxa"/>
              <w:left w:w="115" w:type="dxa"/>
              <w:bottom w:w="0" w:type="dxa"/>
              <w:right w:w="115" w:type="dxa"/>
            </w:tcMar>
            <w:hideMark/>
          </w:tcPr>
          <w:p w:rsidR="006F337A" w:rsidRPr="005330BD" w:rsidRDefault="006F337A" w:rsidP="00633BFF">
            <w:pPr>
              <w:pStyle w:val="NormalWeb"/>
              <w:spacing w:before="120" w:beforeAutospacing="0" w:after="0" w:afterAutospacing="0"/>
              <w:jc w:val="both"/>
              <w:rPr>
                <w:rFonts w:asciiTheme="minorHAnsi" w:hAnsiTheme="minorHAnsi"/>
                <w:lang w:val="en-GB"/>
              </w:rPr>
            </w:pPr>
            <w:r w:rsidRPr="005330BD">
              <w:rPr>
                <w:rFonts w:asciiTheme="minorHAnsi" w:hAnsiTheme="minorHAnsi"/>
                <w:b/>
                <w:bCs/>
                <w:color w:val="000000"/>
                <w:sz w:val="18"/>
                <w:szCs w:val="18"/>
                <w:lang w:val="en-GB"/>
              </w:rPr>
              <w:t>Statistical analysis</w:t>
            </w:r>
          </w:p>
          <w:p w:rsidR="006F337A" w:rsidRPr="005330BD" w:rsidRDefault="006F337A" w:rsidP="00633BFF">
            <w:pPr>
              <w:jc w:val="both"/>
              <w:rPr>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Cox proportional hazard regression models (Kaplan-Meier survival curves and the log-rank test)</w:t>
            </w:r>
          </w:p>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Adjusted analysis for known and suspected confounders</w:t>
            </w:r>
          </w:p>
          <w:p w:rsidR="006F337A" w:rsidRPr="005330BD" w:rsidRDefault="006F337A" w:rsidP="00633BFF">
            <w:pPr>
              <w:pStyle w:val="NormalWeb"/>
              <w:spacing w:before="120" w:beforeAutospacing="0" w:after="120" w:afterAutospacing="0"/>
              <w:ind w:left="720"/>
              <w:jc w:val="both"/>
              <w:rPr>
                <w:rFonts w:asciiTheme="minorHAnsi" w:hAnsiTheme="minorHAnsi"/>
                <w:lang w:val="en-GB"/>
              </w:rPr>
            </w:pPr>
            <w:r w:rsidRPr="005330BD">
              <w:rPr>
                <w:rFonts w:asciiTheme="minorHAnsi" w:hAnsiTheme="minorHAnsi"/>
                <w:color w:val="000000"/>
                <w:sz w:val="18"/>
                <w:szCs w:val="18"/>
                <w:lang w:val="en-GB"/>
              </w:rPr>
              <w:t>Based on a review of the literature, the following patient characteristics were investigated as confounders in the model: age, race, smoking status (current vs. former), participant follow-up in primary study, Charlson comorbidity index, and FEV1% predicted.</w:t>
            </w:r>
          </w:p>
        </w:tc>
      </w:tr>
    </w:tbl>
    <w:p w:rsidR="006F337A" w:rsidRPr="005330BD" w:rsidRDefault="006F337A" w:rsidP="006F337A">
      <w:pPr>
        <w:jc w:val="both"/>
        <w:rPr>
          <w:lang w:val="en-GB"/>
        </w:rPr>
      </w:pPr>
    </w:p>
    <w:p w:rsidR="006F337A" w:rsidRPr="005330BD" w:rsidRDefault="006F337A" w:rsidP="006F337A">
      <w:pPr>
        <w:pStyle w:val="Ttol3"/>
        <w:jc w:val="both"/>
        <w:rPr>
          <w:rFonts w:asciiTheme="minorHAnsi" w:hAnsiTheme="minorHAnsi"/>
          <w:lang w:val="en-GB"/>
        </w:rPr>
      </w:pPr>
      <w:bookmarkStart w:id="23" w:name="_Toc65674766"/>
      <w:bookmarkStart w:id="24" w:name="_Toc65677686"/>
      <w:bookmarkStart w:id="25" w:name="_Toc66120101"/>
      <w:r w:rsidRPr="005330BD">
        <w:rPr>
          <w:rFonts w:asciiTheme="minorHAnsi" w:hAnsiTheme="minorHAnsi"/>
          <w:lang w:val="en-GB"/>
        </w:rPr>
        <w:lastRenderedPageBreak/>
        <w:t>Martínez-García 2021</w:t>
      </w:r>
      <w:bookmarkEnd w:id="23"/>
      <w:bookmarkEnd w:id="24"/>
      <w:bookmarkEnd w:id="25"/>
    </w:p>
    <w:tbl>
      <w:tblPr>
        <w:tblW w:w="0" w:type="auto"/>
        <w:tblCellMar>
          <w:top w:w="15" w:type="dxa"/>
          <w:left w:w="15" w:type="dxa"/>
          <w:bottom w:w="15" w:type="dxa"/>
          <w:right w:w="15" w:type="dxa"/>
        </w:tblCellMar>
        <w:tblLook w:val="04A0"/>
      </w:tblPr>
      <w:tblGrid>
        <w:gridCol w:w="1694"/>
        <w:gridCol w:w="12522"/>
      </w:tblGrid>
      <w:tr w:rsidR="006F337A" w:rsidRPr="005330BD" w:rsidTr="00633BFF">
        <w:tc>
          <w:tcPr>
            <w:tcW w:w="0" w:type="auto"/>
            <w:tcBorders>
              <w:top w:val="single" w:sz="4" w:space="0" w:color="000000"/>
              <w:left w:val="single" w:sz="4" w:space="0" w:color="000000"/>
              <w:bottom w:val="single" w:sz="4" w:space="0" w:color="000000"/>
              <w:right w:val="single" w:sz="4" w:space="0" w:color="000000"/>
            </w:tcBorders>
            <w:shd w:val="clear" w:color="auto" w:fill="95B3D7"/>
            <w:tcMar>
              <w:top w:w="0" w:type="dxa"/>
              <w:left w:w="115" w:type="dxa"/>
              <w:bottom w:w="0" w:type="dxa"/>
              <w:right w:w="115" w:type="dxa"/>
            </w:tcMar>
            <w:hideMark/>
          </w:tcPr>
          <w:p w:rsidR="006F337A" w:rsidRPr="005330BD" w:rsidRDefault="006F337A" w:rsidP="00633BFF">
            <w:pPr>
              <w:pStyle w:val="NormalWeb"/>
              <w:spacing w:before="120" w:beforeAutospacing="0" w:after="0" w:afterAutospacing="0"/>
              <w:jc w:val="both"/>
              <w:rPr>
                <w:rFonts w:asciiTheme="minorHAnsi" w:hAnsiTheme="minorHAnsi"/>
                <w:lang w:val="en-GB"/>
              </w:rPr>
            </w:pPr>
            <w:r w:rsidRPr="005330BD">
              <w:rPr>
                <w:rFonts w:asciiTheme="minorHAnsi" w:hAnsiTheme="minorHAnsi"/>
                <w:b/>
                <w:bCs/>
                <w:color w:val="000000"/>
                <w:sz w:val="18"/>
                <w:szCs w:val="18"/>
                <w:lang w:val="en-GB"/>
              </w:rPr>
              <w:t>Study ID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b/>
                <w:bCs/>
                <w:color w:val="000000"/>
                <w:sz w:val="18"/>
                <w:szCs w:val="18"/>
                <w:lang w:val="en-GB"/>
              </w:rPr>
              <w:t>Martínez-García 2021</w:t>
            </w:r>
          </w:p>
        </w:tc>
      </w:tr>
      <w:tr w:rsidR="006F337A" w:rsidRPr="007D4A32" w:rsidTr="00633BFF">
        <w:tc>
          <w:tcPr>
            <w:tcW w:w="0" w:type="auto"/>
            <w:tcBorders>
              <w:top w:val="single" w:sz="4" w:space="0" w:color="000000"/>
              <w:left w:val="single" w:sz="4" w:space="0" w:color="000000"/>
              <w:bottom w:val="single" w:sz="4" w:space="0" w:color="000000"/>
              <w:right w:val="single" w:sz="4" w:space="0" w:color="000000"/>
            </w:tcBorders>
            <w:shd w:val="clear" w:color="auto" w:fill="95B3D7"/>
            <w:tcMar>
              <w:top w:w="0" w:type="dxa"/>
              <w:left w:w="115" w:type="dxa"/>
              <w:bottom w:w="0" w:type="dxa"/>
              <w:right w:w="115" w:type="dxa"/>
            </w:tcMar>
            <w:hideMark/>
          </w:tcPr>
          <w:p w:rsidR="006F337A" w:rsidRPr="005330BD" w:rsidRDefault="006F337A" w:rsidP="00633BFF">
            <w:pPr>
              <w:pStyle w:val="NormalWeb"/>
              <w:spacing w:before="120" w:beforeAutospacing="0" w:after="0" w:afterAutospacing="0"/>
              <w:jc w:val="both"/>
              <w:rPr>
                <w:rFonts w:asciiTheme="minorHAnsi" w:hAnsiTheme="minorHAnsi"/>
                <w:lang w:val="en-GB"/>
              </w:rPr>
            </w:pPr>
            <w:r w:rsidRPr="005330BD">
              <w:rPr>
                <w:rFonts w:asciiTheme="minorHAnsi" w:hAnsiTheme="minorHAnsi"/>
                <w:b/>
                <w:bCs/>
                <w:color w:val="000000"/>
                <w:sz w:val="18"/>
                <w:szCs w:val="18"/>
                <w:lang w:val="en-GB"/>
              </w:rPr>
              <w:t>Objective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To investigate risk factors for new acquisition and persistence of PA infection and their relationship with all-cause mortality in patients with COPD.</w:t>
            </w:r>
          </w:p>
        </w:tc>
      </w:tr>
      <w:tr w:rsidR="006F337A" w:rsidRPr="005330BD" w:rsidTr="00633BFF">
        <w:tc>
          <w:tcPr>
            <w:tcW w:w="0" w:type="auto"/>
            <w:tcBorders>
              <w:top w:val="single" w:sz="4" w:space="0" w:color="000000"/>
              <w:left w:val="single" w:sz="4" w:space="0" w:color="000000"/>
              <w:bottom w:val="single" w:sz="4" w:space="0" w:color="000000"/>
              <w:right w:val="single" w:sz="4" w:space="0" w:color="000000"/>
            </w:tcBorders>
            <w:shd w:val="clear" w:color="auto" w:fill="95B3D7"/>
            <w:tcMar>
              <w:top w:w="0" w:type="dxa"/>
              <w:left w:w="115" w:type="dxa"/>
              <w:bottom w:w="0" w:type="dxa"/>
              <w:right w:w="115" w:type="dxa"/>
            </w:tcMar>
            <w:hideMark/>
          </w:tcPr>
          <w:p w:rsidR="006F337A" w:rsidRPr="005330BD" w:rsidRDefault="006F337A" w:rsidP="00633BFF">
            <w:pPr>
              <w:pStyle w:val="NormalWeb"/>
              <w:spacing w:before="120" w:beforeAutospacing="0" w:after="0" w:afterAutospacing="0"/>
              <w:jc w:val="both"/>
              <w:rPr>
                <w:rFonts w:asciiTheme="minorHAnsi" w:hAnsiTheme="minorHAnsi"/>
                <w:lang w:val="en-GB"/>
              </w:rPr>
            </w:pPr>
            <w:r w:rsidRPr="005330BD">
              <w:rPr>
                <w:rFonts w:asciiTheme="minorHAnsi" w:hAnsiTheme="minorHAnsi"/>
                <w:b/>
                <w:bCs/>
                <w:color w:val="000000"/>
                <w:sz w:val="18"/>
                <w:szCs w:val="18"/>
                <w:lang w:val="en-GB"/>
              </w:rPr>
              <w:t>Design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Prospective study</w:t>
            </w:r>
          </w:p>
        </w:tc>
      </w:tr>
      <w:tr w:rsidR="006F337A" w:rsidRPr="007D4A32" w:rsidTr="00633BFF">
        <w:tc>
          <w:tcPr>
            <w:tcW w:w="0" w:type="auto"/>
            <w:tcBorders>
              <w:top w:val="single" w:sz="4" w:space="0" w:color="000000"/>
              <w:left w:val="single" w:sz="4" w:space="0" w:color="000000"/>
              <w:bottom w:val="single" w:sz="4" w:space="0" w:color="000000"/>
              <w:right w:val="single" w:sz="4" w:space="0" w:color="000000"/>
            </w:tcBorders>
            <w:shd w:val="clear" w:color="auto" w:fill="95B3D7"/>
            <w:tcMar>
              <w:top w:w="0" w:type="dxa"/>
              <w:left w:w="115" w:type="dxa"/>
              <w:bottom w:w="0" w:type="dxa"/>
              <w:right w:w="115" w:type="dxa"/>
            </w:tcMar>
            <w:hideMark/>
          </w:tcPr>
          <w:p w:rsidR="006F337A" w:rsidRPr="005330BD" w:rsidRDefault="006F337A" w:rsidP="00633BFF">
            <w:pPr>
              <w:pStyle w:val="NormalWeb"/>
              <w:spacing w:before="120" w:beforeAutospacing="0" w:after="0" w:afterAutospacing="0"/>
              <w:jc w:val="both"/>
              <w:rPr>
                <w:rFonts w:asciiTheme="minorHAnsi" w:hAnsiTheme="minorHAnsi"/>
                <w:lang w:val="en-GB"/>
              </w:rPr>
            </w:pPr>
            <w:r w:rsidRPr="005330BD">
              <w:rPr>
                <w:rFonts w:asciiTheme="minorHAnsi" w:hAnsiTheme="minorHAnsi"/>
                <w:b/>
                <w:bCs/>
                <w:color w:val="000000"/>
                <w:sz w:val="18"/>
                <w:szCs w:val="18"/>
                <w:lang w:val="en-GB"/>
              </w:rPr>
              <w:t>Study participation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u w:val="single"/>
                <w:lang w:val="en-GB"/>
              </w:rPr>
              <w:t>Study population:</w:t>
            </w:r>
          </w:p>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Cohort of consecutive COPD patients (GOLD II-IV) (n=170) who were free of previous PA isolation and followed up every 3-6 months for 85 months (50.25-110.25 months).</w:t>
            </w:r>
          </w:p>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u w:val="single"/>
                <w:lang w:val="en-GB"/>
              </w:rPr>
              <w:t>Inclusion criteria</w:t>
            </w:r>
            <w:r w:rsidRPr="005330BD">
              <w:rPr>
                <w:rFonts w:asciiTheme="minorHAnsi" w:hAnsiTheme="minorHAnsi"/>
                <w:color w:val="000000"/>
                <w:sz w:val="18"/>
                <w:szCs w:val="18"/>
                <w:lang w:val="en-GB"/>
              </w:rPr>
              <w:t>:</w:t>
            </w:r>
          </w:p>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Patients with GOLD II-IV COPD according to the Global Initiative for Chronic Obstructive Lung Disease criteria, who were able to provide spontaneous valid sputum samples for bacterial culture.</w:t>
            </w:r>
          </w:p>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u w:val="single"/>
                <w:lang w:val="en-GB"/>
              </w:rPr>
              <w:t>Exclusion criteria</w:t>
            </w:r>
            <w:r w:rsidRPr="005330BD">
              <w:rPr>
                <w:rFonts w:asciiTheme="minorHAnsi" w:hAnsiTheme="minorHAnsi"/>
                <w:color w:val="000000"/>
                <w:sz w:val="18"/>
                <w:szCs w:val="18"/>
                <w:lang w:val="en-GB"/>
              </w:rPr>
              <w:t>:</w:t>
            </w:r>
          </w:p>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Patients in whom PA had been isolated before recruitment were excluded. Likewise, patients with primary diagnosis of bronchiectasis or asthma were excluded too.</w:t>
            </w:r>
          </w:p>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u w:val="single"/>
                <w:lang w:val="en-GB"/>
              </w:rPr>
              <w:t>Recruitment period and setting: </w:t>
            </w:r>
          </w:p>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COPD patients were recruited between January 2004 and February 2007 in two tertiary COPD outpatient clinics in Spain followed-up every 3–6 months, depending on the severity of their clinical condition, until the end of 2015.</w:t>
            </w:r>
          </w:p>
        </w:tc>
      </w:tr>
      <w:tr w:rsidR="006F337A" w:rsidRPr="007D4A32" w:rsidTr="00633BFF">
        <w:trPr>
          <w:trHeight w:val="416"/>
        </w:trPr>
        <w:tc>
          <w:tcPr>
            <w:tcW w:w="0" w:type="auto"/>
            <w:tcBorders>
              <w:top w:val="single" w:sz="4" w:space="0" w:color="000000"/>
              <w:left w:val="single" w:sz="4" w:space="0" w:color="000000"/>
              <w:bottom w:val="single" w:sz="4" w:space="0" w:color="000000"/>
              <w:right w:val="single" w:sz="4" w:space="0" w:color="000000"/>
            </w:tcBorders>
            <w:shd w:val="clear" w:color="auto" w:fill="95B3D7"/>
            <w:tcMar>
              <w:top w:w="0" w:type="dxa"/>
              <w:left w:w="115" w:type="dxa"/>
              <w:bottom w:w="0" w:type="dxa"/>
              <w:right w:w="115" w:type="dxa"/>
            </w:tcMar>
            <w:hideMark/>
          </w:tcPr>
          <w:p w:rsidR="006F337A" w:rsidRPr="005330BD" w:rsidRDefault="006F337A" w:rsidP="00633BFF">
            <w:pPr>
              <w:pStyle w:val="NormalWeb"/>
              <w:spacing w:before="120" w:beforeAutospacing="0" w:after="0" w:afterAutospacing="0"/>
              <w:jc w:val="both"/>
              <w:rPr>
                <w:rFonts w:asciiTheme="minorHAnsi" w:hAnsiTheme="minorHAnsi"/>
                <w:lang w:val="en-GB"/>
              </w:rPr>
            </w:pPr>
            <w:r w:rsidRPr="005330BD">
              <w:rPr>
                <w:rFonts w:asciiTheme="minorHAnsi" w:hAnsiTheme="minorHAnsi"/>
                <w:b/>
                <w:bCs/>
                <w:color w:val="000000"/>
                <w:sz w:val="18"/>
                <w:szCs w:val="18"/>
                <w:lang w:val="en-GB"/>
              </w:rPr>
              <w:t>Follow-up and data collection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F337A" w:rsidRPr="005330BD" w:rsidRDefault="006F337A" w:rsidP="00633BFF">
            <w:pPr>
              <w:pStyle w:val="NormalWeb"/>
              <w:spacing w:before="0" w:beforeAutospacing="0" w:after="0" w:afterAutospacing="0"/>
              <w:jc w:val="both"/>
              <w:rPr>
                <w:rFonts w:asciiTheme="minorHAnsi" w:hAnsiTheme="minorHAnsi"/>
                <w:lang w:val="en-GB"/>
              </w:rPr>
            </w:pPr>
            <w:r w:rsidRPr="005330BD">
              <w:rPr>
                <w:rFonts w:asciiTheme="minorHAnsi" w:hAnsiTheme="minorHAnsi"/>
                <w:color w:val="000000"/>
                <w:sz w:val="18"/>
                <w:szCs w:val="18"/>
                <w:lang w:val="en-GB"/>
              </w:rPr>
              <w:t>All measurements were obtained in clinically stable conditions (at least 6 weeks from an exacerbation, if any).</w:t>
            </w:r>
          </w:p>
        </w:tc>
      </w:tr>
      <w:tr w:rsidR="006F337A" w:rsidRPr="007D4A32" w:rsidTr="00633BFF">
        <w:trPr>
          <w:trHeight w:val="1134"/>
        </w:trPr>
        <w:tc>
          <w:tcPr>
            <w:tcW w:w="0" w:type="auto"/>
            <w:tcBorders>
              <w:top w:val="single" w:sz="4" w:space="0" w:color="000000"/>
              <w:left w:val="single" w:sz="4" w:space="0" w:color="000000"/>
              <w:bottom w:val="single" w:sz="4" w:space="0" w:color="000000"/>
              <w:right w:val="single" w:sz="4" w:space="0" w:color="000000"/>
            </w:tcBorders>
            <w:shd w:val="clear" w:color="auto" w:fill="95B3D7"/>
            <w:tcMar>
              <w:top w:w="0" w:type="dxa"/>
              <w:left w:w="115" w:type="dxa"/>
              <w:bottom w:w="0" w:type="dxa"/>
              <w:right w:w="115" w:type="dxa"/>
            </w:tcMar>
            <w:hideMark/>
          </w:tcPr>
          <w:p w:rsidR="006F337A" w:rsidRPr="005330BD" w:rsidRDefault="006F337A" w:rsidP="00633BFF">
            <w:pPr>
              <w:pStyle w:val="NormalWeb"/>
              <w:spacing w:before="120" w:beforeAutospacing="0" w:after="0" w:afterAutospacing="0"/>
              <w:jc w:val="both"/>
              <w:rPr>
                <w:rFonts w:asciiTheme="minorHAnsi" w:hAnsiTheme="minorHAnsi"/>
                <w:lang w:val="en-GB"/>
              </w:rPr>
            </w:pPr>
            <w:r w:rsidRPr="005330BD">
              <w:rPr>
                <w:rFonts w:asciiTheme="minorHAnsi" w:hAnsiTheme="minorHAnsi"/>
                <w:b/>
                <w:bCs/>
                <w:color w:val="000000"/>
                <w:sz w:val="18"/>
                <w:szCs w:val="18"/>
                <w:lang w:val="en-GB"/>
              </w:rPr>
              <w:t>Prognostic Factor</w:t>
            </w:r>
          </w:p>
          <w:p w:rsidR="006F337A" w:rsidRPr="005330BD" w:rsidRDefault="006F337A" w:rsidP="00633BFF">
            <w:pPr>
              <w:pStyle w:val="NormalWeb"/>
              <w:spacing w:before="120" w:beforeAutospacing="0" w:after="0" w:afterAutospacing="0"/>
              <w:jc w:val="both"/>
              <w:rPr>
                <w:rFonts w:asciiTheme="minorHAnsi" w:hAnsiTheme="minorHAnsi"/>
                <w:lang w:val="en-GB"/>
              </w:rPr>
            </w:pPr>
            <w:r w:rsidRPr="005330BD">
              <w:rPr>
                <w:rFonts w:asciiTheme="minorHAnsi" w:hAnsiTheme="minorHAnsi"/>
                <w:b/>
                <w:bCs/>
                <w:color w:val="000000"/>
                <w:sz w:val="18"/>
                <w:szCs w:val="18"/>
                <w:lang w:val="en-GB"/>
              </w:rPr>
              <w:t>Measurement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F337A" w:rsidRPr="005330BD" w:rsidRDefault="006F337A" w:rsidP="00633BFF">
            <w:pPr>
              <w:pStyle w:val="NormalWeb"/>
              <w:spacing w:before="0" w:beforeAutospacing="0" w:after="0" w:afterAutospacing="0"/>
              <w:jc w:val="both"/>
              <w:rPr>
                <w:rFonts w:asciiTheme="minorHAnsi" w:hAnsiTheme="minorHAnsi"/>
                <w:lang w:val="en-GB"/>
              </w:rPr>
            </w:pPr>
            <w:r w:rsidRPr="005330BD">
              <w:rPr>
                <w:rFonts w:asciiTheme="minorHAnsi" w:hAnsiTheme="minorHAnsi"/>
                <w:color w:val="000000"/>
                <w:sz w:val="18"/>
                <w:szCs w:val="18"/>
                <w:lang w:val="en-GB"/>
              </w:rPr>
              <w:t>At each clinical visit, patients were asked to provide at least two sputum samples for microbiological assessment. Briefly, patients were taught to collect sputum samples at home using the most sterile technique possible and were asked to bring these samples to</w:t>
            </w:r>
            <w:r w:rsidRPr="005330BD">
              <w:rPr>
                <w:rFonts w:asciiTheme="minorHAnsi" w:hAnsiTheme="minorHAnsi"/>
                <w:color w:val="000000"/>
                <w:lang w:val="en-GB"/>
              </w:rPr>
              <w:t xml:space="preserve"> </w:t>
            </w:r>
            <w:r w:rsidRPr="005330BD">
              <w:rPr>
                <w:rFonts w:asciiTheme="minorHAnsi" w:hAnsiTheme="minorHAnsi"/>
                <w:color w:val="000000"/>
                <w:sz w:val="18"/>
                <w:szCs w:val="18"/>
                <w:lang w:val="en-GB"/>
              </w:rPr>
              <w:t>hospital within less than 3 h after collection. Only sputum samples with &lt;25 squamous epithelial cells and &gt;25 leukocytes per high-powered field were processed further. In these samples, sputum was separated from saliva, Gram stained, and homogenized, and diluted secretions were plated on blood, chocolate, McConkey, and Saboreaud agar. A cut-off point of &gt;10^3 CFU was used to identify abnormal positive culture results for PA or other PPM (e.g.Haemophilus influenzae – HI).</w:t>
            </w:r>
          </w:p>
        </w:tc>
      </w:tr>
      <w:tr w:rsidR="006F337A" w:rsidRPr="007D4A32" w:rsidTr="00633BFF">
        <w:trPr>
          <w:trHeight w:val="274"/>
        </w:trPr>
        <w:tc>
          <w:tcPr>
            <w:tcW w:w="0" w:type="auto"/>
            <w:tcBorders>
              <w:top w:val="single" w:sz="4" w:space="0" w:color="000000"/>
              <w:left w:val="single" w:sz="4" w:space="0" w:color="000000"/>
              <w:bottom w:val="single" w:sz="4" w:space="0" w:color="000000"/>
              <w:right w:val="single" w:sz="4" w:space="0" w:color="000000"/>
            </w:tcBorders>
            <w:shd w:val="clear" w:color="auto" w:fill="95B3D7"/>
            <w:tcMar>
              <w:top w:w="0" w:type="dxa"/>
              <w:left w:w="115" w:type="dxa"/>
              <w:bottom w:w="0" w:type="dxa"/>
              <w:right w:w="115" w:type="dxa"/>
            </w:tcMar>
            <w:hideMark/>
          </w:tcPr>
          <w:p w:rsidR="006F337A" w:rsidRPr="005330BD" w:rsidRDefault="006F337A" w:rsidP="00633BFF">
            <w:pPr>
              <w:pStyle w:val="NormalWeb"/>
              <w:spacing w:before="120" w:beforeAutospacing="0" w:after="0" w:afterAutospacing="0"/>
              <w:jc w:val="both"/>
              <w:rPr>
                <w:rFonts w:asciiTheme="minorHAnsi" w:hAnsiTheme="minorHAnsi"/>
                <w:lang w:val="en-GB"/>
              </w:rPr>
            </w:pPr>
            <w:r w:rsidRPr="005330BD">
              <w:rPr>
                <w:rFonts w:asciiTheme="minorHAnsi" w:hAnsiTheme="minorHAnsi"/>
                <w:b/>
                <w:bCs/>
                <w:color w:val="000000"/>
                <w:sz w:val="18"/>
                <w:szCs w:val="18"/>
                <w:lang w:val="en-GB"/>
              </w:rPr>
              <w:t>Outcome measurement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F337A" w:rsidRPr="005330BD" w:rsidRDefault="006F337A" w:rsidP="00633BFF">
            <w:pPr>
              <w:pStyle w:val="NormalWeb"/>
              <w:spacing w:before="0" w:beforeAutospacing="0" w:after="0" w:afterAutospacing="0"/>
              <w:jc w:val="both"/>
              <w:rPr>
                <w:rFonts w:asciiTheme="minorHAnsi" w:hAnsiTheme="minorHAnsi"/>
                <w:lang w:val="en-GB"/>
              </w:rPr>
            </w:pPr>
            <w:r w:rsidRPr="005330BD">
              <w:rPr>
                <w:rFonts w:asciiTheme="minorHAnsi" w:hAnsiTheme="minorHAnsi"/>
                <w:color w:val="000000"/>
                <w:sz w:val="18"/>
                <w:szCs w:val="18"/>
                <w:lang w:val="en-GB"/>
              </w:rPr>
              <w:t>Standardized protocols in all patients at all clinical visits were used to record symptoms, exacerbations and hospitalizations. </w:t>
            </w:r>
          </w:p>
          <w:p w:rsidR="006F337A" w:rsidRPr="005330BD" w:rsidRDefault="006F337A" w:rsidP="00633BFF">
            <w:pPr>
              <w:pStyle w:val="NormalWeb"/>
              <w:spacing w:before="0" w:beforeAutospacing="0" w:after="0" w:afterAutospacing="0"/>
              <w:jc w:val="both"/>
              <w:rPr>
                <w:rFonts w:asciiTheme="minorHAnsi" w:hAnsiTheme="minorHAnsi"/>
                <w:lang w:val="en-GB"/>
              </w:rPr>
            </w:pPr>
            <w:r w:rsidRPr="005330BD">
              <w:rPr>
                <w:rFonts w:asciiTheme="minorHAnsi" w:hAnsiTheme="minorHAnsi"/>
                <w:color w:val="000000"/>
                <w:sz w:val="18"/>
                <w:szCs w:val="18"/>
                <w:lang w:val="en-GB"/>
              </w:rPr>
              <w:t>Annual exacerbation rates (total, moderate and severe) at 85 follow up period:</w:t>
            </w:r>
          </w:p>
          <w:p w:rsidR="006F337A" w:rsidRPr="005330BD" w:rsidRDefault="006F337A" w:rsidP="00633BFF">
            <w:pPr>
              <w:pStyle w:val="NormalWeb"/>
              <w:spacing w:before="0" w:beforeAutospacing="0" w:after="0" w:afterAutospacing="0"/>
              <w:ind w:left="720"/>
              <w:jc w:val="both"/>
              <w:rPr>
                <w:rFonts w:asciiTheme="minorHAnsi" w:hAnsiTheme="minorHAnsi"/>
                <w:lang w:val="en-GB"/>
              </w:rPr>
            </w:pPr>
            <w:r w:rsidRPr="005330BD">
              <w:rPr>
                <w:rFonts w:asciiTheme="minorHAnsi" w:hAnsiTheme="minorHAnsi"/>
                <w:color w:val="000000"/>
                <w:sz w:val="18"/>
                <w:szCs w:val="18"/>
                <w:lang w:val="en-GB"/>
              </w:rPr>
              <w:t>Moderate COPD exacerbations were defined by the increase in at least 2 cardinal symptoms (dyspnoea, sputum quantity or purulence) requiring oral antibiotic and/or short course of oral steroids therapy. Severe COPD exacerbations were defined as those requiring hospitalization. </w:t>
            </w:r>
          </w:p>
          <w:p w:rsidR="006F337A" w:rsidRPr="005330BD" w:rsidRDefault="006F337A" w:rsidP="00633BFF">
            <w:pPr>
              <w:jc w:val="both"/>
              <w:rPr>
                <w:lang w:val="en-GB"/>
              </w:rPr>
            </w:pPr>
          </w:p>
          <w:p w:rsidR="006F337A" w:rsidRPr="005330BD" w:rsidRDefault="006F337A" w:rsidP="00633BFF">
            <w:pPr>
              <w:pStyle w:val="NormalWeb"/>
              <w:spacing w:before="0" w:beforeAutospacing="0" w:after="0" w:afterAutospacing="0"/>
              <w:jc w:val="both"/>
              <w:rPr>
                <w:rFonts w:asciiTheme="minorHAnsi" w:hAnsiTheme="minorHAnsi"/>
                <w:lang w:val="en-GB"/>
              </w:rPr>
            </w:pPr>
            <w:r w:rsidRPr="005330BD">
              <w:rPr>
                <w:rFonts w:asciiTheme="minorHAnsi" w:hAnsiTheme="minorHAnsi"/>
                <w:color w:val="000000"/>
                <w:sz w:val="18"/>
                <w:szCs w:val="18"/>
                <w:lang w:val="en-GB"/>
              </w:rPr>
              <w:t>All-cause mortality </w:t>
            </w:r>
          </w:p>
        </w:tc>
      </w:tr>
      <w:tr w:rsidR="006F337A" w:rsidRPr="007D4A32" w:rsidTr="00633BFF">
        <w:tc>
          <w:tcPr>
            <w:tcW w:w="0" w:type="auto"/>
            <w:tcBorders>
              <w:top w:val="single" w:sz="4" w:space="0" w:color="000000"/>
              <w:left w:val="single" w:sz="4" w:space="0" w:color="000000"/>
              <w:bottom w:val="single" w:sz="4" w:space="0" w:color="000000"/>
              <w:right w:val="single" w:sz="4" w:space="0" w:color="000000"/>
            </w:tcBorders>
            <w:shd w:val="clear" w:color="auto" w:fill="95B3D7"/>
            <w:tcMar>
              <w:top w:w="0" w:type="dxa"/>
              <w:left w:w="115" w:type="dxa"/>
              <w:bottom w:w="0" w:type="dxa"/>
              <w:right w:w="115" w:type="dxa"/>
            </w:tcMar>
            <w:hideMark/>
          </w:tcPr>
          <w:p w:rsidR="006F337A" w:rsidRPr="005330BD" w:rsidRDefault="006F337A" w:rsidP="00633BFF">
            <w:pPr>
              <w:pStyle w:val="NormalWeb"/>
              <w:spacing w:before="120" w:beforeAutospacing="0" w:after="0" w:afterAutospacing="0"/>
              <w:jc w:val="both"/>
              <w:rPr>
                <w:rFonts w:asciiTheme="minorHAnsi" w:hAnsiTheme="minorHAnsi"/>
                <w:lang w:val="en-GB"/>
              </w:rPr>
            </w:pPr>
            <w:r w:rsidRPr="005330BD">
              <w:rPr>
                <w:rFonts w:asciiTheme="minorHAnsi" w:hAnsiTheme="minorHAnsi"/>
                <w:b/>
                <w:bCs/>
                <w:color w:val="000000"/>
                <w:sz w:val="18"/>
                <w:szCs w:val="18"/>
                <w:lang w:val="en-GB"/>
              </w:rPr>
              <w:lastRenderedPageBreak/>
              <w:t>Statistical analysis</w:t>
            </w:r>
          </w:p>
          <w:p w:rsidR="006F337A" w:rsidRPr="005330BD" w:rsidRDefault="006F337A" w:rsidP="00633BFF">
            <w:pPr>
              <w:jc w:val="both"/>
              <w:rPr>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Cox proportional hazard regression analysis (Kaplan Meier survival curves)</w:t>
            </w:r>
          </w:p>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Adjusted analysis for known and suspected confounders: </w:t>
            </w:r>
          </w:p>
          <w:p w:rsidR="006F337A" w:rsidRPr="005330BD" w:rsidRDefault="006F337A" w:rsidP="00633BFF">
            <w:pPr>
              <w:pStyle w:val="NormalWeb"/>
              <w:spacing w:before="0" w:beforeAutospacing="0" w:after="0" w:afterAutospacing="0"/>
              <w:jc w:val="both"/>
              <w:rPr>
                <w:rFonts w:asciiTheme="minorHAnsi" w:hAnsiTheme="minorHAnsi"/>
                <w:lang w:val="en-GB"/>
              </w:rPr>
            </w:pPr>
            <w:r w:rsidRPr="005330BD">
              <w:rPr>
                <w:rFonts w:asciiTheme="minorHAnsi" w:hAnsiTheme="minorHAnsi"/>
                <w:color w:val="000000"/>
                <w:sz w:val="18"/>
                <w:szCs w:val="18"/>
                <w:lang w:val="en-GB"/>
              </w:rPr>
              <w:t>The statistically significant variables identified by the bivariate analysis between groups were included in the models, but they are not listed in the paper. In addition, a forward stepwise technique (Wald test) that removed variables with p&gt;0.1 from the final model was used.</w:t>
            </w:r>
          </w:p>
        </w:tc>
      </w:tr>
    </w:tbl>
    <w:p w:rsidR="006F337A" w:rsidRPr="005330BD" w:rsidRDefault="006F337A" w:rsidP="006F337A">
      <w:pPr>
        <w:jc w:val="both"/>
        <w:rPr>
          <w:lang w:val="en-GB"/>
        </w:rPr>
      </w:pPr>
    </w:p>
    <w:p w:rsidR="006F337A" w:rsidRPr="005330BD" w:rsidRDefault="006F337A" w:rsidP="006F337A">
      <w:pPr>
        <w:pStyle w:val="Ttol3"/>
        <w:jc w:val="both"/>
        <w:rPr>
          <w:rFonts w:asciiTheme="minorHAnsi" w:hAnsiTheme="minorHAnsi"/>
          <w:lang w:val="en-GB"/>
        </w:rPr>
      </w:pPr>
      <w:bookmarkStart w:id="26" w:name="_Toc65674768"/>
      <w:bookmarkStart w:id="27" w:name="_Toc65677688"/>
      <w:bookmarkStart w:id="28" w:name="_Toc66120103"/>
      <w:r w:rsidRPr="005330BD">
        <w:rPr>
          <w:rFonts w:asciiTheme="minorHAnsi" w:hAnsiTheme="minorHAnsi"/>
          <w:lang w:val="en-GB"/>
        </w:rPr>
        <w:t>Rodrigo-Troyano 2018</w:t>
      </w:r>
      <w:bookmarkEnd w:id="26"/>
      <w:bookmarkEnd w:id="27"/>
      <w:bookmarkEnd w:id="28"/>
    </w:p>
    <w:tbl>
      <w:tblPr>
        <w:tblW w:w="0" w:type="auto"/>
        <w:tblCellMar>
          <w:top w:w="15" w:type="dxa"/>
          <w:left w:w="15" w:type="dxa"/>
          <w:bottom w:w="15" w:type="dxa"/>
          <w:right w:w="15" w:type="dxa"/>
        </w:tblCellMar>
        <w:tblLook w:val="04A0"/>
      </w:tblPr>
      <w:tblGrid>
        <w:gridCol w:w="1708"/>
        <w:gridCol w:w="12508"/>
      </w:tblGrid>
      <w:tr w:rsidR="006F337A" w:rsidRPr="005330BD" w:rsidTr="00633BFF">
        <w:tc>
          <w:tcPr>
            <w:tcW w:w="0" w:type="auto"/>
            <w:tcBorders>
              <w:top w:val="single" w:sz="4" w:space="0" w:color="000000"/>
              <w:left w:val="single" w:sz="4" w:space="0" w:color="000000"/>
              <w:bottom w:val="single" w:sz="4" w:space="0" w:color="000000"/>
              <w:right w:val="single" w:sz="4" w:space="0" w:color="000000"/>
            </w:tcBorders>
            <w:shd w:val="clear" w:color="auto" w:fill="95B3D7"/>
            <w:tcMar>
              <w:top w:w="0" w:type="dxa"/>
              <w:left w:w="115" w:type="dxa"/>
              <w:bottom w:w="0" w:type="dxa"/>
              <w:right w:w="115" w:type="dxa"/>
            </w:tcMar>
            <w:hideMark/>
          </w:tcPr>
          <w:p w:rsidR="006F337A" w:rsidRPr="005330BD" w:rsidRDefault="006F337A" w:rsidP="00633BFF">
            <w:pPr>
              <w:pStyle w:val="NormalWeb"/>
              <w:spacing w:before="120" w:beforeAutospacing="0" w:after="0" w:afterAutospacing="0"/>
              <w:jc w:val="both"/>
              <w:rPr>
                <w:rFonts w:asciiTheme="minorHAnsi" w:hAnsiTheme="minorHAnsi"/>
                <w:lang w:val="en-GB"/>
              </w:rPr>
            </w:pPr>
            <w:r w:rsidRPr="005330BD">
              <w:rPr>
                <w:rFonts w:asciiTheme="minorHAnsi" w:hAnsiTheme="minorHAnsi"/>
                <w:b/>
                <w:bCs/>
                <w:color w:val="000000"/>
                <w:sz w:val="18"/>
                <w:szCs w:val="18"/>
                <w:lang w:val="en-GB"/>
              </w:rPr>
              <w:t>Study ID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b/>
                <w:bCs/>
                <w:color w:val="000000"/>
                <w:sz w:val="18"/>
                <w:szCs w:val="18"/>
                <w:lang w:val="en-GB"/>
              </w:rPr>
              <w:t>Rodrigo-Troyano 2018</w:t>
            </w:r>
          </w:p>
        </w:tc>
      </w:tr>
      <w:tr w:rsidR="006F337A" w:rsidRPr="007D4A32" w:rsidTr="00633BFF">
        <w:tc>
          <w:tcPr>
            <w:tcW w:w="0" w:type="auto"/>
            <w:tcBorders>
              <w:top w:val="single" w:sz="4" w:space="0" w:color="000000"/>
              <w:left w:val="single" w:sz="4" w:space="0" w:color="000000"/>
              <w:bottom w:val="single" w:sz="4" w:space="0" w:color="000000"/>
              <w:right w:val="single" w:sz="4" w:space="0" w:color="000000"/>
            </w:tcBorders>
            <w:shd w:val="clear" w:color="auto" w:fill="95B3D7"/>
            <w:tcMar>
              <w:top w:w="0" w:type="dxa"/>
              <w:left w:w="115" w:type="dxa"/>
              <w:bottom w:w="0" w:type="dxa"/>
              <w:right w:w="115" w:type="dxa"/>
            </w:tcMar>
            <w:hideMark/>
          </w:tcPr>
          <w:p w:rsidR="006F337A" w:rsidRPr="005330BD" w:rsidRDefault="006F337A" w:rsidP="00633BFF">
            <w:pPr>
              <w:pStyle w:val="NormalWeb"/>
              <w:spacing w:before="120" w:beforeAutospacing="0" w:after="0" w:afterAutospacing="0"/>
              <w:jc w:val="both"/>
              <w:rPr>
                <w:rFonts w:asciiTheme="minorHAnsi" w:hAnsiTheme="minorHAnsi"/>
                <w:lang w:val="en-GB"/>
              </w:rPr>
            </w:pPr>
            <w:r w:rsidRPr="005330BD">
              <w:rPr>
                <w:rFonts w:asciiTheme="minorHAnsi" w:hAnsiTheme="minorHAnsi"/>
                <w:b/>
                <w:bCs/>
                <w:color w:val="000000"/>
                <w:sz w:val="18"/>
                <w:szCs w:val="18"/>
                <w:lang w:val="en-GB"/>
              </w:rPr>
              <w:t>Objective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To determine prevalence, risk factors, antibiotic susceptibility patterns and impact on outcomes of PA in a prospective cohort of COPD patients identified at the time they become frequently hospitalized exacerbators.</w:t>
            </w:r>
          </w:p>
        </w:tc>
      </w:tr>
      <w:tr w:rsidR="006F337A" w:rsidRPr="005330BD" w:rsidTr="00633BFF">
        <w:tc>
          <w:tcPr>
            <w:tcW w:w="0" w:type="auto"/>
            <w:tcBorders>
              <w:top w:val="single" w:sz="4" w:space="0" w:color="000000"/>
              <w:left w:val="single" w:sz="4" w:space="0" w:color="000000"/>
              <w:bottom w:val="single" w:sz="4" w:space="0" w:color="000000"/>
              <w:right w:val="single" w:sz="4" w:space="0" w:color="000000"/>
            </w:tcBorders>
            <w:shd w:val="clear" w:color="auto" w:fill="95B3D7"/>
            <w:tcMar>
              <w:top w:w="0" w:type="dxa"/>
              <w:left w:w="115" w:type="dxa"/>
              <w:bottom w:w="0" w:type="dxa"/>
              <w:right w:w="115" w:type="dxa"/>
            </w:tcMar>
            <w:hideMark/>
          </w:tcPr>
          <w:p w:rsidR="006F337A" w:rsidRPr="005330BD" w:rsidRDefault="006F337A" w:rsidP="00633BFF">
            <w:pPr>
              <w:pStyle w:val="NormalWeb"/>
              <w:spacing w:before="120" w:beforeAutospacing="0" w:after="0" w:afterAutospacing="0"/>
              <w:jc w:val="both"/>
              <w:rPr>
                <w:rFonts w:asciiTheme="minorHAnsi" w:hAnsiTheme="minorHAnsi"/>
                <w:lang w:val="en-GB"/>
              </w:rPr>
            </w:pPr>
            <w:r w:rsidRPr="005330BD">
              <w:rPr>
                <w:rFonts w:asciiTheme="minorHAnsi" w:hAnsiTheme="minorHAnsi"/>
                <w:b/>
                <w:bCs/>
                <w:color w:val="000000"/>
                <w:sz w:val="18"/>
                <w:szCs w:val="18"/>
                <w:lang w:val="en-GB"/>
              </w:rPr>
              <w:t>Design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Prospective study</w:t>
            </w:r>
          </w:p>
        </w:tc>
      </w:tr>
      <w:tr w:rsidR="006F337A" w:rsidRPr="007D4A32" w:rsidTr="00633BFF">
        <w:tc>
          <w:tcPr>
            <w:tcW w:w="0" w:type="auto"/>
            <w:tcBorders>
              <w:top w:val="single" w:sz="4" w:space="0" w:color="000000"/>
              <w:left w:val="single" w:sz="4" w:space="0" w:color="000000"/>
              <w:bottom w:val="single" w:sz="4" w:space="0" w:color="000000"/>
              <w:right w:val="single" w:sz="4" w:space="0" w:color="000000"/>
            </w:tcBorders>
            <w:shd w:val="clear" w:color="auto" w:fill="95B3D7"/>
            <w:tcMar>
              <w:top w:w="0" w:type="dxa"/>
              <w:left w:w="115" w:type="dxa"/>
              <w:bottom w:w="0" w:type="dxa"/>
              <w:right w:w="115" w:type="dxa"/>
            </w:tcMar>
            <w:hideMark/>
          </w:tcPr>
          <w:p w:rsidR="006F337A" w:rsidRPr="005330BD" w:rsidRDefault="006F337A" w:rsidP="00633BFF">
            <w:pPr>
              <w:pStyle w:val="NormalWeb"/>
              <w:spacing w:before="120" w:beforeAutospacing="0" w:after="0" w:afterAutospacing="0"/>
              <w:jc w:val="both"/>
              <w:rPr>
                <w:rFonts w:asciiTheme="minorHAnsi" w:hAnsiTheme="minorHAnsi"/>
                <w:lang w:val="en-GB"/>
              </w:rPr>
            </w:pPr>
            <w:r w:rsidRPr="005330BD">
              <w:rPr>
                <w:rFonts w:asciiTheme="minorHAnsi" w:hAnsiTheme="minorHAnsi"/>
                <w:b/>
                <w:bCs/>
                <w:color w:val="000000"/>
                <w:sz w:val="18"/>
                <w:szCs w:val="18"/>
                <w:lang w:val="en-GB"/>
              </w:rPr>
              <w:t>Study participation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u w:val="single"/>
                <w:lang w:val="en-GB"/>
              </w:rPr>
              <w:t>Study population: </w:t>
            </w:r>
          </w:p>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Cohort of COPD patients with frequent hospitalized exacerbations (FHE) (n =207), followed-up for 12 months after hospital discharge.</w:t>
            </w:r>
          </w:p>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Diagnosis of COPD was confirmed by a forced spirometry showing post-bronchodilator forced expiratory volume in 1 s/forced vital capacity ratio ≤70%.</w:t>
            </w:r>
          </w:p>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Exacerbation was defined as an acute event characterized by worsening of the patient’s respiratory symptoms that is beyond normal day-to-day variations and leads to a change in medications requiring hospitalization.</w:t>
            </w:r>
          </w:p>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u w:val="single"/>
                <w:lang w:val="en-GB"/>
              </w:rPr>
              <w:t>Inclusion criteria</w:t>
            </w:r>
            <w:r w:rsidRPr="005330BD">
              <w:rPr>
                <w:rFonts w:asciiTheme="minorHAnsi" w:hAnsiTheme="minorHAnsi"/>
                <w:color w:val="000000"/>
                <w:sz w:val="18"/>
                <w:szCs w:val="18"/>
                <w:lang w:val="en-GB"/>
              </w:rPr>
              <w:t>:</w:t>
            </w:r>
          </w:p>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COPD patients with FHE, defined as COPD patients admitted for the second exacerbation period within 12 months of the initial one</w:t>
            </w:r>
            <w:r w:rsidRPr="005330BD">
              <w:rPr>
                <w:rFonts w:asciiTheme="minorHAnsi" w:hAnsiTheme="minorHAnsi"/>
                <w:color w:val="000000"/>
                <w:sz w:val="14"/>
                <w:szCs w:val="14"/>
                <w:lang w:val="en-GB"/>
              </w:rPr>
              <w:t>.</w:t>
            </w:r>
          </w:p>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u w:val="single"/>
                <w:lang w:val="en-GB"/>
              </w:rPr>
              <w:t>Exclusion criteria</w:t>
            </w:r>
            <w:r w:rsidRPr="005330BD">
              <w:rPr>
                <w:rFonts w:asciiTheme="minorHAnsi" w:hAnsiTheme="minorHAnsi"/>
                <w:color w:val="000000"/>
                <w:sz w:val="18"/>
                <w:szCs w:val="18"/>
                <w:lang w:val="en-GB"/>
              </w:rPr>
              <w:t>:</w:t>
            </w:r>
          </w:p>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Exclusion criteria included other airway diseases as primary diagnosis (such as bronchiectasis not related to COPD, asthma and/or interstitial lung diseases), pneumonia or heart failure at admission. Patients with a new prescription of chronic treatment with macrolides in the last year and patients with a suspected underlying malignancy or pre-existing medical condition with a life expectancy of less than 6 months were also excluded.</w:t>
            </w:r>
          </w:p>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u w:val="single"/>
                <w:lang w:val="en-GB"/>
              </w:rPr>
              <w:t>Recruitment period and setting: </w:t>
            </w:r>
          </w:p>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A prospective multicentre observational study was conducted in 3 hospitals in Spain (Hospital de la Santa Creu i Sant Pau, Barcelona, Complejo Hospitalario Universitario de A Coruña, A Coruña, and Hospital Comarcal de Mollet, Mollet del Vallés) from March 2012 to March 2015.</w:t>
            </w:r>
          </w:p>
        </w:tc>
      </w:tr>
      <w:tr w:rsidR="006F337A" w:rsidRPr="007D4A32" w:rsidTr="00633BFF">
        <w:trPr>
          <w:trHeight w:val="416"/>
        </w:trPr>
        <w:tc>
          <w:tcPr>
            <w:tcW w:w="0" w:type="auto"/>
            <w:tcBorders>
              <w:top w:val="single" w:sz="4" w:space="0" w:color="000000"/>
              <w:left w:val="single" w:sz="4" w:space="0" w:color="000000"/>
              <w:bottom w:val="single" w:sz="4" w:space="0" w:color="000000"/>
              <w:right w:val="single" w:sz="4" w:space="0" w:color="000000"/>
            </w:tcBorders>
            <w:shd w:val="clear" w:color="auto" w:fill="95B3D7"/>
            <w:tcMar>
              <w:top w:w="0" w:type="dxa"/>
              <w:left w:w="115" w:type="dxa"/>
              <w:bottom w:w="0" w:type="dxa"/>
              <w:right w:w="115" w:type="dxa"/>
            </w:tcMar>
            <w:hideMark/>
          </w:tcPr>
          <w:p w:rsidR="006F337A" w:rsidRPr="005330BD" w:rsidRDefault="006F337A" w:rsidP="00633BFF">
            <w:pPr>
              <w:pStyle w:val="NormalWeb"/>
              <w:spacing w:before="120" w:beforeAutospacing="0" w:after="0" w:afterAutospacing="0"/>
              <w:jc w:val="both"/>
              <w:rPr>
                <w:rFonts w:asciiTheme="minorHAnsi" w:hAnsiTheme="minorHAnsi"/>
                <w:lang w:val="en-GB"/>
              </w:rPr>
            </w:pPr>
            <w:r w:rsidRPr="005330BD">
              <w:rPr>
                <w:rFonts w:asciiTheme="minorHAnsi" w:hAnsiTheme="minorHAnsi"/>
                <w:b/>
                <w:bCs/>
                <w:color w:val="000000"/>
                <w:sz w:val="18"/>
                <w:szCs w:val="18"/>
                <w:lang w:val="en-GB"/>
              </w:rPr>
              <w:lastRenderedPageBreak/>
              <w:t>Follow-up and data collection</w:t>
            </w:r>
          </w:p>
          <w:p w:rsidR="006F337A" w:rsidRPr="005330BD" w:rsidRDefault="006F337A" w:rsidP="00633BFF">
            <w:pPr>
              <w:spacing w:after="240"/>
              <w:jc w:val="both"/>
              <w:rPr>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Information collected included demographic data, co-morbid conditions, current treatments, smoking history, functional status, number of exacerbations during the last year, previous isolation of PA and prior antibiotic and corticosteroids treatment. Clinical signs including Anthonisen criteria, laboratory tests and radiology results were assessed at the time of hospital admission. </w:t>
            </w:r>
          </w:p>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Patients were followed-up for 12 months after hospital discharge, from event reports by electronic records of each hospital.</w:t>
            </w:r>
          </w:p>
        </w:tc>
      </w:tr>
      <w:tr w:rsidR="006F337A" w:rsidRPr="007D4A32" w:rsidTr="00633BFF">
        <w:trPr>
          <w:trHeight w:val="1134"/>
        </w:trPr>
        <w:tc>
          <w:tcPr>
            <w:tcW w:w="0" w:type="auto"/>
            <w:tcBorders>
              <w:top w:val="single" w:sz="4" w:space="0" w:color="000000"/>
              <w:left w:val="single" w:sz="4" w:space="0" w:color="000000"/>
              <w:bottom w:val="single" w:sz="4" w:space="0" w:color="000000"/>
              <w:right w:val="single" w:sz="4" w:space="0" w:color="000000"/>
            </w:tcBorders>
            <w:shd w:val="clear" w:color="auto" w:fill="95B3D7"/>
            <w:tcMar>
              <w:top w:w="0" w:type="dxa"/>
              <w:left w:w="115" w:type="dxa"/>
              <w:bottom w:w="0" w:type="dxa"/>
              <w:right w:w="115" w:type="dxa"/>
            </w:tcMar>
            <w:hideMark/>
          </w:tcPr>
          <w:p w:rsidR="006F337A" w:rsidRPr="005330BD" w:rsidRDefault="006F337A" w:rsidP="00633BFF">
            <w:pPr>
              <w:pStyle w:val="NormalWeb"/>
              <w:spacing w:before="120" w:beforeAutospacing="0" w:after="0" w:afterAutospacing="0"/>
              <w:jc w:val="both"/>
              <w:rPr>
                <w:rFonts w:asciiTheme="minorHAnsi" w:hAnsiTheme="minorHAnsi"/>
                <w:lang w:val="en-GB"/>
              </w:rPr>
            </w:pPr>
            <w:r w:rsidRPr="005330BD">
              <w:rPr>
                <w:rFonts w:asciiTheme="minorHAnsi" w:hAnsiTheme="minorHAnsi"/>
                <w:b/>
                <w:bCs/>
                <w:color w:val="000000"/>
                <w:sz w:val="18"/>
                <w:szCs w:val="18"/>
                <w:lang w:val="en-GB"/>
              </w:rPr>
              <w:t>Prognostic Factor</w:t>
            </w:r>
          </w:p>
          <w:p w:rsidR="006F337A" w:rsidRPr="005330BD" w:rsidRDefault="006F337A" w:rsidP="00633BFF">
            <w:pPr>
              <w:pStyle w:val="NormalWeb"/>
              <w:spacing w:before="120" w:beforeAutospacing="0" w:after="0" w:afterAutospacing="0"/>
              <w:jc w:val="both"/>
              <w:rPr>
                <w:rFonts w:asciiTheme="minorHAnsi" w:hAnsiTheme="minorHAnsi"/>
                <w:lang w:val="en-GB"/>
              </w:rPr>
            </w:pPr>
            <w:r w:rsidRPr="005330BD">
              <w:rPr>
                <w:rFonts w:asciiTheme="minorHAnsi" w:hAnsiTheme="minorHAnsi"/>
                <w:b/>
                <w:bCs/>
                <w:color w:val="000000"/>
                <w:sz w:val="18"/>
                <w:szCs w:val="18"/>
                <w:lang w:val="en-GB"/>
              </w:rPr>
              <w:t>Measurement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Spontaneous sputum culture was collected during the first 48 h of admission. Samples were processed and antimicrobial susceptibility testing was performed as previously described. </w:t>
            </w:r>
          </w:p>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Good quality samples were defined as &lt; 10 squamous epithelial cells and &gt; 25 leukocytes per field and only potential pathogenic microorganisms (PPMs) were evaluated.</w:t>
            </w:r>
          </w:p>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PA was classified as resistant (PAR) when it was not susceptible to at least one of the following antibiotic classes: antipseudomonal fluoroquinolones, antipseudomonal cephalosporins, antipseudomonal penicillins plus beta-lactamase inhibitors, antipseudomonal carbapenems, aminoglycosides, monobactams and polymixins.</w:t>
            </w:r>
          </w:p>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The presence of PA was evaluated at 3, 6, 9 and 12 months.  Information of PA isolations in sputum during the previous year was also registered.</w:t>
            </w:r>
          </w:p>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For the purpose of the study, patients were divided in 2 groups according to the presence of PA in the sputum culture at admission.</w:t>
            </w:r>
          </w:p>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Patients with isolation of PA were assigned to the PA group and patients with no PPMs isolation in the sputum culture were assigned to the non-PPMs group. Patients with isolation of other PPMs different from PA were excluded from the comparative analysis due to the small sample and its heterogeneity.</w:t>
            </w:r>
          </w:p>
        </w:tc>
      </w:tr>
      <w:tr w:rsidR="006F337A" w:rsidRPr="007D4A32" w:rsidTr="00633BFF">
        <w:trPr>
          <w:trHeight w:val="274"/>
        </w:trPr>
        <w:tc>
          <w:tcPr>
            <w:tcW w:w="0" w:type="auto"/>
            <w:tcBorders>
              <w:top w:val="single" w:sz="4" w:space="0" w:color="000000"/>
              <w:left w:val="single" w:sz="4" w:space="0" w:color="000000"/>
              <w:bottom w:val="single" w:sz="4" w:space="0" w:color="000000"/>
              <w:right w:val="single" w:sz="4" w:space="0" w:color="000000"/>
            </w:tcBorders>
            <w:shd w:val="clear" w:color="auto" w:fill="95B3D7"/>
            <w:tcMar>
              <w:top w:w="0" w:type="dxa"/>
              <w:left w:w="115" w:type="dxa"/>
              <w:bottom w:w="0" w:type="dxa"/>
              <w:right w:w="115" w:type="dxa"/>
            </w:tcMar>
            <w:hideMark/>
          </w:tcPr>
          <w:p w:rsidR="006F337A" w:rsidRPr="005330BD" w:rsidRDefault="006F337A" w:rsidP="00633BFF">
            <w:pPr>
              <w:pStyle w:val="NormalWeb"/>
              <w:spacing w:before="120" w:beforeAutospacing="0" w:after="0" w:afterAutospacing="0"/>
              <w:jc w:val="both"/>
              <w:rPr>
                <w:rFonts w:asciiTheme="minorHAnsi" w:hAnsiTheme="minorHAnsi"/>
                <w:lang w:val="en-GB"/>
              </w:rPr>
            </w:pPr>
            <w:r w:rsidRPr="005330BD">
              <w:rPr>
                <w:rFonts w:asciiTheme="minorHAnsi" w:hAnsiTheme="minorHAnsi"/>
                <w:b/>
                <w:bCs/>
                <w:color w:val="000000"/>
                <w:sz w:val="18"/>
                <w:szCs w:val="18"/>
                <w:lang w:val="en-GB"/>
              </w:rPr>
              <w:t>Outcome measurement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Outcomes evaluated were short (30- and 90-day) and long-term (180- and 365-day) readmissions and mortality, time to first readmission, and number of hospital readmissions/ days of follow-up 1000 days (&gt;= 2 and &gt;= 3 readmissions during the follow-up ).</w:t>
            </w:r>
          </w:p>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Readmission was considered a new hospital admission due to an exacerbation after hospital discharge. Mortality was analysed as death from all causes from the first day of admission to completion of 1-year follow-up.</w:t>
            </w:r>
          </w:p>
        </w:tc>
      </w:tr>
      <w:tr w:rsidR="006F337A" w:rsidRPr="007D4A32" w:rsidTr="00633BFF">
        <w:tc>
          <w:tcPr>
            <w:tcW w:w="0" w:type="auto"/>
            <w:tcBorders>
              <w:top w:val="single" w:sz="4" w:space="0" w:color="000000"/>
              <w:left w:val="single" w:sz="4" w:space="0" w:color="000000"/>
              <w:bottom w:val="single" w:sz="4" w:space="0" w:color="000000"/>
              <w:right w:val="single" w:sz="4" w:space="0" w:color="000000"/>
            </w:tcBorders>
            <w:shd w:val="clear" w:color="auto" w:fill="95B3D7"/>
            <w:tcMar>
              <w:top w:w="0" w:type="dxa"/>
              <w:left w:w="115" w:type="dxa"/>
              <w:bottom w:w="0" w:type="dxa"/>
              <w:right w:w="115" w:type="dxa"/>
            </w:tcMar>
            <w:hideMark/>
          </w:tcPr>
          <w:p w:rsidR="006F337A" w:rsidRPr="005330BD" w:rsidRDefault="006F337A" w:rsidP="00633BFF">
            <w:pPr>
              <w:pStyle w:val="NormalWeb"/>
              <w:spacing w:before="120" w:beforeAutospacing="0" w:after="0" w:afterAutospacing="0"/>
              <w:jc w:val="both"/>
              <w:rPr>
                <w:rFonts w:asciiTheme="minorHAnsi" w:hAnsiTheme="minorHAnsi"/>
                <w:lang w:val="en-GB"/>
              </w:rPr>
            </w:pPr>
            <w:r w:rsidRPr="005330BD">
              <w:rPr>
                <w:rFonts w:asciiTheme="minorHAnsi" w:hAnsiTheme="minorHAnsi"/>
                <w:b/>
                <w:bCs/>
                <w:color w:val="000000"/>
                <w:sz w:val="18"/>
                <w:szCs w:val="18"/>
                <w:lang w:val="en-GB"/>
              </w:rPr>
              <w:t>Statistical analysis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F337A" w:rsidRPr="005330BD" w:rsidRDefault="006F337A" w:rsidP="00633BFF">
            <w:pPr>
              <w:pStyle w:val="NormalWeb"/>
              <w:spacing w:before="0" w:beforeAutospacing="0" w:after="0" w:afterAutospacing="0"/>
              <w:jc w:val="both"/>
              <w:rPr>
                <w:rFonts w:asciiTheme="minorHAnsi" w:hAnsiTheme="minorHAnsi"/>
                <w:lang w:val="en-GB"/>
              </w:rPr>
            </w:pPr>
            <w:r w:rsidRPr="005330BD">
              <w:rPr>
                <w:rFonts w:asciiTheme="minorHAnsi" w:hAnsiTheme="minorHAnsi"/>
                <w:color w:val="000000"/>
                <w:sz w:val="18"/>
                <w:szCs w:val="18"/>
                <w:lang w:val="en-GB"/>
              </w:rPr>
              <w:t>Logistic regression analyses</w:t>
            </w:r>
          </w:p>
          <w:p w:rsidR="006F337A" w:rsidRPr="005330BD" w:rsidRDefault="006F337A" w:rsidP="00633BFF">
            <w:pPr>
              <w:pStyle w:val="NormalWeb"/>
              <w:spacing w:before="120" w:beforeAutospacing="0" w:after="120" w:afterAutospacing="0"/>
              <w:jc w:val="both"/>
              <w:rPr>
                <w:rFonts w:asciiTheme="minorHAnsi" w:hAnsiTheme="minorHAnsi"/>
                <w:lang w:val="en-GB"/>
              </w:rPr>
            </w:pPr>
            <w:r w:rsidRPr="005330BD">
              <w:rPr>
                <w:rFonts w:asciiTheme="minorHAnsi" w:hAnsiTheme="minorHAnsi"/>
                <w:color w:val="000000"/>
                <w:sz w:val="18"/>
                <w:szCs w:val="18"/>
                <w:lang w:val="en-GB"/>
              </w:rPr>
              <w:t>Unadjusted analysis for known and suspected confounders.</w:t>
            </w:r>
          </w:p>
        </w:tc>
      </w:tr>
    </w:tbl>
    <w:p w:rsidR="006F337A" w:rsidRPr="005330BD" w:rsidRDefault="006F337A" w:rsidP="006F337A">
      <w:pPr>
        <w:jc w:val="both"/>
        <w:rPr>
          <w:lang w:val="en-GB"/>
        </w:rPr>
      </w:pPr>
    </w:p>
    <w:p w:rsidR="006F337A" w:rsidRPr="005330BD" w:rsidRDefault="006F337A" w:rsidP="006F337A">
      <w:pPr>
        <w:jc w:val="both"/>
        <w:rPr>
          <w:lang w:val="en-GB"/>
        </w:rPr>
      </w:pPr>
    </w:p>
    <w:p w:rsidR="00704869" w:rsidRDefault="00704869">
      <w:pPr>
        <w:rPr>
          <w:b/>
          <w:bCs/>
          <w:color w:val="4472C4" w:themeColor="accent1"/>
          <w:lang w:val="en-GB"/>
        </w:rPr>
      </w:pPr>
      <w:r>
        <w:rPr>
          <w:b/>
          <w:bCs/>
          <w:color w:val="4472C4" w:themeColor="accent1"/>
          <w:lang w:val="en-GB"/>
        </w:rPr>
        <w:br w:type="page"/>
      </w:r>
    </w:p>
    <w:p w:rsidR="00704869" w:rsidRPr="00704869" w:rsidRDefault="00704869" w:rsidP="00704869">
      <w:pPr>
        <w:spacing w:after="200" w:line="276" w:lineRule="auto"/>
        <w:rPr>
          <w:color w:val="4472C4" w:themeColor="accent1"/>
          <w:lang w:val="en-GB"/>
        </w:rPr>
      </w:pPr>
      <w:r w:rsidRPr="00704869">
        <w:rPr>
          <w:b/>
          <w:bCs/>
          <w:color w:val="4472C4" w:themeColor="accent1"/>
          <w:lang w:val="en-GB"/>
        </w:rPr>
        <w:lastRenderedPageBreak/>
        <w:t>Table S</w:t>
      </w:r>
      <w:r w:rsidR="007703C1">
        <w:rPr>
          <w:b/>
          <w:bCs/>
          <w:color w:val="4472C4" w:themeColor="accent1"/>
          <w:lang w:val="en-GB"/>
        </w:rPr>
        <w:t>4</w:t>
      </w:r>
      <w:r w:rsidRPr="00704869">
        <w:rPr>
          <w:b/>
          <w:bCs/>
          <w:color w:val="4472C4" w:themeColor="accent1"/>
          <w:lang w:val="en-GB"/>
        </w:rPr>
        <w:t xml:space="preserve">. </w:t>
      </w:r>
      <w:r w:rsidRPr="00704869">
        <w:rPr>
          <w:color w:val="4472C4" w:themeColor="accent1"/>
          <w:lang w:val="en-GB"/>
        </w:rPr>
        <w:t>Summary results for risk of bias of the included studies</w:t>
      </w:r>
    </w:p>
    <w:tbl>
      <w:tblPr>
        <w:tblW w:w="8095" w:type="dxa"/>
        <w:tblBorders>
          <w:top w:val="single" w:sz="12" w:space="0" w:color="008000"/>
          <w:bottom w:val="single" w:sz="12" w:space="0" w:color="008000"/>
          <w:insideH w:val="nil"/>
          <w:insideV w:val="nil"/>
        </w:tblBorders>
        <w:tblLayout w:type="fixed"/>
        <w:tblLook w:val="00A0"/>
      </w:tblPr>
      <w:tblGrid>
        <w:gridCol w:w="3369"/>
        <w:gridCol w:w="590"/>
        <w:gridCol w:w="591"/>
        <w:gridCol w:w="591"/>
        <w:gridCol w:w="590"/>
        <w:gridCol w:w="591"/>
        <w:gridCol w:w="591"/>
        <w:gridCol w:w="566"/>
        <w:gridCol w:w="616"/>
      </w:tblGrid>
      <w:tr w:rsidR="00704869" w:rsidRPr="00704869" w:rsidTr="002C7977">
        <w:trPr>
          <w:cantSplit/>
          <w:trHeight w:val="2706"/>
        </w:trPr>
        <w:tc>
          <w:tcPr>
            <w:tcW w:w="3369" w:type="dxa"/>
            <w:tcBorders>
              <w:top w:val="single" w:sz="12" w:space="0" w:color="auto"/>
              <w:left w:val="nil"/>
              <w:bottom w:val="single" w:sz="12" w:space="0" w:color="auto"/>
              <w:right w:val="nil"/>
            </w:tcBorders>
            <w:textDirection w:val="btLr"/>
            <w:vAlign w:val="center"/>
          </w:tcPr>
          <w:p w:rsidR="00704869" w:rsidRPr="00704869" w:rsidRDefault="00704869" w:rsidP="00704869">
            <w:pPr>
              <w:spacing w:after="200" w:line="276" w:lineRule="auto"/>
              <w:rPr>
                <w:sz w:val="20"/>
                <w:szCs w:val="20"/>
                <w:lang w:val="en-GB"/>
              </w:rPr>
            </w:pPr>
          </w:p>
        </w:tc>
        <w:tc>
          <w:tcPr>
            <w:tcW w:w="590" w:type="dxa"/>
            <w:tcBorders>
              <w:top w:val="single" w:sz="12" w:space="0" w:color="auto"/>
              <w:left w:val="nil"/>
              <w:bottom w:val="single" w:sz="12" w:space="0" w:color="auto"/>
              <w:right w:val="nil"/>
            </w:tcBorders>
            <w:textDirection w:val="btLr"/>
            <w:vAlign w:val="center"/>
            <w:hideMark/>
          </w:tcPr>
          <w:p w:rsidR="00704869" w:rsidRPr="00704869" w:rsidRDefault="00704869" w:rsidP="00704869">
            <w:pPr>
              <w:spacing w:after="200" w:line="276" w:lineRule="auto"/>
              <w:rPr>
                <w:sz w:val="20"/>
                <w:szCs w:val="20"/>
                <w:lang w:val="en-GB"/>
              </w:rPr>
            </w:pPr>
            <w:r w:rsidRPr="00704869">
              <w:rPr>
                <w:sz w:val="20"/>
                <w:szCs w:val="20"/>
                <w:lang w:val="en-GB"/>
              </w:rPr>
              <w:t>Study Participation</w:t>
            </w:r>
          </w:p>
        </w:tc>
        <w:tc>
          <w:tcPr>
            <w:tcW w:w="591" w:type="dxa"/>
            <w:tcBorders>
              <w:top w:val="single" w:sz="12" w:space="0" w:color="auto"/>
              <w:left w:val="nil"/>
              <w:bottom w:val="single" w:sz="12" w:space="0" w:color="auto"/>
              <w:right w:val="nil"/>
            </w:tcBorders>
            <w:textDirection w:val="btLr"/>
            <w:vAlign w:val="center"/>
            <w:hideMark/>
          </w:tcPr>
          <w:p w:rsidR="00704869" w:rsidRPr="00704869" w:rsidRDefault="00704869" w:rsidP="00704869">
            <w:pPr>
              <w:spacing w:after="200" w:line="276" w:lineRule="auto"/>
              <w:rPr>
                <w:sz w:val="20"/>
                <w:szCs w:val="20"/>
                <w:lang w:val="en-GB"/>
              </w:rPr>
            </w:pPr>
            <w:r w:rsidRPr="00704869">
              <w:rPr>
                <w:sz w:val="20"/>
                <w:szCs w:val="20"/>
                <w:lang w:val="en-GB"/>
              </w:rPr>
              <w:t>Study Attrition</w:t>
            </w:r>
          </w:p>
        </w:tc>
        <w:tc>
          <w:tcPr>
            <w:tcW w:w="591" w:type="dxa"/>
            <w:tcBorders>
              <w:top w:val="single" w:sz="12" w:space="0" w:color="auto"/>
              <w:left w:val="nil"/>
              <w:bottom w:val="single" w:sz="12" w:space="0" w:color="auto"/>
              <w:right w:val="nil"/>
            </w:tcBorders>
            <w:textDirection w:val="btLr"/>
            <w:vAlign w:val="center"/>
          </w:tcPr>
          <w:p w:rsidR="00704869" w:rsidRPr="00704869" w:rsidRDefault="00704869" w:rsidP="00704869">
            <w:pPr>
              <w:spacing w:after="200" w:line="276" w:lineRule="auto"/>
              <w:rPr>
                <w:sz w:val="20"/>
                <w:szCs w:val="20"/>
                <w:lang w:val="en-GB"/>
              </w:rPr>
            </w:pPr>
            <w:r w:rsidRPr="00704869">
              <w:rPr>
                <w:sz w:val="20"/>
                <w:szCs w:val="20"/>
                <w:lang w:val="en-GB"/>
              </w:rPr>
              <w:t>Prognostic Factor</w:t>
            </w:r>
          </w:p>
          <w:p w:rsidR="00704869" w:rsidRPr="00704869" w:rsidRDefault="00704869" w:rsidP="00704869">
            <w:pPr>
              <w:spacing w:after="200" w:line="276" w:lineRule="auto"/>
              <w:rPr>
                <w:sz w:val="20"/>
                <w:szCs w:val="20"/>
                <w:lang w:val="en-GB"/>
              </w:rPr>
            </w:pPr>
            <w:r w:rsidRPr="00704869">
              <w:rPr>
                <w:sz w:val="20"/>
                <w:szCs w:val="20"/>
                <w:lang w:val="en-GB"/>
              </w:rPr>
              <w:t>Measurement</w:t>
            </w:r>
          </w:p>
        </w:tc>
        <w:tc>
          <w:tcPr>
            <w:tcW w:w="590" w:type="dxa"/>
            <w:tcBorders>
              <w:top w:val="single" w:sz="12" w:space="0" w:color="auto"/>
              <w:left w:val="nil"/>
              <w:bottom w:val="single" w:sz="12" w:space="0" w:color="auto"/>
              <w:right w:val="nil"/>
            </w:tcBorders>
            <w:textDirection w:val="btLr"/>
            <w:vAlign w:val="center"/>
            <w:hideMark/>
          </w:tcPr>
          <w:p w:rsidR="00704869" w:rsidRPr="00704869" w:rsidRDefault="00704869" w:rsidP="00704869">
            <w:pPr>
              <w:spacing w:after="200" w:line="276" w:lineRule="auto"/>
              <w:rPr>
                <w:sz w:val="20"/>
                <w:szCs w:val="20"/>
                <w:lang w:val="en-GB"/>
              </w:rPr>
            </w:pPr>
            <w:r w:rsidRPr="00704869">
              <w:rPr>
                <w:sz w:val="20"/>
                <w:szCs w:val="20"/>
                <w:lang w:val="en-GB"/>
              </w:rPr>
              <w:t>Outcome assessment (exacerbations)</w:t>
            </w:r>
          </w:p>
        </w:tc>
        <w:tc>
          <w:tcPr>
            <w:tcW w:w="591" w:type="dxa"/>
            <w:tcBorders>
              <w:top w:val="single" w:sz="12" w:space="0" w:color="auto"/>
              <w:left w:val="nil"/>
              <w:bottom w:val="single" w:sz="12" w:space="0" w:color="auto"/>
              <w:right w:val="nil"/>
            </w:tcBorders>
            <w:textDirection w:val="btLr"/>
          </w:tcPr>
          <w:p w:rsidR="00704869" w:rsidRPr="00704869" w:rsidRDefault="00704869" w:rsidP="00704869">
            <w:pPr>
              <w:spacing w:after="200" w:line="276" w:lineRule="auto"/>
              <w:rPr>
                <w:sz w:val="20"/>
                <w:szCs w:val="20"/>
                <w:lang w:val="en-GB"/>
              </w:rPr>
            </w:pPr>
            <w:r w:rsidRPr="00704869">
              <w:rPr>
                <w:sz w:val="20"/>
                <w:szCs w:val="20"/>
                <w:lang w:val="en-GB"/>
              </w:rPr>
              <w:t>Outcome assessment (hospitalizations)</w:t>
            </w:r>
          </w:p>
        </w:tc>
        <w:tc>
          <w:tcPr>
            <w:tcW w:w="591" w:type="dxa"/>
            <w:tcBorders>
              <w:top w:val="single" w:sz="12" w:space="0" w:color="auto"/>
              <w:left w:val="nil"/>
              <w:bottom w:val="single" w:sz="12" w:space="0" w:color="auto"/>
              <w:right w:val="nil"/>
            </w:tcBorders>
            <w:textDirection w:val="btLr"/>
          </w:tcPr>
          <w:p w:rsidR="00704869" w:rsidRPr="00704869" w:rsidRDefault="00704869" w:rsidP="00704869">
            <w:pPr>
              <w:spacing w:after="200" w:line="276" w:lineRule="auto"/>
              <w:rPr>
                <w:sz w:val="20"/>
                <w:szCs w:val="20"/>
                <w:lang w:val="en-GB"/>
              </w:rPr>
            </w:pPr>
            <w:r w:rsidRPr="00704869">
              <w:rPr>
                <w:sz w:val="20"/>
                <w:szCs w:val="20"/>
                <w:lang w:val="en-GB"/>
              </w:rPr>
              <w:t>Outcome assessment (mortality)</w:t>
            </w:r>
          </w:p>
        </w:tc>
        <w:tc>
          <w:tcPr>
            <w:tcW w:w="566" w:type="dxa"/>
            <w:tcBorders>
              <w:top w:val="single" w:sz="12" w:space="0" w:color="auto"/>
              <w:left w:val="nil"/>
              <w:bottom w:val="single" w:sz="12" w:space="0" w:color="auto"/>
              <w:right w:val="nil"/>
            </w:tcBorders>
            <w:textDirection w:val="btLr"/>
            <w:vAlign w:val="center"/>
            <w:hideMark/>
          </w:tcPr>
          <w:p w:rsidR="00704869" w:rsidRPr="00704869" w:rsidRDefault="00704869" w:rsidP="00704869">
            <w:pPr>
              <w:spacing w:after="200" w:line="276" w:lineRule="auto"/>
              <w:rPr>
                <w:sz w:val="20"/>
                <w:szCs w:val="20"/>
                <w:lang w:val="en-GB"/>
              </w:rPr>
            </w:pPr>
            <w:r w:rsidRPr="00704869">
              <w:rPr>
                <w:sz w:val="20"/>
                <w:szCs w:val="20"/>
                <w:lang w:val="en-GB"/>
              </w:rPr>
              <w:t>Study Confounding</w:t>
            </w:r>
          </w:p>
        </w:tc>
        <w:tc>
          <w:tcPr>
            <w:tcW w:w="616" w:type="dxa"/>
            <w:tcBorders>
              <w:top w:val="single" w:sz="12" w:space="0" w:color="auto"/>
              <w:left w:val="nil"/>
              <w:bottom w:val="single" w:sz="12" w:space="0" w:color="auto"/>
              <w:right w:val="nil"/>
            </w:tcBorders>
            <w:textDirection w:val="btLr"/>
            <w:vAlign w:val="center"/>
          </w:tcPr>
          <w:p w:rsidR="00704869" w:rsidRPr="00704869" w:rsidRDefault="00704869" w:rsidP="00704869">
            <w:pPr>
              <w:spacing w:after="200" w:line="276" w:lineRule="auto"/>
              <w:rPr>
                <w:sz w:val="20"/>
                <w:szCs w:val="20"/>
                <w:lang w:val="en-GB"/>
              </w:rPr>
            </w:pPr>
            <w:r w:rsidRPr="00704869">
              <w:rPr>
                <w:sz w:val="20"/>
                <w:szCs w:val="20"/>
                <w:lang w:val="en-GB"/>
              </w:rPr>
              <w:t>Statistical Analysis and</w:t>
            </w:r>
          </w:p>
          <w:p w:rsidR="00704869" w:rsidRPr="00704869" w:rsidRDefault="00704869" w:rsidP="00704869">
            <w:pPr>
              <w:spacing w:after="200" w:line="276" w:lineRule="auto"/>
              <w:rPr>
                <w:sz w:val="20"/>
                <w:szCs w:val="20"/>
                <w:lang w:val="en-GB"/>
              </w:rPr>
            </w:pPr>
            <w:r w:rsidRPr="00704869">
              <w:rPr>
                <w:sz w:val="20"/>
                <w:szCs w:val="20"/>
                <w:lang w:val="en-GB"/>
              </w:rPr>
              <w:t>Reporting</w:t>
            </w:r>
          </w:p>
        </w:tc>
      </w:tr>
      <w:tr w:rsidR="00704869" w:rsidRPr="00704869" w:rsidTr="002C7977">
        <w:trPr>
          <w:trHeight w:val="260"/>
        </w:trPr>
        <w:tc>
          <w:tcPr>
            <w:tcW w:w="3369" w:type="dxa"/>
            <w:tcBorders>
              <w:top w:val="nil"/>
              <w:left w:val="nil"/>
              <w:bottom w:val="nil"/>
              <w:right w:val="nil"/>
            </w:tcBorders>
            <w:noWrap/>
            <w:vAlign w:val="bottom"/>
          </w:tcPr>
          <w:p w:rsidR="00704869" w:rsidRPr="00704869" w:rsidRDefault="00704869" w:rsidP="00704869">
            <w:pPr>
              <w:spacing w:after="200" w:line="276" w:lineRule="auto"/>
              <w:rPr>
                <w:lang w:val="en-GB"/>
              </w:rPr>
            </w:pPr>
            <w:r w:rsidRPr="00704869">
              <w:rPr>
                <w:lang w:val="en-GB"/>
              </w:rPr>
              <w:t>Almagro, 2012</w:t>
            </w:r>
          </w:p>
        </w:tc>
        <w:tc>
          <w:tcPr>
            <w:tcW w:w="590" w:type="dxa"/>
            <w:tcBorders>
              <w:top w:val="nil"/>
              <w:left w:val="nil"/>
              <w:bottom w:val="nil"/>
              <w:right w:val="nil"/>
            </w:tcBorders>
            <w:vAlign w:val="center"/>
            <w:hideMark/>
          </w:tcPr>
          <w:p w:rsidR="00704869" w:rsidRPr="00704869" w:rsidRDefault="00704869" w:rsidP="00704869">
            <w:pPr>
              <w:spacing w:after="200" w:line="276" w:lineRule="auto"/>
              <w:rPr>
                <w:lang w:val="en-GB"/>
              </w:rPr>
            </w:pPr>
            <w:r w:rsidRPr="00704869">
              <w:rPr>
                <w:b/>
                <w:lang w:val="en-GB"/>
              </w:rPr>
              <w:t>L</w:t>
            </w:r>
          </w:p>
        </w:tc>
        <w:tc>
          <w:tcPr>
            <w:tcW w:w="591" w:type="dxa"/>
            <w:tcBorders>
              <w:top w:val="nil"/>
              <w:left w:val="nil"/>
              <w:bottom w:val="nil"/>
              <w:right w:val="nil"/>
            </w:tcBorders>
            <w:vAlign w:val="center"/>
            <w:hideMark/>
          </w:tcPr>
          <w:p w:rsidR="00704869" w:rsidRPr="00704869" w:rsidRDefault="00704869" w:rsidP="00704869">
            <w:pPr>
              <w:spacing w:after="200" w:line="276" w:lineRule="auto"/>
              <w:rPr>
                <w:lang w:val="en-GB"/>
              </w:rPr>
            </w:pPr>
            <w:r w:rsidRPr="00704869">
              <w:rPr>
                <w:b/>
                <w:lang w:val="en-GB"/>
              </w:rPr>
              <w:t>L</w:t>
            </w:r>
          </w:p>
        </w:tc>
        <w:tc>
          <w:tcPr>
            <w:tcW w:w="591" w:type="dxa"/>
            <w:tcBorders>
              <w:top w:val="nil"/>
              <w:left w:val="nil"/>
              <w:bottom w:val="nil"/>
              <w:right w:val="nil"/>
            </w:tcBorders>
            <w:vAlign w:val="center"/>
          </w:tcPr>
          <w:p w:rsidR="00704869" w:rsidRPr="00704869" w:rsidRDefault="00704869" w:rsidP="00704869">
            <w:pPr>
              <w:spacing w:after="200" w:line="276" w:lineRule="auto"/>
              <w:rPr>
                <w:b/>
                <w:lang w:val="en-GB"/>
              </w:rPr>
            </w:pPr>
            <w:r w:rsidRPr="00704869">
              <w:rPr>
                <w:b/>
                <w:lang w:val="en-GB"/>
              </w:rPr>
              <w:t>L</w:t>
            </w:r>
          </w:p>
        </w:tc>
        <w:tc>
          <w:tcPr>
            <w:tcW w:w="590" w:type="dxa"/>
            <w:tcBorders>
              <w:top w:val="nil"/>
              <w:left w:val="nil"/>
              <w:bottom w:val="nil"/>
              <w:right w:val="nil"/>
            </w:tcBorders>
            <w:vAlign w:val="center"/>
          </w:tcPr>
          <w:p w:rsidR="00704869" w:rsidRPr="00704869" w:rsidRDefault="00704869" w:rsidP="00704869">
            <w:pPr>
              <w:spacing w:after="200" w:line="276" w:lineRule="auto"/>
              <w:rPr>
                <w:lang w:val="en-GB"/>
              </w:rPr>
            </w:pPr>
            <w:r w:rsidRPr="00704869">
              <w:rPr>
                <w:lang w:val="en-GB"/>
              </w:rPr>
              <w:t>NA</w:t>
            </w:r>
          </w:p>
        </w:tc>
        <w:tc>
          <w:tcPr>
            <w:tcW w:w="591" w:type="dxa"/>
            <w:tcBorders>
              <w:top w:val="nil"/>
              <w:left w:val="nil"/>
              <w:bottom w:val="nil"/>
              <w:right w:val="nil"/>
            </w:tcBorders>
            <w:vAlign w:val="center"/>
          </w:tcPr>
          <w:p w:rsidR="00704869" w:rsidRPr="00704869" w:rsidRDefault="00704869" w:rsidP="00704869">
            <w:pPr>
              <w:spacing w:after="200" w:line="276" w:lineRule="auto"/>
              <w:rPr>
                <w:b/>
                <w:lang w:val="en-GB"/>
              </w:rPr>
            </w:pPr>
            <w:r w:rsidRPr="00704869">
              <w:rPr>
                <w:b/>
                <w:lang w:val="en-GB"/>
              </w:rPr>
              <w:t>M</w:t>
            </w:r>
            <w:r w:rsidRPr="00704869">
              <w:rPr>
                <w:lang w:val="en-GB"/>
              </w:rPr>
              <w:t xml:space="preserve"> </w:t>
            </w:r>
          </w:p>
        </w:tc>
        <w:tc>
          <w:tcPr>
            <w:tcW w:w="591" w:type="dxa"/>
            <w:tcBorders>
              <w:top w:val="nil"/>
              <w:left w:val="nil"/>
              <w:bottom w:val="nil"/>
              <w:right w:val="nil"/>
            </w:tcBorders>
            <w:vAlign w:val="center"/>
          </w:tcPr>
          <w:p w:rsidR="00704869" w:rsidRPr="00704869" w:rsidRDefault="00704869" w:rsidP="00704869">
            <w:pPr>
              <w:spacing w:after="200" w:line="276" w:lineRule="auto"/>
              <w:rPr>
                <w:b/>
                <w:lang w:val="en-GB"/>
              </w:rPr>
            </w:pPr>
            <w:r w:rsidRPr="00704869">
              <w:rPr>
                <w:b/>
                <w:lang w:val="en-GB"/>
              </w:rPr>
              <w:t>M</w:t>
            </w:r>
          </w:p>
        </w:tc>
        <w:tc>
          <w:tcPr>
            <w:tcW w:w="566" w:type="dxa"/>
            <w:tcBorders>
              <w:top w:val="nil"/>
              <w:left w:val="nil"/>
              <w:bottom w:val="nil"/>
              <w:right w:val="nil"/>
            </w:tcBorders>
          </w:tcPr>
          <w:p w:rsidR="00704869" w:rsidRPr="00704869" w:rsidRDefault="00704869" w:rsidP="00704869">
            <w:pPr>
              <w:spacing w:after="200" w:line="276" w:lineRule="auto"/>
              <w:rPr>
                <w:lang w:val="en-GB"/>
              </w:rPr>
            </w:pPr>
            <w:r w:rsidRPr="00704869">
              <w:rPr>
                <w:b/>
                <w:lang w:val="en-GB"/>
              </w:rPr>
              <w:t>H</w:t>
            </w:r>
          </w:p>
        </w:tc>
        <w:tc>
          <w:tcPr>
            <w:tcW w:w="616" w:type="dxa"/>
            <w:tcBorders>
              <w:top w:val="nil"/>
              <w:left w:val="nil"/>
              <w:bottom w:val="nil"/>
              <w:right w:val="nil"/>
            </w:tcBorders>
            <w:vAlign w:val="center"/>
          </w:tcPr>
          <w:p w:rsidR="00704869" w:rsidRPr="00704869" w:rsidRDefault="00704869" w:rsidP="00704869">
            <w:pPr>
              <w:spacing w:after="200" w:line="276" w:lineRule="auto"/>
              <w:rPr>
                <w:lang w:val="en-GB"/>
              </w:rPr>
            </w:pPr>
            <w:r w:rsidRPr="00704869">
              <w:rPr>
                <w:b/>
                <w:lang w:val="en-GB"/>
              </w:rPr>
              <w:t>L</w:t>
            </w:r>
          </w:p>
        </w:tc>
      </w:tr>
      <w:tr w:rsidR="00704869" w:rsidRPr="00704869" w:rsidTr="002C7977">
        <w:trPr>
          <w:trHeight w:val="260"/>
        </w:trPr>
        <w:tc>
          <w:tcPr>
            <w:tcW w:w="3369" w:type="dxa"/>
            <w:tcBorders>
              <w:top w:val="nil"/>
              <w:left w:val="nil"/>
              <w:bottom w:val="nil"/>
              <w:right w:val="nil"/>
            </w:tcBorders>
            <w:noWrap/>
            <w:vAlign w:val="bottom"/>
          </w:tcPr>
          <w:p w:rsidR="00704869" w:rsidRPr="00704869" w:rsidRDefault="00704869" w:rsidP="00704869">
            <w:pPr>
              <w:spacing w:after="200" w:line="276" w:lineRule="auto"/>
              <w:rPr>
                <w:lang w:val="en-GB"/>
              </w:rPr>
            </w:pPr>
            <w:r w:rsidRPr="00704869">
              <w:rPr>
                <w:lang w:val="en-GB"/>
              </w:rPr>
              <w:t>Bouquet , 2020</w:t>
            </w:r>
          </w:p>
        </w:tc>
        <w:tc>
          <w:tcPr>
            <w:tcW w:w="590" w:type="dxa"/>
            <w:tcBorders>
              <w:top w:val="nil"/>
              <w:left w:val="nil"/>
              <w:bottom w:val="nil"/>
              <w:right w:val="nil"/>
            </w:tcBorders>
            <w:vAlign w:val="center"/>
            <w:hideMark/>
          </w:tcPr>
          <w:p w:rsidR="00704869" w:rsidRPr="00704869" w:rsidRDefault="00704869" w:rsidP="00704869">
            <w:pPr>
              <w:spacing w:after="200" w:line="276" w:lineRule="auto"/>
              <w:rPr>
                <w:b/>
                <w:lang w:val="en-GB"/>
              </w:rPr>
            </w:pPr>
            <w:r w:rsidRPr="00704869">
              <w:rPr>
                <w:b/>
                <w:lang w:val="en-GB"/>
              </w:rPr>
              <w:t>L</w:t>
            </w:r>
          </w:p>
        </w:tc>
        <w:tc>
          <w:tcPr>
            <w:tcW w:w="591" w:type="dxa"/>
            <w:tcBorders>
              <w:top w:val="nil"/>
              <w:left w:val="nil"/>
              <w:bottom w:val="nil"/>
              <w:right w:val="nil"/>
            </w:tcBorders>
            <w:vAlign w:val="center"/>
            <w:hideMark/>
          </w:tcPr>
          <w:p w:rsidR="00704869" w:rsidRPr="00704869" w:rsidRDefault="00704869" w:rsidP="00704869">
            <w:pPr>
              <w:spacing w:after="200" w:line="276" w:lineRule="auto"/>
              <w:rPr>
                <w:b/>
                <w:lang w:val="en-GB"/>
              </w:rPr>
            </w:pPr>
            <w:r w:rsidRPr="00704869">
              <w:rPr>
                <w:b/>
                <w:lang w:val="en-GB"/>
              </w:rPr>
              <w:t>M</w:t>
            </w:r>
          </w:p>
        </w:tc>
        <w:tc>
          <w:tcPr>
            <w:tcW w:w="591" w:type="dxa"/>
            <w:tcBorders>
              <w:top w:val="nil"/>
              <w:left w:val="nil"/>
              <w:bottom w:val="nil"/>
              <w:right w:val="nil"/>
            </w:tcBorders>
            <w:vAlign w:val="center"/>
          </w:tcPr>
          <w:p w:rsidR="00704869" w:rsidRPr="00704869" w:rsidRDefault="00704869" w:rsidP="00704869">
            <w:pPr>
              <w:spacing w:after="200" w:line="276" w:lineRule="auto"/>
              <w:rPr>
                <w:b/>
                <w:lang w:val="en-GB"/>
              </w:rPr>
            </w:pPr>
            <w:r w:rsidRPr="00704869">
              <w:rPr>
                <w:b/>
                <w:lang w:val="en-GB"/>
              </w:rPr>
              <w:t>L</w:t>
            </w:r>
          </w:p>
        </w:tc>
        <w:tc>
          <w:tcPr>
            <w:tcW w:w="590" w:type="dxa"/>
            <w:tcBorders>
              <w:top w:val="nil"/>
              <w:left w:val="nil"/>
              <w:bottom w:val="nil"/>
              <w:right w:val="nil"/>
            </w:tcBorders>
            <w:vAlign w:val="center"/>
          </w:tcPr>
          <w:p w:rsidR="00704869" w:rsidRPr="00704869" w:rsidRDefault="00704869" w:rsidP="00704869">
            <w:pPr>
              <w:spacing w:after="200" w:line="276" w:lineRule="auto"/>
              <w:rPr>
                <w:lang w:val="en-GB"/>
              </w:rPr>
            </w:pPr>
            <w:r w:rsidRPr="00704869">
              <w:rPr>
                <w:b/>
                <w:lang w:val="en-GB"/>
              </w:rPr>
              <w:t>M</w:t>
            </w:r>
          </w:p>
        </w:tc>
        <w:tc>
          <w:tcPr>
            <w:tcW w:w="591" w:type="dxa"/>
            <w:tcBorders>
              <w:top w:val="nil"/>
              <w:left w:val="nil"/>
              <w:bottom w:val="nil"/>
              <w:right w:val="nil"/>
            </w:tcBorders>
            <w:vAlign w:val="center"/>
          </w:tcPr>
          <w:p w:rsidR="00704869" w:rsidRPr="00704869" w:rsidRDefault="00704869" w:rsidP="00704869">
            <w:pPr>
              <w:spacing w:after="200" w:line="276" w:lineRule="auto"/>
              <w:rPr>
                <w:lang w:val="en-GB"/>
              </w:rPr>
            </w:pPr>
            <w:r w:rsidRPr="00704869">
              <w:rPr>
                <w:lang w:val="en-GB"/>
              </w:rPr>
              <w:t>NA</w:t>
            </w:r>
          </w:p>
        </w:tc>
        <w:tc>
          <w:tcPr>
            <w:tcW w:w="591" w:type="dxa"/>
            <w:tcBorders>
              <w:top w:val="nil"/>
              <w:left w:val="nil"/>
              <w:bottom w:val="nil"/>
              <w:right w:val="nil"/>
            </w:tcBorders>
            <w:vAlign w:val="center"/>
          </w:tcPr>
          <w:p w:rsidR="00704869" w:rsidRPr="00704869" w:rsidRDefault="00704869" w:rsidP="00704869">
            <w:pPr>
              <w:spacing w:after="200" w:line="276" w:lineRule="auto"/>
              <w:rPr>
                <w:lang w:val="en-GB"/>
              </w:rPr>
            </w:pPr>
            <w:r w:rsidRPr="00704869">
              <w:rPr>
                <w:lang w:val="en-GB"/>
              </w:rPr>
              <w:t>NA</w:t>
            </w:r>
          </w:p>
        </w:tc>
        <w:tc>
          <w:tcPr>
            <w:tcW w:w="566" w:type="dxa"/>
            <w:tcBorders>
              <w:top w:val="nil"/>
              <w:left w:val="nil"/>
              <w:bottom w:val="nil"/>
              <w:right w:val="nil"/>
            </w:tcBorders>
          </w:tcPr>
          <w:p w:rsidR="00704869" w:rsidRPr="00704869" w:rsidRDefault="00704869" w:rsidP="00704869">
            <w:pPr>
              <w:spacing w:after="200" w:line="276" w:lineRule="auto"/>
              <w:rPr>
                <w:b/>
                <w:lang w:val="en-GB"/>
              </w:rPr>
            </w:pPr>
            <w:r w:rsidRPr="00704869">
              <w:rPr>
                <w:b/>
                <w:lang w:val="en-GB"/>
              </w:rPr>
              <w:t>H</w:t>
            </w:r>
          </w:p>
        </w:tc>
        <w:tc>
          <w:tcPr>
            <w:tcW w:w="616" w:type="dxa"/>
            <w:tcBorders>
              <w:top w:val="nil"/>
              <w:left w:val="nil"/>
              <w:bottom w:val="nil"/>
              <w:right w:val="nil"/>
            </w:tcBorders>
            <w:vAlign w:val="center"/>
          </w:tcPr>
          <w:p w:rsidR="00704869" w:rsidRPr="00704869" w:rsidRDefault="00704869" w:rsidP="00704869">
            <w:pPr>
              <w:spacing w:after="200" w:line="276" w:lineRule="auto"/>
              <w:rPr>
                <w:b/>
                <w:lang w:val="en-GB"/>
              </w:rPr>
            </w:pPr>
            <w:r w:rsidRPr="00704869">
              <w:rPr>
                <w:b/>
                <w:lang w:val="en-GB"/>
              </w:rPr>
              <w:t>L</w:t>
            </w:r>
          </w:p>
        </w:tc>
      </w:tr>
      <w:tr w:rsidR="00704869" w:rsidRPr="00704869" w:rsidTr="002C7977">
        <w:trPr>
          <w:trHeight w:val="260"/>
        </w:trPr>
        <w:tc>
          <w:tcPr>
            <w:tcW w:w="3369" w:type="dxa"/>
            <w:tcBorders>
              <w:top w:val="nil"/>
              <w:left w:val="nil"/>
              <w:bottom w:val="nil"/>
              <w:right w:val="nil"/>
            </w:tcBorders>
            <w:noWrap/>
          </w:tcPr>
          <w:p w:rsidR="00704869" w:rsidRPr="00704869" w:rsidRDefault="00704869" w:rsidP="00704869">
            <w:pPr>
              <w:spacing w:after="200" w:line="276" w:lineRule="auto"/>
              <w:rPr>
                <w:lang w:val="en-GB"/>
              </w:rPr>
            </w:pPr>
            <w:r w:rsidRPr="00704869">
              <w:rPr>
                <w:lang w:val="en-GB"/>
              </w:rPr>
              <w:t>Boutou, 2014</w:t>
            </w:r>
          </w:p>
        </w:tc>
        <w:tc>
          <w:tcPr>
            <w:tcW w:w="590" w:type="dxa"/>
            <w:tcBorders>
              <w:top w:val="nil"/>
              <w:left w:val="nil"/>
              <w:bottom w:val="nil"/>
              <w:right w:val="nil"/>
            </w:tcBorders>
            <w:vAlign w:val="center"/>
          </w:tcPr>
          <w:p w:rsidR="00704869" w:rsidRPr="00704869" w:rsidRDefault="00704869" w:rsidP="00704869">
            <w:pPr>
              <w:spacing w:after="200" w:line="276" w:lineRule="auto"/>
              <w:rPr>
                <w:lang w:val="en-GB"/>
              </w:rPr>
            </w:pPr>
            <w:r w:rsidRPr="00704869">
              <w:rPr>
                <w:b/>
                <w:lang w:val="en-GB"/>
              </w:rPr>
              <w:t>M</w:t>
            </w:r>
          </w:p>
        </w:tc>
        <w:tc>
          <w:tcPr>
            <w:tcW w:w="591" w:type="dxa"/>
            <w:tcBorders>
              <w:top w:val="nil"/>
              <w:left w:val="nil"/>
              <w:bottom w:val="nil"/>
              <w:right w:val="nil"/>
            </w:tcBorders>
          </w:tcPr>
          <w:p w:rsidR="00704869" w:rsidRPr="00704869" w:rsidRDefault="00704869" w:rsidP="00704869">
            <w:pPr>
              <w:spacing w:after="200" w:line="276" w:lineRule="auto"/>
              <w:rPr>
                <w:lang w:val="en-GB"/>
              </w:rPr>
            </w:pPr>
            <w:r w:rsidRPr="00704869">
              <w:rPr>
                <w:b/>
                <w:lang w:val="en-GB"/>
              </w:rPr>
              <w:t>H</w:t>
            </w:r>
          </w:p>
        </w:tc>
        <w:tc>
          <w:tcPr>
            <w:tcW w:w="591" w:type="dxa"/>
            <w:tcBorders>
              <w:top w:val="nil"/>
              <w:left w:val="nil"/>
              <w:bottom w:val="nil"/>
              <w:right w:val="nil"/>
            </w:tcBorders>
          </w:tcPr>
          <w:p w:rsidR="00704869" w:rsidRPr="00704869" w:rsidRDefault="00704869" w:rsidP="00704869">
            <w:pPr>
              <w:spacing w:after="200" w:line="276" w:lineRule="auto"/>
              <w:rPr>
                <w:b/>
                <w:lang w:val="en-GB"/>
              </w:rPr>
            </w:pPr>
            <w:r w:rsidRPr="00704869">
              <w:rPr>
                <w:b/>
                <w:lang w:val="en-GB"/>
              </w:rPr>
              <w:t>L</w:t>
            </w:r>
          </w:p>
        </w:tc>
        <w:tc>
          <w:tcPr>
            <w:tcW w:w="590" w:type="dxa"/>
            <w:tcBorders>
              <w:top w:val="nil"/>
              <w:left w:val="nil"/>
              <w:bottom w:val="nil"/>
              <w:right w:val="nil"/>
            </w:tcBorders>
            <w:vAlign w:val="center"/>
          </w:tcPr>
          <w:p w:rsidR="00704869" w:rsidRPr="00704869" w:rsidRDefault="00704869" w:rsidP="00704869">
            <w:pPr>
              <w:spacing w:after="200" w:line="276" w:lineRule="auto"/>
              <w:rPr>
                <w:lang w:val="en-GB"/>
              </w:rPr>
            </w:pPr>
            <w:r w:rsidRPr="00704869">
              <w:rPr>
                <w:lang w:val="en-GB"/>
              </w:rPr>
              <w:t>NA</w:t>
            </w:r>
          </w:p>
        </w:tc>
        <w:tc>
          <w:tcPr>
            <w:tcW w:w="591" w:type="dxa"/>
            <w:tcBorders>
              <w:top w:val="nil"/>
              <w:left w:val="nil"/>
              <w:bottom w:val="nil"/>
              <w:right w:val="nil"/>
            </w:tcBorders>
            <w:vAlign w:val="center"/>
          </w:tcPr>
          <w:p w:rsidR="00704869" w:rsidRPr="00704869" w:rsidRDefault="00704869" w:rsidP="00704869">
            <w:pPr>
              <w:spacing w:after="200" w:line="276" w:lineRule="auto"/>
              <w:rPr>
                <w:b/>
                <w:lang w:val="en-GB"/>
              </w:rPr>
            </w:pPr>
            <w:r w:rsidRPr="00704869">
              <w:rPr>
                <w:lang w:val="en-GB"/>
              </w:rPr>
              <w:t>NA</w:t>
            </w:r>
          </w:p>
        </w:tc>
        <w:tc>
          <w:tcPr>
            <w:tcW w:w="591" w:type="dxa"/>
            <w:tcBorders>
              <w:top w:val="nil"/>
              <w:left w:val="nil"/>
              <w:bottom w:val="nil"/>
              <w:right w:val="nil"/>
            </w:tcBorders>
            <w:vAlign w:val="center"/>
          </w:tcPr>
          <w:p w:rsidR="00704869" w:rsidRPr="00704869" w:rsidRDefault="00704869" w:rsidP="00704869">
            <w:pPr>
              <w:spacing w:after="200" w:line="276" w:lineRule="auto"/>
              <w:rPr>
                <w:b/>
                <w:lang w:val="en-GB"/>
              </w:rPr>
            </w:pPr>
            <w:r w:rsidRPr="00704869">
              <w:rPr>
                <w:b/>
                <w:lang w:val="en-GB"/>
              </w:rPr>
              <w:t>M</w:t>
            </w:r>
          </w:p>
        </w:tc>
        <w:tc>
          <w:tcPr>
            <w:tcW w:w="566" w:type="dxa"/>
            <w:tcBorders>
              <w:top w:val="nil"/>
              <w:left w:val="nil"/>
              <w:bottom w:val="nil"/>
              <w:right w:val="nil"/>
            </w:tcBorders>
          </w:tcPr>
          <w:p w:rsidR="00704869" w:rsidRPr="00704869" w:rsidRDefault="00704869" w:rsidP="00704869">
            <w:pPr>
              <w:spacing w:after="200" w:line="276" w:lineRule="auto"/>
              <w:rPr>
                <w:lang w:val="en-GB"/>
              </w:rPr>
            </w:pPr>
            <w:r w:rsidRPr="00704869">
              <w:rPr>
                <w:b/>
                <w:lang w:val="en-GB"/>
              </w:rPr>
              <w:t>H</w:t>
            </w:r>
          </w:p>
        </w:tc>
        <w:tc>
          <w:tcPr>
            <w:tcW w:w="616" w:type="dxa"/>
            <w:tcBorders>
              <w:top w:val="nil"/>
              <w:left w:val="nil"/>
              <w:bottom w:val="nil"/>
              <w:right w:val="nil"/>
            </w:tcBorders>
            <w:vAlign w:val="center"/>
          </w:tcPr>
          <w:p w:rsidR="00704869" w:rsidRPr="00704869" w:rsidRDefault="00704869" w:rsidP="00704869">
            <w:pPr>
              <w:spacing w:after="200" w:line="276" w:lineRule="auto"/>
              <w:rPr>
                <w:lang w:val="en-GB"/>
              </w:rPr>
            </w:pPr>
            <w:r w:rsidRPr="00704869">
              <w:rPr>
                <w:b/>
                <w:lang w:val="en-GB"/>
              </w:rPr>
              <w:t>M</w:t>
            </w:r>
          </w:p>
        </w:tc>
      </w:tr>
      <w:tr w:rsidR="00704869" w:rsidRPr="00704869" w:rsidTr="002C7977">
        <w:trPr>
          <w:trHeight w:val="260"/>
        </w:trPr>
        <w:tc>
          <w:tcPr>
            <w:tcW w:w="3369" w:type="dxa"/>
            <w:tcBorders>
              <w:top w:val="nil"/>
              <w:left w:val="nil"/>
              <w:bottom w:val="nil"/>
              <w:right w:val="nil"/>
            </w:tcBorders>
            <w:noWrap/>
          </w:tcPr>
          <w:p w:rsidR="00704869" w:rsidRPr="00704869" w:rsidRDefault="00704869" w:rsidP="00704869">
            <w:pPr>
              <w:spacing w:after="200" w:line="276" w:lineRule="auto"/>
              <w:rPr>
                <w:lang w:val="en-GB"/>
              </w:rPr>
            </w:pPr>
            <w:r w:rsidRPr="00704869">
              <w:rPr>
                <w:lang w:val="en-GB"/>
              </w:rPr>
              <w:t>Choi, 2018</w:t>
            </w:r>
          </w:p>
        </w:tc>
        <w:tc>
          <w:tcPr>
            <w:tcW w:w="590" w:type="dxa"/>
            <w:tcBorders>
              <w:top w:val="nil"/>
              <w:left w:val="nil"/>
              <w:bottom w:val="nil"/>
              <w:right w:val="nil"/>
            </w:tcBorders>
            <w:vAlign w:val="center"/>
          </w:tcPr>
          <w:p w:rsidR="00704869" w:rsidRPr="00704869" w:rsidRDefault="00704869" w:rsidP="00704869">
            <w:pPr>
              <w:spacing w:after="200" w:line="276" w:lineRule="auto"/>
              <w:rPr>
                <w:lang w:val="en-GB"/>
              </w:rPr>
            </w:pPr>
            <w:r w:rsidRPr="00704869">
              <w:rPr>
                <w:b/>
                <w:lang w:val="en-GB"/>
              </w:rPr>
              <w:t>L</w:t>
            </w:r>
          </w:p>
        </w:tc>
        <w:tc>
          <w:tcPr>
            <w:tcW w:w="591" w:type="dxa"/>
            <w:tcBorders>
              <w:top w:val="nil"/>
              <w:left w:val="nil"/>
              <w:bottom w:val="nil"/>
              <w:right w:val="nil"/>
            </w:tcBorders>
          </w:tcPr>
          <w:p w:rsidR="00704869" w:rsidRPr="00704869" w:rsidRDefault="00704869" w:rsidP="00704869">
            <w:pPr>
              <w:spacing w:after="200" w:line="276" w:lineRule="auto"/>
              <w:rPr>
                <w:lang w:val="en-GB"/>
              </w:rPr>
            </w:pPr>
            <w:r w:rsidRPr="00704869">
              <w:rPr>
                <w:b/>
                <w:lang w:val="en-GB"/>
              </w:rPr>
              <w:t>M</w:t>
            </w:r>
          </w:p>
        </w:tc>
        <w:tc>
          <w:tcPr>
            <w:tcW w:w="591" w:type="dxa"/>
            <w:tcBorders>
              <w:top w:val="nil"/>
              <w:left w:val="nil"/>
              <w:bottom w:val="nil"/>
              <w:right w:val="nil"/>
            </w:tcBorders>
          </w:tcPr>
          <w:p w:rsidR="00704869" w:rsidRPr="00704869" w:rsidRDefault="00704869" w:rsidP="00704869">
            <w:pPr>
              <w:spacing w:after="200" w:line="276" w:lineRule="auto"/>
              <w:rPr>
                <w:b/>
                <w:lang w:val="en-GB"/>
              </w:rPr>
            </w:pPr>
            <w:r w:rsidRPr="00704869">
              <w:rPr>
                <w:b/>
                <w:lang w:val="en-GB"/>
              </w:rPr>
              <w:t>L</w:t>
            </w:r>
          </w:p>
        </w:tc>
        <w:tc>
          <w:tcPr>
            <w:tcW w:w="590" w:type="dxa"/>
            <w:tcBorders>
              <w:top w:val="nil"/>
              <w:left w:val="nil"/>
              <w:bottom w:val="nil"/>
              <w:right w:val="nil"/>
            </w:tcBorders>
            <w:vAlign w:val="center"/>
          </w:tcPr>
          <w:p w:rsidR="00704869" w:rsidRPr="00704869" w:rsidRDefault="00704869" w:rsidP="00704869">
            <w:pPr>
              <w:spacing w:after="200" w:line="276" w:lineRule="auto"/>
              <w:rPr>
                <w:lang w:val="en-GB"/>
              </w:rPr>
            </w:pPr>
            <w:r w:rsidRPr="00704869">
              <w:rPr>
                <w:lang w:val="en-GB"/>
              </w:rPr>
              <w:t>NA</w:t>
            </w:r>
          </w:p>
        </w:tc>
        <w:tc>
          <w:tcPr>
            <w:tcW w:w="591" w:type="dxa"/>
            <w:tcBorders>
              <w:top w:val="nil"/>
              <w:left w:val="nil"/>
              <w:bottom w:val="nil"/>
              <w:right w:val="nil"/>
            </w:tcBorders>
            <w:vAlign w:val="center"/>
          </w:tcPr>
          <w:p w:rsidR="00704869" w:rsidRPr="00704869" w:rsidRDefault="00704869" w:rsidP="00704869">
            <w:pPr>
              <w:spacing w:after="200" w:line="276" w:lineRule="auto"/>
              <w:rPr>
                <w:b/>
                <w:lang w:val="en-GB"/>
              </w:rPr>
            </w:pPr>
            <w:r w:rsidRPr="00704869">
              <w:rPr>
                <w:b/>
                <w:lang w:val="en-GB"/>
              </w:rPr>
              <w:t>M</w:t>
            </w:r>
          </w:p>
        </w:tc>
        <w:tc>
          <w:tcPr>
            <w:tcW w:w="591" w:type="dxa"/>
            <w:tcBorders>
              <w:top w:val="nil"/>
              <w:left w:val="nil"/>
              <w:bottom w:val="nil"/>
              <w:right w:val="nil"/>
            </w:tcBorders>
            <w:vAlign w:val="center"/>
          </w:tcPr>
          <w:p w:rsidR="00704869" w:rsidRPr="00704869" w:rsidRDefault="00704869" w:rsidP="00704869">
            <w:pPr>
              <w:spacing w:after="200" w:line="276" w:lineRule="auto"/>
              <w:rPr>
                <w:b/>
                <w:lang w:val="en-GB"/>
              </w:rPr>
            </w:pPr>
            <w:r w:rsidRPr="00704869">
              <w:rPr>
                <w:lang w:val="en-GB"/>
              </w:rPr>
              <w:t>NA</w:t>
            </w:r>
          </w:p>
        </w:tc>
        <w:tc>
          <w:tcPr>
            <w:tcW w:w="566" w:type="dxa"/>
            <w:tcBorders>
              <w:top w:val="nil"/>
              <w:left w:val="nil"/>
              <w:bottom w:val="nil"/>
              <w:right w:val="nil"/>
            </w:tcBorders>
          </w:tcPr>
          <w:p w:rsidR="00704869" w:rsidRPr="00704869" w:rsidRDefault="00704869" w:rsidP="00704869">
            <w:pPr>
              <w:spacing w:after="200" w:line="276" w:lineRule="auto"/>
              <w:rPr>
                <w:lang w:val="en-GB"/>
              </w:rPr>
            </w:pPr>
            <w:r w:rsidRPr="00704869">
              <w:rPr>
                <w:b/>
                <w:lang w:val="en-GB"/>
              </w:rPr>
              <w:t>H</w:t>
            </w:r>
          </w:p>
        </w:tc>
        <w:tc>
          <w:tcPr>
            <w:tcW w:w="616" w:type="dxa"/>
            <w:tcBorders>
              <w:top w:val="nil"/>
              <w:left w:val="nil"/>
              <w:bottom w:val="nil"/>
              <w:right w:val="nil"/>
            </w:tcBorders>
          </w:tcPr>
          <w:p w:rsidR="00704869" w:rsidRPr="00704869" w:rsidRDefault="00704869" w:rsidP="00704869">
            <w:pPr>
              <w:spacing w:after="200" w:line="276" w:lineRule="auto"/>
              <w:rPr>
                <w:lang w:val="en-GB"/>
              </w:rPr>
            </w:pPr>
            <w:r w:rsidRPr="00704869">
              <w:rPr>
                <w:b/>
                <w:lang w:val="en-GB"/>
              </w:rPr>
              <w:t>L</w:t>
            </w:r>
          </w:p>
        </w:tc>
      </w:tr>
      <w:tr w:rsidR="00704869" w:rsidRPr="00704869" w:rsidTr="002C7977">
        <w:trPr>
          <w:trHeight w:val="260"/>
        </w:trPr>
        <w:tc>
          <w:tcPr>
            <w:tcW w:w="3369" w:type="dxa"/>
            <w:tcBorders>
              <w:top w:val="nil"/>
              <w:left w:val="nil"/>
              <w:bottom w:val="nil"/>
              <w:right w:val="nil"/>
            </w:tcBorders>
            <w:noWrap/>
          </w:tcPr>
          <w:p w:rsidR="00704869" w:rsidRPr="00704869" w:rsidRDefault="00704869" w:rsidP="00704869">
            <w:pPr>
              <w:spacing w:after="200" w:line="276" w:lineRule="auto"/>
              <w:rPr>
                <w:lang w:val="en-GB"/>
              </w:rPr>
            </w:pPr>
            <w:r w:rsidRPr="00704869">
              <w:rPr>
                <w:lang w:val="en-GB"/>
              </w:rPr>
              <w:t>Eklöf, 2020</w:t>
            </w:r>
          </w:p>
        </w:tc>
        <w:tc>
          <w:tcPr>
            <w:tcW w:w="590" w:type="dxa"/>
            <w:tcBorders>
              <w:top w:val="nil"/>
              <w:left w:val="nil"/>
              <w:bottom w:val="nil"/>
              <w:right w:val="nil"/>
            </w:tcBorders>
            <w:vAlign w:val="center"/>
          </w:tcPr>
          <w:p w:rsidR="00704869" w:rsidRPr="00704869" w:rsidRDefault="00704869" w:rsidP="00704869">
            <w:pPr>
              <w:spacing w:after="200" w:line="276" w:lineRule="auto"/>
              <w:rPr>
                <w:lang w:val="en-GB"/>
              </w:rPr>
            </w:pPr>
            <w:r w:rsidRPr="00704869">
              <w:rPr>
                <w:b/>
                <w:lang w:val="en-GB"/>
              </w:rPr>
              <w:t>L</w:t>
            </w:r>
          </w:p>
        </w:tc>
        <w:tc>
          <w:tcPr>
            <w:tcW w:w="591" w:type="dxa"/>
            <w:tcBorders>
              <w:top w:val="nil"/>
              <w:left w:val="nil"/>
              <w:bottom w:val="nil"/>
              <w:right w:val="nil"/>
            </w:tcBorders>
          </w:tcPr>
          <w:p w:rsidR="00704869" w:rsidRPr="00704869" w:rsidRDefault="00704869" w:rsidP="00704869">
            <w:pPr>
              <w:spacing w:after="200" w:line="276" w:lineRule="auto"/>
              <w:rPr>
                <w:lang w:val="en-GB"/>
              </w:rPr>
            </w:pPr>
            <w:r w:rsidRPr="00704869">
              <w:rPr>
                <w:b/>
                <w:lang w:val="en-GB"/>
              </w:rPr>
              <w:t>L</w:t>
            </w:r>
          </w:p>
        </w:tc>
        <w:tc>
          <w:tcPr>
            <w:tcW w:w="591" w:type="dxa"/>
            <w:tcBorders>
              <w:top w:val="nil"/>
              <w:left w:val="nil"/>
              <w:bottom w:val="nil"/>
              <w:right w:val="nil"/>
            </w:tcBorders>
          </w:tcPr>
          <w:p w:rsidR="00704869" w:rsidRPr="00704869" w:rsidRDefault="00704869" w:rsidP="00704869">
            <w:pPr>
              <w:spacing w:after="200" w:line="276" w:lineRule="auto"/>
              <w:rPr>
                <w:b/>
                <w:lang w:val="en-GB"/>
              </w:rPr>
            </w:pPr>
            <w:r w:rsidRPr="00704869">
              <w:rPr>
                <w:b/>
                <w:lang w:val="en-GB"/>
              </w:rPr>
              <w:t>L</w:t>
            </w:r>
          </w:p>
        </w:tc>
        <w:tc>
          <w:tcPr>
            <w:tcW w:w="590" w:type="dxa"/>
            <w:tcBorders>
              <w:top w:val="nil"/>
              <w:left w:val="nil"/>
              <w:bottom w:val="nil"/>
              <w:right w:val="nil"/>
            </w:tcBorders>
            <w:vAlign w:val="center"/>
          </w:tcPr>
          <w:p w:rsidR="00704869" w:rsidRPr="00704869" w:rsidRDefault="00704869" w:rsidP="00704869">
            <w:pPr>
              <w:spacing w:after="200" w:line="276" w:lineRule="auto"/>
              <w:rPr>
                <w:lang w:val="en-GB"/>
              </w:rPr>
            </w:pPr>
            <w:r w:rsidRPr="00704869">
              <w:rPr>
                <w:lang w:val="en-GB"/>
              </w:rPr>
              <w:t>NA</w:t>
            </w:r>
          </w:p>
        </w:tc>
        <w:tc>
          <w:tcPr>
            <w:tcW w:w="591" w:type="dxa"/>
            <w:tcBorders>
              <w:top w:val="nil"/>
              <w:left w:val="nil"/>
              <w:bottom w:val="nil"/>
              <w:right w:val="nil"/>
            </w:tcBorders>
            <w:vAlign w:val="center"/>
          </w:tcPr>
          <w:p w:rsidR="00704869" w:rsidRPr="00704869" w:rsidRDefault="00704869" w:rsidP="00704869">
            <w:pPr>
              <w:spacing w:after="200" w:line="276" w:lineRule="auto"/>
              <w:rPr>
                <w:b/>
                <w:lang w:val="en-GB"/>
              </w:rPr>
            </w:pPr>
            <w:r w:rsidRPr="00704869">
              <w:rPr>
                <w:b/>
                <w:lang w:val="en-GB"/>
              </w:rPr>
              <w:t>L</w:t>
            </w:r>
          </w:p>
        </w:tc>
        <w:tc>
          <w:tcPr>
            <w:tcW w:w="591" w:type="dxa"/>
            <w:tcBorders>
              <w:top w:val="nil"/>
              <w:left w:val="nil"/>
              <w:bottom w:val="nil"/>
              <w:right w:val="nil"/>
            </w:tcBorders>
          </w:tcPr>
          <w:p w:rsidR="00704869" w:rsidRPr="00704869" w:rsidRDefault="00704869" w:rsidP="00704869">
            <w:pPr>
              <w:spacing w:after="200" w:line="276" w:lineRule="auto"/>
              <w:rPr>
                <w:b/>
                <w:lang w:val="en-GB"/>
              </w:rPr>
            </w:pPr>
            <w:r w:rsidRPr="00704869">
              <w:rPr>
                <w:b/>
                <w:lang w:val="en-GB"/>
              </w:rPr>
              <w:t>L</w:t>
            </w:r>
          </w:p>
        </w:tc>
        <w:tc>
          <w:tcPr>
            <w:tcW w:w="566" w:type="dxa"/>
            <w:tcBorders>
              <w:top w:val="nil"/>
              <w:left w:val="nil"/>
              <w:bottom w:val="nil"/>
              <w:right w:val="nil"/>
            </w:tcBorders>
          </w:tcPr>
          <w:p w:rsidR="00704869" w:rsidRPr="00704869" w:rsidRDefault="00704869" w:rsidP="00704869">
            <w:pPr>
              <w:spacing w:after="200" w:line="276" w:lineRule="auto"/>
              <w:rPr>
                <w:lang w:val="en-GB"/>
              </w:rPr>
            </w:pPr>
            <w:r w:rsidRPr="00704869">
              <w:rPr>
                <w:b/>
                <w:lang w:val="en-GB"/>
              </w:rPr>
              <w:t>M</w:t>
            </w:r>
          </w:p>
        </w:tc>
        <w:tc>
          <w:tcPr>
            <w:tcW w:w="616" w:type="dxa"/>
            <w:tcBorders>
              <w:top w:val="nil"/>
              <w:left w:val="nil"/>
              <w:bottom w:val="nil"/>
              <w:right w:val="nil"/>
            </w:tcBorders>
          </w:tcPr>
          <w:p w:rsidR="00704869" w:rsidRPr="00704869" w:rsidRDefault="00704869" w:rsidP="00704869">
            <w:pPr>
              <w:spacing w:after="200" w:line="276" w:lineRule="auto"/>
              <w:rPr>
                <w:lang w:val="en-GB"/>
              </w:rPr>
            </w:pPr>
            <w:r w:rsidRPr="00704869">
              <w:rPr>
                <w:b/>
                <w:lang w:val="en-GB"/>
              </w:rPr>
              <w:t>L</w:t>
            </w:r>
          </w:p>
        </w:tc>
      </w:tr>
      <w:tr w:rsidR="00704869" w:rsidRPr="00704869" w:rsidTr="002C7977">
        <w:trPr>
          <w:trHeight w:val="260"/>
        </w:trPr>
        <w:tc>
          <w:tcPr>
            <w:tcW w:w="3369" w:type="dxa"/>
            <w:tcBorders>
              <w:top w:val="nil"/>
              <w:left w:val="nil"/>
              <w:bottom w:val="nil"/>
              <w:right w:val="nil"/>
            </w:tcBorders>
            <w:noWrap/>
          </w:tcPr>
          <w:p w:rsidR="00704869" w:rsidRPr="00704869" w:rsidRDefault="00704869" w:rsidP="00704869">
            <w:pPr>
              <w:spacing w:after="200" w:line="276" w:lineRule="auto"/>
              <w:rPr>
                <w:lang w:val="en-GB"/>
              </w:rPr>
            </w:pPr>
            <w:r w:rsidRPr="00704869">
              <w:rPr>
                <w:lang w:val="en-GB"/>
              </w:rPr>
              <w:t>Jacobs, 2020</w:t>
            </w:r>
          </w:p>
        </w:tc>
        <w:tc>
          <w:tcPr>
            <w:tcW w:w="590" w:type="dxa"/>
            <w:tcBorders>
              <w:top w:val="nil"/>
              <w:left w:val="nil"/>
              <w:bottom w:val="nil"/>
              <w:right w:val="nil"/>
            </w:tcBorders>
            <w:vAlign w:val="center"/>
          </w:tcPr>
          <w:p w:rsidR="00704869" w:rsidRPr="00704869" w:rsidRDefault="00704869" w:rsidP="00704869">
            <w:pPr>
              <w:spacing w:after="200" w:line="276" w:lineRule="auto"/>
              <w:rPr>
                <w:lang w:val="en-GB"/>
              </w:rPr>
            </w:pPr>
            <w:r w:rsidRPr="00704869">
              <w:rPr>
                <w:b/>
                <w:lang w:val="en-GB"/>
              </w:rPr>
              <w:t>L</w:t>
            </w:r>
          </w:p>
        </w:tc>
        <w:tc>
          <w:tcPr>
            <w:tcW w:w="591" w:type="dxa"/>
            <w:tcBorders>
              <w:top w:val="nil"/>
              <w:left w:val="nil"/>
              <w:bottom w:val="nil"/>
              <w:right w:val="nil"/>
            </w:tcBorders>
          </w:tcPr>
          <w:p w:rsidR="00704869" w:rsidRPr="00704869" w:rsidRDefault="00704869" w:rsidP="00704869">
            <w:pPr>
              <w:spacing w:after="200" w:line="276" w:lineRule="auto"/>
              <w:rPr>
                <w:lang w:val="en-GB"/>
              </w:rPr>
            </w:pPr>
            <w:r w:rsidRPr="00704869">
              <w:rPr>
                <w:b/>
                <w:lang w:val="en-GB"/>
              </w:rPr>
              <w:t>M</w:t>
            </w:r>
          </w:p>
        </w:tc>
        <w:tc>
          <w:tcPr>
            <w:tcW w:w="591" w:type="dxa"/>
            <w:tcBorders>
              <w:top w:val="nil"/>
              <w:left w:val="nil"/>
              <w:bottom w:val="nil"/>
              <w:right w:val="nil"/>
            </w:tcBorders>
          </w:tcPr>
          <w:p w:rsidR="00704869" w:rsidRPr="00704869" w:rsidRDefault="00704869" w:rsidP="00704869">
            <w:pPr>
              <w:spacing w:after="200" w:line="276" w:lineRule="auto"/>
              <w:rPr>
                <w:b/>
                <w:lang w:val="en-GB"/>
              </w:rPr>
            </w:pPr>
            <w:r w:rsidRPr="00704869">
              <w:rPr>
                <w:b/>
                <w:lang w:val="en-GB"/>
              </w:rPr>
              <w:t>L</w:t>
            </w:r>
          </w:p>
        </w:tc>
        <w:tc>
          <w:tcPr>
            <w:tcW w:w="590" w:type="dxa"/>
            <w:tcBorders>
              <w:top w:val="nil"/>
              <w:left w:val="nil"/>
              <w:bottom w:val="nil"/>
              <w:right w:val="nil"/>
            </w:tcBorders>
          </w:tcPr>
          <w:p w:rsidR="00704869" w:rsidRPr="00704869" w:rsidRDefault="00704869" w:rsidP="00704869">
            <w:pPr>
              <w:spacing w:after="200" w:line="276" w:lineRule="auto"/>
              <w:rPr>
                <w:lang w:val="en-GB"/>
              </w:rPr>
            </w:pPr>
            <w:r w:rsidRPr="00704869">
              <w:rPr>
                <w:b/>
                <w:lang w:val="en-GB"/>
              </w:rPr>
              <w:t>L</w:t>
            </w:r>
          </w:p>
        </w:tc>
        <w:tc>
          <w:tcPr>
            <w:tcW w:w="591" w:type="dxa"/>
            <w:tcBorders>
              <w:top w:val="nil"/>
              <w:left w:val="nil"/>
              <w:bottom w:val="nil"/>
              <w:right w:val="nil"/>
            </w:tcBorders>
            <w:vAlign w:val="center"/>
          </w:tcPr>
          <w:p w:rsidR="00704869" w:rsidRPr="00704869" w:rsidRDefault="00704869" w:rsidP="00704869">
            <w:pPr>
              <w:spacing w:after="200" w:line="276" w:lineRule="auto"/>
              <w:rPr>
                <w:b/>
                <w:lang w:val="en-GB"/>
              </w:rPr>
            </w:pPr>
            <w:r w:rsidRPr="00704869">
              <w:rPr>
                <w:b/>
                <w:lang w:val="en-GB"/>
              </w:rPr>
              <w:t>M</w:t>
            </w:r>
          </w:p>
        </w:tc>
        <w:tc>
          <w:tcPr>
            <w:tcW w:w="591" w:type="dxa"/>
            <w:tcBorders>
              <w:top w:val="nil"/>
              <w:left w:val="nil"/>
              <w:bottom w:val="nil"/>
              <w:right w:val="nil"/>
            </w:tcBorders>
          </w:tcPr>
          <w:p w:rsidR="00704869" w:rsidRPr="00704869" w:rsidRDefault="00704869" w:rsidP="00704869">
            <w:pPr>
              <w:spacing w:after="200" w:line="276" w:lineRule="auto"/>
              <w:rPr>
                <w:b/>
                <w:lang w:val="en-GB"/>
              </w:rPr>
            </w:pPr>
            <w:r w:rsidRPr="00704869">
              <w:rPr>
                <w:b/>
                <w:lang w:val="en-GB"/>
              </w:rPr>
              <w:t>M</w:t>
            </w:r>
          </w:p>
        </w:tc>
        <w:tc>
          <w:tcPr>
            <w:tcW w:w="566" w:type="dxa"/>
            <w:tcBorders>
              <w:top w:val="nil"/>
              <w:left w:val="nil"/>
              <w:bottom w:val="nil"/>
              <w:right w:val="nil"/>
            </w:tcBorders>
          </w:tcPr>
          <w:p w:rsidR="00704869" w:rsidRPr="00704869" w:rsidRDefault="00704869" w:rsidP="00704869">
            <w:pPr>
              <w:spacing w:after="200" w:line="276" w:lineRule="auto"/>
              <w:rPr>
                <w:lang w:val="en-GB"/>
              </w:rPr>
            </w:pPr>
            <w:r w:rsidRPr="00704869">
              <w:rPr>
                <w:b/>
                <w:lang w:val="en-GB"/>
              </w:rPr>
              <w:t>M</w:t>
            </w:r>
          </w:p>
        </w:tc>
        <w:tc>
          <w:tcPr>
            <w:tcW w:w="616" w:type="dxa"/>
            <w:tcBorders>
              <w:top w:val="nil"/>
              <w:left w:val="nil"/>
              <w:bottom w:val="nil"/>
              <w:right w:val="nil"/>
            </w:tcBorders>
          </w:tcPr>
          <w:p w:rsidR="00704869" w:rsidRPr="00704869" w:rsidRDefault="00704869" w:rsidP="00704869">
            <w:pPr>
              <w:spacing w:after="200" w:line="276" w:lineRule="auto"/>
              <w:rPr>
                <w:lang w:val="en-GB"/>
              </w:rPr>
            </w:pPr>
            <w:r w:rsidRPr="00704869">
              <w:rPr>
                <w:b/>
                <w:lang w:val="en-GB"/>
              </w:rPr>
              <w:t>L</w:t>
            </w:r>
          </w:p>
        </w:tc>
      </w:tr>
      <w:tr w:rsidR="00704869" w:rsidRPr="00704869" w:rsidTr="002C7977">
        <w:trPr>
          <w:trHeight w:val="260"/>
        </w:trPr>
        <w:tc>
          <w:tcPr>
            <w:tcW w:w="3369" w:type="dxa"/>
            <w:tcBorders>
              <w:top w:val="nil"/>
              <w:left w:val="nil"/>
              <w:bottom w:val="nil"/>
              <w:right w:val="nil"/>
            </w:tcBorders>
            <w:noWrap/>
            <w:vAlign w:val="bottom"/>
          </w:tcPr>
          <w:p w:rsidR="00704869" w:rsidRPr="00704869" w:rsidRDefault="00704869" w:rsidP="00704869">
            <w:pPr>
              <w:spacing w:after="200" w:line="276" w:lineRule="auto"/>
              <w:rPr>
                <w:lang w:val="en-GB"/>
              </w:rPr>
            </w:pPr>
            <w:r w:rsidRPr="00704869">
              <w:rPr>
                <w:lang w:val="en-GB"/>
              </w:rPr>
              <w:t>Martínez-García, 2021</w:t>
            </w:r>
          </w:p>
        </w:tc>
        <w:tc>
          <w:tcPr>
            <w:tcW w:w="590" w:type="dxa"/>
            <w:tcBorders>
              <w:top w:val="nil"/>
              <w:left w:val="nil"/>
              <w:bottom w:val="nil"/>
              <w:right w:val="nil"/>
            </w:tcBorders>
            <w:vAlign w:val="center"/>
          </w:tcPr>
          <w:p w:rsidR="00704869" w:rsidRPr="00704869" w:rsidRDefault="00704869" w:rsidP="00704869">
            <w:pPr>
              <w:spacing w:after="200" w:line="276" w:lineRule="auto"/>
              <w:rPr>
                <w:b/>
                <w:lang w:val="en-GB"/>
              </w:rPr>
            </w:pPr>
            <w:r w:rsidRPr="00704869">
              <w:rPr>
                <w:b/>
                <w:lang w:val="en-GB"/>
              </w:rPr>
              <w:t>L</w:t>
            </w:r>
          </w:p>
        </w:tc>
        <w:tc>
          <w:tcPr>
            <w:tcW w:w="591" w:type="dxa"/>
            <w:tcBorders>
              <w:top w:val="nil"/>
              <w:left w:val="nil"/>
              <w:bottom w:val="nil"/>
              <w:right w:val="nil"/>
            </w:tcBorders>
          </w:tcPr>
          <w:p w:rsidR="00704869" w:rsidRPr="00704869" w:rsidRDefault="00704869" w:rsidP="00704869">
            <w:pPr>
              <w:spacing w:after="200" w:line="276" w:lineRule="auto"/>
              <w:rPr>
                <w:b/>
                <w:lang w:val="en-GB"/>
              </w:rPr>
            </w:pPr>
            <w:r w:rsidRPr="00704869">
              <w:rPr>
                <w:b/>
                <w:lang w:val="en-GB"/>
              </w:rPr>
              <w:t>L</w:t>
            </w:r>
          </w:p>
        </w:tc>
        <w:tc>
          <w:tcPr>
            <w:tcW w:w="591" w:type="dxa"/>
            <w:tcBorders>
              <w:top w:val="nil"/>
              <w:left w:val="nil"/>
              <w:bottom w:val="nil"/>
              <w:right w:val="nil"/>
            </w:tcBorders>
            <w:vAlign w:val="center"/>
          </w:tcPr>
          <w:p w:rsidR="00704869" w:rsidRPr="00704869" w:rsidRDefault="00704869" w:rsidP="00704869">
            <w:pPr>
              <w:spacing w:after="200" w:line="276" w:lineRule="auto"/>
              <w:rPr>
                <w:b/>
                <w:lang w:val="en-GB"/>
              </w:rPr>
            </w:pPr>
            <w:r w:rsidRPr="00704869">
              <w:rPr>
                <w:b/>
                <w:lang w:val="en-GB"/>
              </w:rPr>
              <w:t>L</w:t>
            </w:r>
          </w:p>
        </w:tc>
        <w:tc>
          <w:tcPr>
            <w:tcW w:w="590" w:type="dxa"/>
            <w:tcBorders>
              <w:top w:val="nil"/>
              <w:left w:val="nil"/>
              <w:bottom w:val="nil"/>
              <w:right w:val="nil"/>
            </w:tcBorders>
          </w:tcPr>
          <w:p w:rsidR="00704869" w:rsidRPr="00704869" w:rsidRDefault="00704869" w:rsidP="00704869">
            <w:pPr>
              <w:spacing w:after="200" w:line="276" w:lineRule="auto"/>
              <w:rPr>
                <w:lang w:val="en-GB"/>
              </w:rPr>
            </w:pPr>
            <w:r w:rsidRPr="00704869">
              <w:rPr>
                <w:b/>
                <w:lang w:val="en-GB"/>
              </w:rPr>
              <w:t>L</w:t>
            </w:r>
          </w:p>
        </w:tc>
        <w:tc>
          <w:tcPr>
            <w:tcW w:w="591" w:type="dxa"/>
            <w:tcBorders>
              <w:top w:val="nil"/>
              <w:left w:val="nil"/>
              <w:bottom w:val="nil"/>
              <w:right w:val="nil"/>
            </w:tcBorders>
          </w:tcPr>
          <w:p w:rsidR="00704869" w:rsidRPr="00704869" w:rsidRDefault="00704869" w:rsidP="00704869">
            <w:pPr>
              <w:spacing w:after="200" w:line="276" w:lineRule="auto"/>
              <w:rPr>
                <w:lang w:val="en-GB"/>
              </w:rPr>
            </w:pPr>
            <w:r w:rsidRPr="00704869">
              <w:rPr>
                <w:b/>
                <w:lang w:val="en-GB"/>
              </w:rPr>
              <w:t>M</w:t>
            </w:r>
          </w:p>
        </w:tc>
        <w:tc>
          <w:tcPr>
            <w:tcW w:w="591" w:type="dxa"/>
            <w:tcBorders>
              <w:top w:val="nil"/>
              <w:left w:val="nil"/>
              <w:bottom w:val="nil"/>
              <w:right w:val="nil"/>
            </w:tcBorders>
          </w:tcPr>
          <w:p w:rsidR="00704869" w:rsidRPr="00704869" w:rsidRDefault="00704869" w:rsidP="00704869">
            <w:pPr>
              <w:spacing w:after="200" w:line="276" w:lineRule="auto"/>
              <w:rPr>
                <w:lang w:val="en-GB"/>
              </w:rPr>
            </w:pPr>
            <w:r w:rsidRPr="00704869">
              <w:rPr>
                <w:b/>
                <w:lang w:val="en-GB"/>
              </w:rPr>
              <w:t>M</w:t>
            </w:r>
          </w:p>
        </w:tc>
        <w:tc>
          <w:tcPr>
            <w:tcW w:w="566" w:type="dxa"/>
            <w:tcBorders>
              <w:top w:val="nil"/>
              <w:left w:val="nil"/>
              <w:bottom w:val="nil"/>
              <w:right w:val="nil"/>
            </w:tcBorders>
          </w:tcPr>
          <w:p w:rsidR="00704869" w:rsidRPr="00704869" w:rsidRDefault="00704869" w:rsidP="00704869">
            <w:pPr>
              <w:spacing w:after="200" w:line="276" w:lineRule="auto"/>
              <w:rPr>
                <w:b/>
                <w:lang w:val="en-GB"/>
              </w:rPr>
            </w:pPr>
            <w:r w:rsidRPr="00704869">
              <w:rPr>
                <w:b/>
                <w:lang w:val="en-GB"/>
              </w:rPr>
              <w:t>L</w:t>
            </w:r>
          </w:p>
        </w:tc>
        <w:tc>
          <w:tcPr>
            <w:tcW w:w="616" w:type="dxa"/>
            <w:tcBorders>
              <w:top w:val="nil"/>
              <w:left w:val="nil"/>
              <w:bottom w:val="nil"/>
              <w:right w:val="nil"/>
            </w:tcBorders>
          </w:tcPr>
          <w:p w:rsidR="00704869" w:rsidRPr="00704869" w:rsidRDefault="00704869" w:rsidP="00704869">
            <w:pPr>
              <w:spacing w:after="200" w:line="276" w:lineRule="auto"/>
              <w:rPr>
                <w:b/>
                <w:lang w:val="en-GB"/>
              </w:rPr>
            </w:pPr>
            <w:r w:rsidRPr="00704869">
              <w:rPr>
                <w:b/>
                <w:lang w:val="en-GB"/>
              </w:rPr>
              <w:t>L</w:t>
            </w:r>
          </w:p>
        </w:tc>
      </w:tr>
      <w:tr w:rsidR="00704869" w:rsidRPr="00704869" w:rsidTr="002C7977">
        <w:trPr>
          <w:trHeight w:val="260"/>
        </w:trPr>
        <w:tc>
          <w:tcPr>
            <w:tcW w:w="3369" w:type="dxa"/>
            <w:tcBorders>
              <w:top w:val="nil"/>
              <w:left w:val="nil"/>
              <w:bottom w:val="nil"/>
              <w:right w:val="nil"/>
            </w:tcBorders>
            <w:noWrap/>
            <w:vAlign w:val="bottom"/>
          </w:tcPr>
          <w:p w:rsidR="00704869" w:rsidRPr="00704869" w:rsidRDefault="00704869" w:rsidP="00704869">
            <w:pPr>
              <w:spacing w:after="200" w:line="276" w:lineRule="auto"/>
              <w:rPr>
                <w:lang w:val="en-GB"/>
              </w:rPr>
            </w:pPr>
            <w:r w:rsidRPr="00704869">
              <w:rPr>
                <w:lang w:val="en-GB"/>
              </w:rPr>
              <w:t>Rodriguez-Troyano, 2018</w:t>
            </w:r>
          </w:p>
        </w:tc>
        <w:tc>
          <w:tcPr>
            <w:tcW w:w="590" w:type="dxa"/>
            <w:tcBorders>
              <w:top w:val="nil"/>
              <w:left w:val="nil"/>
              <w:bottom w:val="nil"/>
              <w:right w:val="nil"/>
            </w:tcBorders>
            <w:vAlign w:val="center"/>
          </w:tcPr>
          <w:p w:rsidR="00704869" w:rsidRPr="00704869" w:rsidRDefault="00704869" w:rsidP="00704869">
            <w:pPr>
              <w:spacing w:after="200" w:line="276" w:lineRule="auto"/>
              <w:rPr>
                <w:b/>
                <w:lang w:val="en-GB"/>
              </w:rPr>
            </w:pPr>
            <w:r w:rsidRPr="00704869">
              <w:rPr>
                <w:b/>
                <w:lang w:val="en-GB"/>
              </w:rPr>
              <w:t>L</w:t>
            </w:r>
          </w:p>
        </w:tc>
        <w:tc>
          <w:tcPr>
            <w:tcW w:w="591" w:type="dxa"/>
            <w:tcBorders>
              <w:top w:val="nil"/>
              <w:left w:val="nil"/>
              <w:bottom w:val="nil"/>
              <w:right w:val="nil"/>
            </w:tcBorders>
            <w:vAlign w:val="center"/>
          </w:tcPr>
          <w:p w:rsidR="00704869" w:rsidRPr="00704869" w:rsidRDefault="00704869" w:rsidP="00704869">
            <w:pPr>
              <w:spacing w:after="200" w:line="276" w:lineRule="auto"/>
              <w:rPr>
                <w:b/>
                <w:lang w:val="en-GB"/>
              </w:rPr>
            </w:pPr>
            <w:r w:rsidRPr="00704869">
              <w:rPr>
                <w:b/>
                <w:lang w:val="en-GB"/>
              </w:rPr>
              <w:t>M</w:t>
            </w:r>
          </w:p>
        </w:tc>
        <w:tc>
          <w:tcPr>
            <w:tcW w:w="591" w:type="dxa"/>
            <w:tcBorders>
              <w:top w:val="nil"/>
              <w:left w:val="nil"/>
              <w:bottom w:val="nil"/>
              <w:right w:val="nil"/>
            </w:tcBorders>
            <w:vAlign w:val="center"/>
          </w:tcPr>
          <w:p w:rsidR="00704869" w:rsidRPr="00704869" w:rsidRDefault="00704869" w:rsidP="00704869">
            <w:pPr>
              <w:spacing w:after="200" w:line="276" w:lineRule="auto"/>
              <w:rPr>
                <w:b/>
                <w:lang w:val="en-GB"/>
              </w:rPr>
            </w:pPr>
            <w:r w:rsidRPr="00704869">
              <w:rPr>
                <w:b/>
                <w:lang w:val="en-GB"/>
              </w:rPr>
              <w:t>L</w:t>
            </w:r>
          </w:p>
        </w:tc>
        <w:tc>
          <w:tcPr>
            <w:tcW w:w="590" w:type="dxa"/>
            <w:tcBorders>
              <w:top w:val="nil"/>
              <w:left w:val="nil"/>
              <w:bottom w:val="nil"/>
              <w:right w:val="nil"/>
            </w:tcBorders>
          </w:tcPr>
          <w:p w:rsidR="00704869" w:rsidRPr="00704869" w:rsidRDefault="00704869" w:rsidP="00704869">
            <w:pPr>
              <w:spacing w:after="200" w:line="276" w:lineRule="auto"/>
              <w:rPr>
                <w:lang w:val="en-GB"/>
              </w:rPr>
            </w:pPr>
            <w:r w:rsidRPr="00704869">
              <w:rPr>
                <w:lang w:val="en-GB"/>
              </w:rPr>
              <w:t>NA</w:t>
            </w:r>
          </w:p>
        </w:tc>
        <w:tc>
          <w:tcPr>
            <w:tcW w:w="591" w:type="dxa"/>
            <w:tcBorders>
              <w:top w:val="nil"/>
              <w:left w:val="nil"/>
              <w:bottom w:val="nil"/>
              <w:right w:val="nil"/>
            </w:tcBorders>
          </w:tcPr>
          <w:p w:rsidR="00704869" w:rsidRPr="00704869" w:rsidRDefault="00704869" w:rsidP="00704869">
            <w:pPr>
              <w:spacing w:after="200" w:line="276" w:lineRule="auto"/>
              <w:rPr>
                <w:lang w:val="en-GB"/>
              </w:rPr>
            </w:pPr>
            <w:r w:rsidRPr="00704869">
              <w:rPr>
                <w:b/>
                <w:lang w:val="en-GB"/>
              </w:rPr>
              <w:t>M</w:t>
            </w:r>
          </w:p>
        </w:tc>
        <w:tc>
          <w:tcPr>
            <w:tcW w:w="591" w:type="dxa"/>
            <w:tcBorders>
              <w:top w:val="nil"/>
              <w:left w:val="nil"/>
              <w:bottom w:val="nil"/>
              <w:right w:val="nil"/>
            </w:tcBorders>
          </w:tcPr>
          <w:p w:rsidR="00704869" w:rsidRPr="00704869" w:rsidRDefault="00704869" w:rsidP="00704869">
            <w:pPr>
              <w:spacing w:after="200" w:line="276" w:lineRule="auto"/>
              <w:rPr>
                <w:b/>
                <w:lang w:val="en-GB"/>
              </w:rPr>
            </w:pPr>
            <w:r w:rsidRPr="00704869">
              <w:rPr>
                <w:b/>
                <w:lang w:val="en-GB"/>
              </w:rPr>
              <w:t>M</w:t>
            </w:r>
          </w:p>
        </w:tc>
        <w:tc>
          <w:tcPr>
            <w:tcW w:w="566" w:type="dxa"/>
            <w:tcBorders>
              <w:top w:val="nil"/>
              <w:left w:val="nil"/>
              <w:bottom w:val="nil"/>
              <w:right w:val="nil"/>
            </w:tcBorders>
          </w:tcPr>
          <w:p w:rsidR="00704869" w:rsidRPr="00704869" w:rsidRDefault="00704869" w:rsidP="00704869">
            <w:pPr>
              <w:spacing w:after="200" w:line="276" w:lineRule="auto"/>
              <w:rPr>
                <w:b/>
                <w:lang w:val="en-GB"/>
              </w:rPr>
            </w:pPr>
            <w:r w:rsidRPr="00704869">
              <w:rPr>
                <w:b/>
                <w:lang w:val="en-GB"/>
              </w:rPr>
              <w:t>H</w:t>
            </w:r>
          </w:p>
        </w:tc>
        <w:tc>
          <w:tcPr>
            <w:tcW w:w="616" w:type="dxa"/>
            <w:tcBorders>
              <w:top w:val="nil"/>
              <w:left w:val="nil"/>
              <w:bottom w:val="nil"/>
              <w:right w:val="nil"/>
            </w:tcBorders>
          </w:tcPr>
          <w:p w:rsidR="00704869" w:rsidRPr="00704869" w:rsidRDefault="00704869" w:rsidP="00704869">
            <w:pPr>
              <w:spacing w:after="200" w:line="276" w:lineRule="auto"/>
              <w:rPr>
                <w:b/>
                <w:lang w:val="en-GB"/>
              </w:rPr>
            </w:pPr>
            <w:r w:rsidRPr="00704869">
              <w:rPr>
                <w:b/>
                <w:lang w:val="en-GB"/>
              </w:rPr>
              <w:t>L</w:t>
            </w:r>
          </w:p>
        </w:tc>
      </w:tr>
    </w:tbl>
    <w:p w:rsidR="00704869" w:rsidRPr="00704869" w:rsidRDefault="007703C1" w:rsidP="00704869">
      <w:pPr>
        <w:spacing w:after="200" w:line="276" w:lineRule="auto"/>
        <w:rPr>
          <w:iCs/>
          <w:lang w:val="en-GB"/>
        </w:rPr>
      </w:pPr>
      <w:r>
        <w:rPr>
          <w:b/>
          <w:bCs/>
          <w:iCs/>
          <w:lang w:val="en-GB"/>
        </w:rPr>
        <w:lastRenderedPageBreak/>
        <w:t>F</w:t>
      </w:r>
      <w:r w:rsidR="00704869" w:rsidRPr="00704869">
        <w:rPr>
          <w:b/>
          <w:bCs/>
          <w:iCs/>
          <w:lang w:val="en-GB"/>
        </w:rPr>
        <w:t>ootnote:</w:t>
      </w:r>
      <w:r w:rsidR="00704869" w:rsidRPr="00704869">
        <w:rPr>
          <w:iCs/>
          <w:lang w:val="en-GB"/>
        </w:rPr>
        <w:t xml:space="preserve"> Domains indicated by a “</w:t>
      </w:r>
      <w:r w:rsidR="00704869" w:rsidRPr="00704869">
        <w:rPr>
          <w:b/>
          <w:iCs/>
          <w:lang w:val="en-GB"/>
        </w:rPr>
        <w:t>L</w:t>
      </w:r>
      <w:r w:rsidR="00704869" w:rsidRPr="00704869">
        <w:rPr>
          <w:iCs/>
          <w:lang w:val="en-GB"/>
        </w:rPr>
        <w:t>“ potentially have a low risk of bias; Domains indicated by a “</w:t>
      </w:r>
      <w:r w:rsidR="00704869" w:rsidRPr="00704869">
        <w:rPr>
          <w:b/>
          <w:iCs/>
          <w:lang w:val="en-GB"/>
        </w:rPr>
        <w:t>M</w:t>
      </w:r>
      <w:r w:rsidR="00704869" w:rsidRPr="00704869">
        <w:rPr>
          <w:iCs/>
          <w:lang w:val="en-GB"/>
        </w:rPr>
        <w:t>“ potentially have a moderate risk of bias; Domains indicated by a “</w:t>
      </w:r>
      <w:r w:rsidR="00704869" w:rsidRPr="00704869">
        <w:rPr>
          <w:b/>
          <w:iCs/>
          <w:lang w:val="en-GB"/>
        </w:rPr>
        <w:t>H</w:t>
      </w:r>
      <w:r w:rsidR="00704869" w:rsidRPr="00704869">
        <w:rPr>
          <w:iCs/>
          <w:lang w:val="en-GB"/>
        </w:rPr>
        <w:t>“ potentially have a high risk of bias; Domains indicated by an “</w:t>
      </w:r>
      <w:r w:rsidR="00704869" w:rsidRPr="00704869">
        <w:rPr>
          <w:b/>
          <w:iCs/>
          <w:lang w:val="en-GB"/>
        </w:rPr>
        <w:t>NA</w:t>
      </w:r>
      <w:r w:rsidR="00704869" w:rsidRPr="00704869">
        <w:rPr>
          <w:iCs/>
          <w:lang w:val="en-GB"/>
        </w:rPr>
        <w:t>“ did not measure this outcome. According to ref. 24.</w:t>
      </w:r>
    </w:p>
    <w:p w:rsidR="009812AA" w:rsidRDefault="009343EB" w:rsidP="00A66BA2">
      <w:pPr>
        <w:spacing w:after="200" w:line="276" w:lineRule="auto"/>
        <w:rPr>
          <w:lang w:val="en-GB"/>
        </w:rPr>
      </w:pPr>
    </w:p>
    <w:p w:rsidR="006833A7" w:rsidRDefault="006833A7" w:rsidP="00A66BA2">
      <w:pPr>
        <w:spacing w:after="200" w:line="276" w:lineRule="auto"/>
        <w:rPr>
          <w:lang w:val="en-GB"/>
        </w:rPr>
      </w:pPr>
    </w:p>
    <w:p w:rsidR="006833A7" w:rsidRDefault="006833A7" w:rsidP="00A66BA2">
      <w:pPr>
        <w:spacing w:after="200" w:line="276" w:lineRule="auto"/>
        <w:rPr>
          <w:lang w:val="en-GB"/>
        </w:rPr>
        <w:sectPr w:rsidR="006833A7" w:rsidSect="007703C1">
          <w:pgSz w:w="16820" w:h="11900" w:orient="landscape"/>
          <w:pgMar w:top="1701" w:right="1417" w:bottom="1701" w:left="1417" w:header="708" w:footer="708" w:gutter="0"/>
          <w:cols w:space="708"/>
          <w:docGrid w:linePitch="360"/>
        </w:sectPr>
      </w:pPr>
    </w:p>
    <w:p w:rsidR="006833A7" w:rsidRPr="006833A7" w:rsidRDefault="006833A7" w:rsidP="006833A7">
      <w:pPr>
        <w:pStyle w:val="Ttol2"/>
        <w:jc w:val="both"/>
        <w:rPr>
          <w:rFonts w:asciiTheme="minorHAnsi" w:hAnsiTheme="minorHAnsi"/>
          <w:lang w:val="en-GB"/>
        </w:rPr>
      </w:pPr>
      <w:bookmarkStart w:id="29" w:name="_Toc66120085"/>
      <w:r>
        <w:rPr>
          <w:rFonts w:asciiTheme="minorHAnsi" w:hAnsiTheme="minorHAnsi"/>
          <w:lang w:val="en-GB"/>
        </w:rPr>
        <w:lastRenderedPageBreak/>
        <w:t>Table S</w:t>
      </w:r>
      <w:r w:rsidR="007703C1">
        <w:rPr>
          <w:rFonts w:asciiTheme="minorHAnsi" w:hAnsiTheme="minorHAnsi"/>
          <w:lang w:val="en-GB"/>
        </w:rPr>
        <w:t>5</w:t>
      </w:r>
      <w:r>
        <w:rPr>
          <w:rFonts w:asciiTheme="minorHAnsi" w:hAnsiTheme="minorHAnsi"/>
          <w:lang w:val="en-GB"/>
        </w:rPr>
        <w:t xml:space="preserve">. </w:t>
      </w:r>
      <w:r w:rsidRPr="005330BD">
        <w:rPr>
          <w:rFonts w:asciiTheme="minorHAnsi" w:hAnsiTheme="minorHAnsi"/>
          <w:lang w:val="en-GB"/>
        </w:rPr>
        <w:t>Quality of evidence assessment</w:t>
      </w:r>
      <w:bookmarkEnd w:id="29"/>
      <w:r w:rsidRPr="005330BD">
        <w:rPr>
          <w:rFonts w:asciiTheme="minorHAnsi" w:hAnsiTheme="minorHAnsi"/>
          <w:lang w:val="en-GB"/>
        </w:rPr>
        <w:t xml:space="preserve"> </w:t>
      </w:r>
    </w:p>
    <w:tbl>
      <w:tblPr>
        <w:tblW w:w="48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4A0"/>
      </w:tblPr>
      <w:tblGrid>
        <w:gridCol w:w="1770"/>
        <w:gridCol w:w="986"/>
        <w:gridCol w:w="1102"/>
        <w:gridCol w:w="997"/>
        <w:gridCol w:w="975"/>
        <w:gridCol w:w="1138"/>
        <w:gridCol w:w="1094"/>
        <w:gridCol w:w="1146"/>
        <w:gridCol w:w="1055"/>
        <w:gridCol w:w="2554"/>
        <w:gridCol w:w="991"/>
      </w:tblGrid>
      <w:tr w:rsidR="006833A7" w:rsidRPr="005330BD" w:rsidTr="00633BFF">
        <w:trPr>
          <w:cantSplit/>
          <w:trHeight w:val="122"/>
          <w:tblHeader/>
        </w:trPr>
        <w:tc>
          <w:tcPr>
            <w:tcW w:w="2523" w:type="pct"/>
            <w:gridSpan w:val="6"/>
            <w:tcBorders>
              <w:bottom w:val="single" w:sz="4" w:space="0" w:color="auto"/>
            </w:tcBorders>
            <w:shd w:val="clear" w:color="auto" w:fill="B4C6E7" w:themeFill="accent1" w:themeFillTint="66"/>
            <w:vAlign w:val="center"/>
            <w:hideMark/>
          </w:tcPr>
          <w:p w:rsidR="006833A7" w:rsidRPr="005330BD" w:rsidRDefault="006833A7" w:rsidP="00633BFF">
            <w:pPr>
              <w:jc w:val="both"/>
              <w:rPr>
                <w:rFonts w:cstheme="minorHAnsi"/>
                <w:b/>
                <w:bCs/>
                <w:sz w:val="16"/>
                <w:szCs w:val="16"/>
                <w:lang w:val="en-GB" w:eastAsia="de-DE"/>
              </w:rPr>
            </w:pPr>
            <w:r w:rsidRPr="005330BD">
              <w:rPr>
                <w:rFonts w:cstheme="minorHAnsi"/>
                <w:b/>
                <w:bCs/>
                <w:sz w:val="16"/>
                <w:szCs w:val="16"/>
                <w:lang w:val="en-GB" w:eastAsia="de-DE"/>
              </w:rPr>
              <w:t>Certainty assessment</w:t>
            </w:r>
          </w:p>
        </w:tc>
        <w:tc>
          <w:tcPr>
            <w:tcW w:w="811" w:type="pct"/>
            <w:gridSpan w:val="2"/>
            <w:tcBorders>
              <w:bottom w:val="single" w:sz="4" w:space="0" w:color="auto"/>
            </w:tcBorders>
            <w:shd w:val="clear" w:color="auto" w:fill="B4C6E7" w:themeFill="accent1" w:themeFillTint="66"/>
            <w:vAlign w:val="center"/>
            <w:hideMark/>
          </w:tcPr>
          <w:p w:rsidR="006833A7" w:rsidRPr="005330BD" w:rsidRDefault="006833A7" w:rsidP="00633BFF">
            <w:pPr>
              <w:jc w:val="both"/>
              <w:rPr>
                <w:rFonts w:cstheme="minorHAnsi"/>
                <w:b/>
                <w:bCs/>
                <w:sz w:val="16"/>
                <w:szCs w:val="16"/>
                <w:lang w:val="en-GB" w:eastAsia="de-DE"/>
              </w:rPr>
            </w:pPr>
            <w:r w:rsidRPr="005330BD">
              <w:rPr>
                <w:rFonts w:cstheme="minorHAnsi"/>
                <w:b/>
                <w:bCs/>
                <w:sz w:val="16"/>
                <w:szCs w:val="16"/>
                <w:lang w:val="en-GB" w:eastAsia="de-DE"/>
              </w:rPr>
              <w:t>Study event rate (%)</w:t>
            </w:r>
          </w:p>
        </w:tc>
        <w:tc>
          <w:tcPr>
            <w:tcW w:w="1307" w:type="pct"/>
            <w:gridSpan w:val="2"/>
            <w:tcBorders>
              <w:bottom w:val="single" w:sz="4" w:space="0" w:color="auto"/>
            </w:tcBorders>
            <w:shd w:val="clear" w:color="auto" w:fill="B4C6E7" w:themeFill="accent1" w:themeFillTint="66"/>
            <w:vAlign w:val="center"/>
            <w:hideMark/>
          </w:tcPr>
          <w:p w:rsidR="006833A7" w:rsidRPr="005330BD" w:rsidRDefault="006833A7" w:rsidP="00633BFF">
            <w:pPr>
              <w:jc w:val="both"/>
              <w:rPr>
                <w:rFonts w:cstheme="minorHAnsi"/>
                <w:b/>
                <w:bCs/>
                <w:sz w:val="16"/>
                <w:szCs w:val="16"/>
                <w:lang w:val="en-GB" w:eastAsia="de-DE"/>
              </w:rPr>
            </w:pPr>
            <w:r w:rsidRPr="005330BD">
              <w:rPr>
                <w:rFonts w:cstheme="minorHAnsi"/>
                <w:b/>
                <w:bCs/>
                <w:sz w:val="16"/>
                <w:szCs w:val="16"/>
                <w:lang w:val="en-GB" w:eastAsia="de-DE"/>
              </w:rPr>
              <w:t>Effect estimate</w:t>
            </w:r>
          </w:p>
        </w:tc>
        <w:tc>
          <w:tcPr>
            <w:tcW w:w="359" w:type="pct"/>
            <w:vMerge w:val="restart"/>
            <w:shd w:val="clear" w:color="auto" w:fill="B4C6E7" w:themeFill="accent1" w:themeFillTint="66"/>
            <w:vAlign w:val="center"/>
            <w:hideMark/>
          </w:tcPr>
          <w:p w:rsidR="006833A7" w:rsidRPr="005330BD" w:rsidRDefault="006833A7" w:rsidP="00633BFF">
            <w:pPr>
              <w:jc w:val="both"/>
              <w:rPr>
                <w:rFonts w:cstheme="minorHAnsi"/>
                <w:b/>
                <w:bCs/>
                <w:sz w:val="16"/>
                <w:szCs w:val="16"/>
                <w:lang w:val="en-GB" w:eastAsia="de-DE"/>
              </w:rPr>
            </w:pPr>
            <w:r w:rsidRPr="005330BD">
              <w:rPr>
                <w:rFonts w:cstheme="minorHAnsi"/>
                <w:b/>
                <w:bCs/>
                <w:sz w:val="16"/>
                <w:szCs w:val="16"/>
                <w:lang w:val="en-GB" w:eastAsia="de-DE"/>
              </w:rPr>
              <w:t>Overall certainty of evidence</w:t>
            </w:r>
          </w:p>
        </w:tc>
      </w:tr>
      <w:tr w:rsidR="006833A7" w:rsidRPr="005330BD" w:rsidTr="00633BFF">
        <w:trPr>
          <w:cantSplit/>
          <w:trHeight w:val="339"/>
          <w:tblHeader/>
        </w:trPr>
        <w:tc>
          <w:tcPr>
            <w:tcW w:w="641" w:type="pct"/>
            <w:shd w:val="clear" w:color="auto" w:fill="D9E2F3" w:themeFill="accent1" w:themeFillTint="33"/>
            <w:vAlign w:val="center"/>
            <w:hideMark/>
          </w:tcPr>
          <w:p w:rsidR="006833A7" w:rsidRPr="005330BD" w:rsidRDefault="006833A7" w:rsidP="00633BFF">
            <w:pPr>
              <w:jc w:val="both"/>
              <w:rPr>
                <w:rFonts w:cstheme="minorHAnsi"/>
                <w:b/>
                <w:bCs/>
                <w:sz w:val="16"/>
                <w:szCs w:val="16"/>
                <w:lang w:val="en-GB" w:eastAsia="de-DE"/>
              </w:rPr>
            </w:pPr>
            <w:r w:rsidRPr="005330BD">
              <w:rPr>
                <w:rFonts w:cstheme="minorHAnsi"/>
                <w:b/>
                <w:bCs/>
                <w:sz w:val="16"/>
                <w:szCs w:val="16"/>
                <w:lang w:val="en-GB" w:eastAsia="de-DE"/>
              </w:rPr>
              <w:t>№ of participants (studies)</w:t>
            </w:r>
          </w:p>
        </w:tc>
        <w:tc>
          <w:tcPr>
            <w:tcW w:w="357" w:type="pct"/>
            <w:shd w:val="clear" w:color="auto" w:fill="D9E2F3" w:themeFill="accent1" w:themeFillTint="33"/>
            <w:vAlign w:val="center"/>
            <w:hideMark/>
          </w:tcPr>
          <w:p w:rsidR="006833A7" w:rsidRPr="005330BD" w:rsidRDefault="006833A7" w:rsidP="00633BFF">
            <w:pPr>
              <w:jc w:val="both"/>
              <w:rPr>
                <w:rFonts w:cstheme="minorHAnsi"/>
                <w:b/>
                <w:bCs/>
                <w:sz w:val="16"/>
                <w:szCs w:val="16"/>
                <w:lang w:val="en-GB" w:eastAsia="de-DE"/>
              </w:rPr>
            </w:pPr>
            <w:r w:rsidRPr="005330BD">
              <w:rPr>
                <w:rFonts w:cstheme="minorHAnsi"/>
                <w:b/>
                <w:bCs/>
                <w:sz w:val="16"/>
                <w:szCs w:val="16"/>
                <w:lang w:val="en-GB" w:eastAsia="de-DE"/>
              </w:rPr>
              <w:t>Risk of bias</w:t>
            </w:r>
          </w:p>
        </w:tc>
        <w:tc>
          <w:tcPr>
            <w:tcW w:w="399" w:type="pct"/>
            <w:shd w:val="clear" w:color="auto" w:fill="D9E2F3" w:themeFill="accent1" w:themeFillTint="33"/>
            <w:vAlign w:val="center"/>
            <w:hideMark/>
          </w:tcPr>
          <w:p w:rsidR="006833A7" w:rsidRPr="005330BD" w:rsidRDefault="006833A7" w:rsidP="00633BFF">
            <w:pPr>
              <w:jc w:val="both"/>
              <w:rPr>
                <w:rFonts w:cstheme="minorHAnsi"/>
                <w:b/>
                <w:bCs/>
                <w:sz w:val="16"/>
                <w:szCs w:val="16"/>
                <w:lang w:val="en-GB" w:eastAsia="de-DE"/>
              </w:rPr>
            </w:pPr>
            <w:r w:rsidRPr="005330BD">
              <w:rPr>
                <w:rFonts w:cstheme="minorHAnsi"/>
                <w:b/>
                <w:bCs/>
                <w:sz w:val="16"/>
                <w:szCs w:val="16"/>
                <w:lang w:val="en-GB" w:eastAsia="de-DE"/>
              </w:rPr>
              <w:t>Inconsistency</w:t>
            </w:r>
          </w:p>
        </w:tc>
        <w:tc>
          <w:tcPr>
            <w:tcW w:w="361" w:type="pct"/>
            <w:shd w:val="clear" w:color="auto" w:fill="D9E2F3" w:themeFill="accent1" w:themeFillTint="33"/>
            <w:vAlign w:val="center"/>
            <w:hideMark/>
          </w:tcPr>
          <w:p w:rsidR="006833A7" w:rsidRPr="005330BD" w:rsidRDefault="006833A7" w:rsidP="00633BFF">
            <w:pPr>
              <w:jc w:val="both"/>
              <w:rPr>
                <w:rFonts w:cstheme="minorHAnsi"/>
                <w:b/>
                <w:bCs/>
                <w:sz w:val="16"/>
                <w:szCs w:val="16"/>
                <w:lang w:val="en-GB" w:eastAsia="de-DE"/>
              </w:rPr>
            </w:pPr>
            <w:r w:rsidRPr="005330BD">
              <w:rPr>
                <w:rFonts w:cstheme="minorHAnsi"/>
                <w:b/>
                <w:bCs/>
                <w:sz w:val="16"/>
                <w:szCs w:val="16"/>
                <w:lang w:val="en-GB" w:eastAsia="de-DE"/>
              </w:rPr>
              <w:t>Indirectness</w:t>
            </w:r>
          </w:p>
        </w:tc>
        <w:tc>
          <w:tcPr>
            <w:tcW w:w="353" w:type="pct"/>
            <w:shd w:val="clear" w:color="auto" w:fill="D9E2F3" w:themeFill="accent1" w:themeFillTint="33"/>
            <w:vAlign w:val="center"/>
            <w:hideMark/>
          </w:tcPr>
          <w:p w:rsidR="006833A7" w:rsidRPr="005330BD" w:rsidRDefault="006833A7" w:rsidP="00633BFF">
            <w:pPr>
              <w:jc w:val="both"/>
              <w:rPr>
                <w:rFonts w:cstheme="minorHAnsi"/>
                <w:b/>
                <w:bCs/>
                <w:sz w:val="16"/>
                <w:szCs w:val="16"/>
                <w:lang w:val="en-GB" w:eastAsia="de-DE"/>
              </w:rPr>
            </w:pPr>
            <w:r w:rsidRPr="005330BD">
              <w:rPr>
                <w:rFonts w:cstheme="minorHAnsi"/>
                <w:b/>
                <w:bCs/>
                <w:sz w:val="16"/>
                <w:szCs w:val="16"/>
                <w:lang w:val="en-GB" w:eastAsia="de-DE"/>
              </w:rPr>
              <w:t>Imprecision</w:t>
            </w:r>
          </w:p>
        </w:tc>
        <w:tc>
          <w:tcPr>
            <w:tcW w:w="412" w:type="pct"/>
            <w:shd w:val="clear" w:color="auto" w:fill="D9E2F3" w:themeFill="accent1" w:themeFillTint="33"/>
            <w:vAlign w:val="center"/>
            <w:hideMark/>
          </w:tcPr>
          <w:p w:rsidR="006833A7" w:rsidRPr="005330BD" w:rsidRDefault="006833A7" w:rsidP="00633BFF">
            <w:pPr>
              <w:jc w:val="both"/>
              <w:rPr>
                <w:rFonts w:cstheme="minorHAnsi"/>
                <w:b/>
                <w:bCs/>
                <w:sz w:val="16"/>
                <w:szCs w:val="16"/>
                <w:lang w:val="en-GB" w:eastAsia="de-DE"/>
              </w:rPr>
            </w:pPr>
            <w:r w:rsidRPr="005330BD">
              <w:rPr>
                <w:rFonts w:cstheme="minorHAnsi"/>
                <w:b/>
                <w:bCs/>
                <w:sz w:val="16"/>
                <w:szCs w:val="16"/>
                <w:lang w:val="en-GB" w:eastAsia="de-DE"/>
              </w:rPr>
              <w:t>Other considerations</w:t>
            </w:r>
          </w:p>
        </w:tc>
        <w:tc>
          <w:tcPr>
            <w:tcW w:w="396" w:type="pct"/>
            <w:shd w:val="clear" w:color="auto" w:fill="D9E2F3" w:themeFill="accent1" w:themeFillTint="33"/>
            <w:vAlign w:val="center"/>
            <w:hideMark/>
          </w:tcPr>
          <w:p w:rsidR="006833A7" w:rsidRPr="005330BD" w:rsidRDefault="006833A7" w:rsidP="00633BFF">
            <w:pPr>
              <w:rPr>
                <w:rFonts w:cstheme="minorHAnsi"/>
                <w:b/>
                <w:bCs/>
                <w:sz w:val="16"/>
                <w:szCs w:val="16"/>
                <w:lang w:val="en-GB" w:eastAsia="de-DE"/>
              </w:rPr>
            </w:pPr>
            <w:r w:rsidRPr="005330BD">
              <w:rPr>
                <w:rFonts w:cstheme="minorHAnsi"/>
                <w:b/>
                <w:bCs/>
                <w:sz w:val="16"/>
                <w:szCs w:val="16"/>
                <w:lang w:val="en-GB" w:eastAsia="de-DE"/>
              </w:rPr>
              <w:t>Presence of Pseudomonas</w:t>
            </w:r>
          </w:p>
        </w:tc>
        <w:tc>
          <w:tcPr>
            <w:tcW w:w="415" w:type="pct"/>
            <w:shd w:val="clear" w:color="auto" w:fill="D9E2F3" w:themeFill="accent1" w:themeFillTint="33"/>
            <w:vAlign w:val="center"/>
            <w:hideMark/>
          </w:tcPr>
          <w:p w:rsidR="006833A7" w:rsidRPr="005330BD" w:rsidRDefault="006833A7" w:rsidP="00633BFF">
            <w:pPr>
              <w:rPr>
                <w:rFonts w:cstheme="minorHAnsi"/>
                <w:b/>
                <w:bCs/>
                <w:sz w:val="16"/>
                <w:szCs w:val="16"/>
                <w:lang w:val="en-GB" w:eastAsia="de-DE"/>
              </w:rPr>
            </w:pPr>
            <w:r w:rsidRPr="005330BD">
              <w:rPr>
                <w:rFonts w:cstheme="minorHAnsi"/>
                <w:b/>
                <w:bCs/>
                <w:sz w:val="16"/>
                <w:szCs w:val="16"/>
                <w:lang w:val="en-GB" w:eastAsia="de-DE"/>
              </w:rPr>
              <w:t>Control group (no pseudomonas)</w:t>
            </w:r>
          </w:p>
        </w:tc>
        <w:tc>
          <w:tcPr>
            <w:tcW w:w="382" w:type="pct"/>
            <w:shd w:val="clear" w:color="auto" w:fill="D9E2F3" w:themeFill="accent1" w:themeFillTint="33"/>
            <w:vAlign w:val="center"/>
            <w:hideMark/>
          </w:tcPr>
          <w:p w:rsidR="006833A7" w:rsidRPr="005330BD" w:rsidRDefault="006833A7" w:rsidP="00633BFF">
            <w:pPr>
              <w:jc w:val="both"/>
              <w:rPr>
                <w:rFonts w:cstheme="minorHAnsi"/>
                <w:b/>
                <w:bCs/>
                <w:sz w:val="16"/>
                <w:szCs w:val="16"/>
                <w:lang w:val="en-GB" w:eastAsia="de-DE"/>
              </w:rPr>
            </w:pPr>
            <w:r w:rsidRPr="005330BD">
              <w:rPr>
                <w:rFonts w:cstheme="minorHAnsi"/>
                <w:b/>
                <w:bCs/>
                <w:sz w:val="16"/>
                <w:szCs w:val="16"/>
                <w:lang w:val="en-GB" w:eastAsia="de-DE"/>
              </w:rPr>
              <w:t>Relative</w:t>
            </w:r>
            <w:r w:rsidRPr="005330BD">
              <w:rPr>
                <w:rFonts w:cstheme="minorHAnsi"/>
                <w:b/>
                <w:bCs/>
                <w:sz w:val="16"/>
                <w:szCs w:val="16"/>
                <w:lang w:val="en-GB" w:eastAsia="de-DE"/>
              </w:rPr>
              <w:br/>
              <w:t>(95% CI)</w:t>
            </w:r>
          </w:p>
        </w:tc>
        <w:tc>
          <w:tcPr>
            <w:tcW w:w="925" w:type="pct"/>
            <w:shd w:val="clear" w:color="auto" w:fill="D9E2F3" w:themeFill="accent1" w:themeFillTint="33"/>
            <w:vAlign w:val="center"/>
            <w:hideMark/>
          </w:tcPr>
          <w:p w:rsidR="006833A7" w:rsidRPr="005330BD" w:rsidRDefault="006833A7" w:rsidP="00633BFF">
            <w:pPr>
              <w:jc w:val="both"/>
              <w:rPr>
                <w:rFonts w:cstheme="minorHAnsi"/>
                <w:b/>
                <w:bCs/>
                <w:sz w:val="16"/>
                <w:szCs w:val="16"/>
                <w:lang w:val="en-GB" w:eastAsia="de-DE"/>
              </w:rPr>
            </w:pPr>
            <w:r w:rsidRPr="005330BD">
              <w:rPr>
                <w:rFonts w:cstheme="minorHAnsi"/>
                <w:b/>
                <w:bCs/>
                <w:sz w:val="16"/>
                <w:szCs w:val="16"/>
                <w:lang w:val="en-GB" w:eastAsia="de-DE"/>
              </w:rPr>
              <w:t>Absolute</w:t>
            </w:r>
            <w:r w:rsidRPr="005330BD">
              <w:rPr>
                <w:rFonts w:cstheme="minorHAnsi"/>
                <w:b/>
                <w:bCs/>
                <w:sz w:val="16"/>
                <w:szCs w:val="16"/>
                <w:lang w:val="en-GB" w:eastAsia="de-DE"/>
              </w:rPr>
              <w:br/>
              <w:t>(95% CI)</w:t>
            </w:r>
            <w:r w:rsidRPr="005330BD">
              <w:rPr>
                <w:rFonts w:cstheme="minorHAnsi"/>
                <w:b/>
                <w:bCs/>
                <w:sz w:val="16"/>
                <w:szCs w:val="16"/>
                <w:vertAlign w:val="superscript"/>
                <w:lang w:val="en-GB" w:eastAsia="de-DE"/>
              </w:rPr>
              <w:t>1</w:t>
            </w:r>
          </w:p>
        </w:tc>
        <w:tc>
          <w:tcPr>
            <w:tcW w:w="359" w:type="pct"/>
            <w:vMerge/>
            <w:vAlign w:val="center"/>
            <w:hideMark/>
          </w:tcPr>
          <w:p w:rsidR="006833A7" w:rsidRPr="005330BD" w:rsidRDefault="006833A7" w:rsidP="00633BFF">
            <w:pPr>
              <w:jc w:val="both"/>
              <w:rPr>
                <w:rFonts w:cstheme="minorHAnsi"/>
                <w:b/>
                <w:bCs/>
                <w:sz w:val="16"/>
                <w:szCs w:val="16"/>
                <w:lang w:val="en-GB" w:eastAsia="de-DE"/>
              </w:rPr>
            </w:pPr>
          </w:p>
        </w:tc>
      </w:tr>
      <w:tr w:rsidR="006833A7" w:rsidRPr="007D4A32" w:rsidTr="00633BFF">
        <w:trPr>
          <w:cantSplit/>
          <w:trHeight w:val="181"/>
        </w:trPr>
        <w:tc>
          <w:tcPr>
            <w:tcW w:w="5000" w:type="pct"/>
            <w:gridSpan w:val="11"/>
            <w:shd w:val="clear" w:color="auto" w:fill="FFFFFF"/>
            <w:vAlign w:val="center"/>
            <w:hideMark/>
          </w:tcPr>
          <w:p w:rsidR="006833A7" w:rsidRPr="005330BD" w:rsidRDefault="006833A7" w:rsidP="00633BFF">
            <w:pPr>
              <w:jc w:val="both"/>
              <w:rPr>
                <w:rFonts w:cstheme="minorHAnsi"/>
                <w:b/>
                <w:bCs/>
                <w:sz w:val="16"/>
                <w:szCs w:val="16"/>
                <w:lang w:val="en-GB" w:eastAsia="de-DE"/>
              </w:rPr>
            </w:pPr>
            <w:r w:rsidRPr="005330BD">
              <w:rPr>
                <w:rFonts w:cstheme="minorHAnsi"/>
                <w:b/>
                <w:bCs/>
                <w:sz w:val="16"/>
                <w:szCs w:val="16"/>
                <w:lang w:val="en-GB" w:eastAsia="de-DE"/>
              </w:rPr>
              <w:t>Mortality – (follow up 24 to 56 months)</w:t>
            </w:r>
          </w:p>
        </w:tc>
      </w:tr>
      <w:tr w:rsidR="006833A7" w:rsidRPr="005330BD" w:rsidTr="00633BFF">
        <w:trPr>
          <w:cantSplit/>
          <w:trHeight w:val="728"/>
        </w:trPr>
        <w:tc>
          <w:tcPr>
            <w:tcW w:w="641" w:type="pct"/>
            <w:hideMark/>
          </w:tcPr>
          <w:p w:rsidR="006833A7" w:rsidRPr="005330BD" w:rsidRDefault="006833A7" w:rsidP="00633BFF">
            <w:pPr>
              <w:jc w:val="both"/>
              <w:rPr>
                <w:rFonts w:cstheme="minorHAnsi"/>
                <w:sz w:val="16"/>
                <w:szCs w:val="16"/>
                <w:lang w:val="en-GB" w:eastAsia="de-DE"/>
              </w:rPr>
            </w:pPr>
            <w:r w:rsidRPr="005330BD">
              <w:rPr>
                <w:rFonts w:cstheme="minorHAnsi"/>
                <w:sz w:val="16"/>
                <w:szCs w:val="16"/>
                <w:lang w:val="en-GB" w:eastAsia="de-DE"/>
              </w:rPr>
              <w:t xml:space="preserve">22.823 (6 observational) </w:t>
            </w:r>
          </w:p>
        </w:tc>
        <w:tc>
          <w:tcPr>
            <w:tcW w:w="357" w:type="pct"/>
            <w:hideMark/>
          </w:tcPr>
          <w:p w:rsidR="006833A7" w:rsidRPr="005330BD" w:rsidRDefault="006833A7" w:rsidP="00633BFF">
            <w:pPr>
              <w:jc w:val="both"/>
              <w:rPr>
                <w:rFonts w:cstheme="minorHAnsi"/>
                <w:sz w:val="16"/>
                <w:szCs w:val="16"/>
                <w:lang w:val="en-GB" w:eastAsia="de-DE"/>
              </w:rPr>
            </w:pPr>
            <w:r w:rsidRPr="005330BD">
              <w:rPr>
                <w:rFonts w:cstheme="minorHAnsi"/>
                <w:sz w:val="16"/>
                <w:szCs w:val="16"/>
                <w:lang w:val="en-GB" w:eastAsia="de-DE"/>
              </w:rPr>
              <w:t>not serious</w:t>
            </w:r>
            <w:r w:rsidRPr="005330BD">
              <w:rPr>
                <w:rFonts w:cstheme="minorHAnsi"/>
                <w:sz w:val="16"/>
                <w:szCs w:val="16"/>
                <w:vertAlign w:val="superscript"/>
                <w:lang w:val="en-GB" w:eastAsia="de-DE"/>
              </w:rPr>
              <w:t>a</w:t>
            </w:r>
          </w:p>
        </w:tc>
        <w:tc>
          <w:tcPr>
            <w:tcW w:w="399" w:type="pct"/>
            <w:hideMark/>
          </w:tcPr>
          <w:p w:rsidR="006833A7" w:rsidRPr="005330BD" w:rsidRDefault="006833A7" w:rsidP="00633BFF">
            <w:pPr>
              <w:jc w:val="both"/>
              <w:rPr>
                <w:rFonts w:cstheme="minorHAnsi"/>
                <w:sz w:val="16"/>
                <w:szCs w:val="16"/>
                <w:lang w:val="en-GB" w:eastAsia="de-DE"/>
              </w:rPr>
            </w:pPr>
            <w:r w:rsidRPr="005330BD">
              <w:rPr>
                <w:rFonts w:cstheme="minorHAnsi"/>
                <w:sz w:val="16"/>
                <w:szCs w:val="16"/>
                <w:lang w:val="en-GB" w:eastAsia="de-DE"/>
              </w:rPr>
              <w:t>not serious</w:t>
            </w:r>
            <w:r w:rsidRPr="005330BD">
              <w:rPr>
                <w:rFonts w:cstheme="minorHAnsi"/>
                <w:sz w:val="16"/>
                <w:szCs w:val="16"/>
                <w:vertAlign w:val="superscript"/>
                <w:lang w:val="en-GB" w:eastAsia="de-DE"/>
              </w:rPr>
              <w:t>b</w:t>
            </w:r>
            <w:r w:rsidRPr="005330BD">
              <w:rPr>
                <w:rFonts w:cstheme="minorHAnsi"/>
                <w:sz w:val="16"/>
                <w:szCs w:val="16"/>
                <w:lang w:val="en-GB" w:eastAsia="de-DE"/>
              </w:rPr>
              <w:t xml:space="preserve"> </w:t>
            </w:r>
          </w:p>
        </w:tc>
        <w:tc>
          <w:tcPr>
            <w:tcW w:w="361" w:type="pct"/>
            <w:hideMark/>
          </w:tcPr>
          <w:p w:rsidR="006833A7" w:rsidRPr="005330BD" w:rsidRDefault="006833A7" w:rsidP="00633BFF">
            <w:pPr>
              <w:jc w:val="both"/>
              <w:rPr>
                <w:rFonts w:cstheme="minorHAnsi"/>
                <w:sz w:val="16"/>
                <w:szCs w:val="16"/>
                <w:lang w:val="en-GB" w:eastAsia="de-DE"/>
              </w:rPr>
            </w:pPr>
            <w:r w:rsidRPr="005330BD">
              <w:rPr>
                <w:rFonts w:cstheme="minorHAnsi"/>
                <w:sz w:val="16"/>
                <w:szCs w:val="16"/>
                <w:lang w:val="en-GB" w:eastAsia="de-DE"/>
              </w:rPr>
              <w:t xml:space="preserve">not serious </w:t>
            </w:r>
          </w:p>
        </w:tc>
        <w:tc>
          <w:tcPr>
            <w:tcW w:w="353" w:type="pct"/>
            <w:hideMark/>
          </w:tcPr>
          <w:p w:rsidR="006833A7" w:rsidRPr="005330BD" w:rsidRDefault="006833A7" w:rsidP="00633BFF">
            <w:pPr>
              <w:jc w:val="both"/>
              <w:rPr>
                <w:rFonts w:cstheme="minorHAnsi"/>
                <w:sz w:val="16"/>
                <w:szCs w:val="16"/>
                <w:lang w:val="en-GB" w:eastAsia="de-DE"/>
              </w:rPr>
            </w:pPr>
            <w:r w:rsidRPr="005330BD">
              <w:rPr>
                <w:rFonts w:cstheme="minorHAnsi"/>
                <w:sz w:val="16"/>
                <w:szCs w:val="16"/>
                <w:lang w:val="en-GB" w:eastAsia="de-DE"/>
              </w:rPr>
              <w:t xml:space="preserve">not serious </w:t>
            </w:r>
          </w:p>
        </w:tc>
        <w:tc>
          <w:tcPr>
            <w:tcW w:w="412" w:type="pct"/>
            <w:hideMark/>
          </w:tcPr>
          <w:p w:rsidR="006833A7" w:rsidRPr="005330BD" w:rsidRDefault="006833A7" w:rsidP="00633BFF">
            <w:pPr>
              <w:jc w:val="both"/>
              <w:rPr>
                <w:rFonts w:cstheme="minorHAnsi"/>
                <w:sz w:val="16"/>
                <w:szCs w:val="16"/>
                <w:lang w:val="en-GB" w:eastAsia="de-DE"/>
              </w:rPr>
            </w:pPr>
            <w:r w:rsidRPr="005330BD">
              <w:rPr>
                <w:rFonts w:cstheme="minorHAnsi"/>
                <w:sz w:val="16"/>
                <w:szCs w:val="16"/>
                <w:lang w:val="en-GB" w:eastAsia="de-DE"/>
              </w:rPr>
              <w:t>serious</w:t>
            </w:r>
            <w:r w:rsidRPr="005330BD">
              <w:rPr>
                <w:rFonts w:cstheme="minorHAnsi"/>
                <w:sz w:val="16"/>
                <w:szCs w:val="16"/>
                <w:vertAlign w:val="superscript"/>
                <w:lang w:val="en-GB" w:eastAsia="de-DE"/>
              </w:rPr>
              <w:t xml:space="preserve"> c</w:t>
            </w:r>
          </w:p>
        </w:tc>
        <w:tc>
          <w:tcPr>
            <w:tcW w:w="396" w:type="pct"/>
            <w:hideMark/>
          </w:tcPr>
          <w:p w:rsidR="006833A7" w:rsidRPr="005330BD" w:rsidRDefault="006833A7" w:rsidP="00633BFF">
            <w:pPr>
              <w:jc w:val="center"/>
              <w:rPr>
                <w:rFonts w:cstheme="minorHAnsi"/>
                <w:sz w:val="16"/>
                <w:szCs w:val="16"/>
                <w:lang w:val="en-GB" w:eastAsia="de-DE"/>
              </w:rPr>
            </w:pPr>
            <w:r w:rsidRPr="005330BD">
              <w:rPr>
                <w:rFonts w:cstheme="minorHAnsi"/>
                <w:sz w:val="16"/>
                <w:szCs w:val="16"/>
                <w:lang w:val="en-GB" w:eastAsia="de-DE"/>
              </w:rPr>
              <w:t>502/1135</w:t>
            </w:r>
          </w:p>
          <w:p w:rsidR="006833A7" w:rsidRPr="005330BD" w:rsidRDefault="006833A7" w:rsidP="00633BFF">
            <w:pPr>
              <w:jc w:val="center"/>
              <w:rPr>
                <w:rFonts w:cstheme="minorHAnsi"/>
                <w:sz w:val="16"/>
                <w:szCs w:val="16"/>
                <w:lang w:val="en-GB" w:eastAsia="de-DE"/>
              </w:rPr>
            </w:pPr>
            <w:r w:rsidRPr="005330BD">
              <w:rPr>
                <w:rFonts w:cstheme="minorHAnsi"/>
                <w:sz w:val="16"/>
                <w:szCs w:val="16"/>
                <w:lang w:val="en-GB" w:eastAsia="de-DE"/>
              </w:rPr>
              <w:t>(44.23%)</w:t>
            </w:r>
          </w:p>
        </w:tc>
        <w:tc>
          <w:tcPr>
            <w:tcW w:w="415" w:type="pct"/>
            <w:hideMark/>
          </w:tcPr>
          <w:p w:rsidR="006833A7" w:rsidRPr="005330BD" w:rsidRDefault="006833A7" w:rsidP="00633BFF">
            <w:pPr>
              <w:jc w:val="center"/>
              <w:rPr>
                <w:rFonts w:cstheme="minorHAnsi"/>
                <w:sz w:val="16"/>
                <w:szCs w:val="16"/>
                <w:lang w:val="en-GB" w:eastAsia="de-DE"/>
              </w:rPr>
            </w:pPr>
            <w:r w:rsidRPr="005330BD">
              <w:rPr>
                <w:rFonts w:cstheme="minorHAnsi"/>
                <w:sz w:val="16"/>
                <w:szCs w:val="16"/>
                <w:lang w:val="en-GB" w:eastAsia="de-DE"/>
              </w:rPr>
              <w:t>3817/21688</w:t>
            </w:r>
          </w:p>
          <w:p w:rsidR="006833A7" w:rsidRPr="005330BD" w:rsidRDefault="006833A7" w:rsidP="00633BFF">
            <w:pPr>
              <w:jc w:val="center"/>
              <w:rPr>
                <w:rFonts w:cstheme="minorHAnsi"/>
                <w:sz w:val="16"/>
                <w:szCs w:val="16"/>
                <w:lang w:val="en-GB" w:eastAsia="de-DE"/>
              </w:rPr>
            </w:pPr>
            <w:r w:rsidRPr="005330BD">
              <w:rPr>
                <w:rFonts w:cstheme="minorHAnsi"/>
                <w:sz w:val="16"/>
                <w:szCs w:val="16"/>
                <w:lang w:val="en-GB" w:eastAsia="de-DE"/>
              </w:rPr>
              <w:t>(17.6%)</w:t>
            </w:r>
          </w:p>
        </w:tc>
        <w:tc>
          <w:tcPr>
            <w:tcW w:w="382" w:type="pct"/>
            <w:hideMark/>
          </w:tcPr>
          <w:p w:rsidR="006833A7" w:rsidRPr="005330BD" w:rsidRDefault="006833A7" w:rsidP="00633BFF">
            <w:pPr>
              <w:jc w:val="center"/>
              <w:rPr>
                <w:rFonts w:cstheme="minorHAnsi"/>
                <w:sz w:val="16"/>
                <w:szCs w:val="16"/>
                <w:lang w:val="en-GB" w:eastAsia="de-DE"/>
              </w:rPr>
            </w:pPr>
            <w:r w:rsidRPr="005330BD">
              <w:rPr>
                <w:rFonts w:cstheme="minorHAnsi"/>
                <w:b/>
                <w:bCs/>
                <w:sz w:val="16"/>
                <w:szCs w:val="16"/>
                <w:lang w:val="en-GB" w:eastAsia="de-DE"/>
              </w:rPr>
              <w:t>HR 1.83</w:t>
            </w:r>
            <w:r w:rsidRPr="005330BD">
              <w:rPr>
                <w:rFonts w:cstheme="minorHAnsi"/>
                <w:sz w:val="16"/>
                <w:szCs w:val="16"/>
                <w:lang w:val="en-GB" w:eastAsia="de-DE"/>
              </w:rPr>
              <w:br/>
              <w:t>(1.30 to 2.57)</w:t>
            </w:r>
          </w:p>
        </w:tc>
        <w:tc>
          <w:tcPr>
            <w:tcW w:w="925" w:type="pct"/>
            <w:hideMark/>
          </w:tcPr>
          <w:p w:rsidR="006833A7" w:rsidRPr="005330BD" w:rsidRDefault="006833A7" w:rsidP="00633BFF">
            <w:pPr>
              <w:jc w:val="center"/>
              <w:rPr>
                <w:rFonts w:cstheme="minorHAnsi"/>
                <w:sz w:val="16"/>
                <w:szCs w:val="16"/>
                <w:lang w:val="en-GB" w:eastAsia="de-DE"/>
              </w:rPr>
            </w:pPr>
            <w:r w:rsidRPr="005330BD">
              <w:rPr>
                <w:rFonts w:cstheme="minorHAnsi"/>
                <w:b/>
                <w:bCs/>
                <w:sz w:val="16"/>
                <w:szCs w:val="16"/>
                <w:lang w:val="en-GB" w:eastAsia="de-DE"/>
              </w:rPr>
              <w:t>146 more deaths per 1.000</w:t>
            </w:r>
            <w:r w:rsidRPr="005330BD">
              <w:rPr>
                <w:rFonts w:cstheme="minorHAnsi"/>
                <w:sz w:val="16"/>
                <w:szCs w:val="16"/>
                <w:lang w:val="en-GB" w:eastAsia="de-DE"/>
              </w:rPr>
              <w:br/>
              <w:t>(from 53 more to 276 more)</w:t>
            </w:r>
          </w:p>
        </w:tc>
        <w:tc>
          <w:tcPr>
            <w:tcW w:w="359" w:type="pct"/>
            <w:hideMark/>
          </w:tcPr>
          <w:p w:rsidR="006833A7" w:rsidRPr="005330BD" w:rsidRDefault="006833A7" w:rsidP="00633BFF">
            <w:pPr>
              <w:jc w:val="both"/>
              <w:rPr>
                <w:rFonts w:cstheme="minorHAnsi"/>
                <w:sz w:val="16"/>
                <w:szCs w:val="16"/>
                <w:lang w:val="en-GB" w:eastAsia="de-DE"/>
              </w:rPr>
            </w:pPr>
            <w:r w:rsidRPr="005330BD">
              <w:rPr>
                <w:rFonts w:ascii="Cambria Math" w:hAnsi="Cambria Math" w:cs="Cambria Math"/>
                <w:sz w:val="16"/>
                <w:szCs w:val="16"/>
                <w:lang w:val="en-GB" w:eastAsia="de-DE"/>
              </w:rPr>
              <w:t>⨁</w:t>
            </w:r>
            <w:r w:rsidR="00287BE8" w:rsidRPr="005330BD">
              <w:rPr>
                <w:rFonts w:ascii="Cambria Math" w:hAnsi="Cambria Math" w:cs="Cambria Math"/>
                <w:sz w:val="16"/>
                <w:szCs w:val="16"/>
                <w:lang w:val="en-GB" w:eastAsia="de-DE"/>
              </w:rPr>
              <w:t>⨁⨁</w:t>
            </w:r>
            <w:r w:rsidRPr="005330BD">
              <w:rPr>
                <w:rFonts w:ascii="MS Gothic" w:eastAsia="MS Gothic" w:hAnsi="MS Gothic" w:cs="MS Gothic"/>
                <w:sz w:val="16"/>
                <w:szCs w:val="16"/>
                <w:lang w:val="en-GB" w:eastAsia="de-DE"/>
              </w:rPr>
              <w:t>◯</w:t>
            </w:r>
            <w:r w:rsidRPr="005330BD">
              <w:rPr>
                <w:rFonts w:cstheme="minorHAnsi"/>
                <w:sz w:val="16"/>
                <w:szCs w:val="16"/>
                <w:lang w:val="en-GB" w:eastAsia="de-DE"/>
              </w:rPr>
              <w:br/>
              <w:t>MODERATE</w:t>
            </w:r>
          </w:p>
        </w:tc>
      </w:tr>
      <w:tr w:rsidR="006833A7" w:rsidRPr="007D4A32" w:rsidTr="00633BFF">
        <w:trPr>
          <w:cantSplit/>
          <w:trHeight w:val="23"/>
        </w:trPr>
        <w:tc>
          <w:tcPr>
            <w:tcW w:w="5000" w:type="pct"/>
            <w:gridSpan w:val="11"/>
            <w:shd w:val="clear" w:color="auto" w:fill="FFFFFF"/>
            <w:vAlign w:val="center"/>
            <w:hideMark/>
          </w:tcPr>
          <w:p w:rsidR="006833A7" w:rsidRPr="005330BD" w:rsidRDefault="006833A7" w:rsidP="00633BFF">
            <w:pPr>
              <w:jc w:val="both"/>
              <w:rPr>
                <w:rFonts w:cstheme="minorHAnsi"/>
                <w:b/>
                <w:bCs/>
                <w:sz w:val="16"/>
                <w:szCs w:val="16"/>
                <w:lang w:val="en-GB" w:eastAsia="de-DE"/>
              </w:rPr>
            </w:pPr>
            <w:r w:rsidRPr="005330BD">
              <w:rPr>
                <w:rFonts w:cstheme="minorHAnsi"/>
                <w:b/>
                <w:bCs/>
                <w:sz w:val="16"/>
                <w:szCs w:val="16"/>
                <w:lang w:val="en-GB" w:eastAsia="de-DE"/>
              </w:rPr>
              <w:t>Time to hospitalization – (follow up 24 to 56 months)</w:t>
            </w:r>
          </w:p>
        </w:tc>
      </w:tr>
      <w:tr w:rsidR="006833A7" w:rsidRPr="005330BD" w:rsidTr="00633BFF">
        <w:trPr>
          <w:cantSplit/>
          <w:trHeight w:val="134"/>
        </w:trPr>
        <w:tc>
          <w:tcPr>
            <w:tcW w:w="641" w:type="pct"/>
            <w:hideMark/>
          </w:tcPr>
          <w:p w:rsidR="006833A7" w:rsidRPr="005330BD" w:rsidRDefault="006833A7" w:rsidP="00633BFF">
            <w:pPr>
              <w:jc w:val="both"/>
              <w:rPr>
                <w:rFonts w:cstheme="minorHAnsi"/>
                <w:sz w:val="16"/>
                <w:szCs w:val="16"/>
                <w:lang w:val="en-GB" w:eastAsia="de-DE"/>
              </w:rPr>
            </w:pPr>
            <w:r w:rsidRPr="005330BD">
              <w:rPr>
                <w:rFonts w:cstheme="minorHAnsi"/>
                <w:sz w:val="16"/>
                <w:szCs w:val="16"/>
                <w:lang w:val="en-GB" w:eastAsia="de-DE"/>
              </w:rPr>
              <w:t xml:space="preserve">22.260 (2 observational) </w:t>
            </w:r>
          </w:p>
        </w:tc>
        <w:tc>
          <w:tcPr>
            <w:tcW w:w="357" w:type="pct"/>
            <w:hideMark/>
          </w:tcPr>
          <w:p w:rsidR="006833A7" w:rsidRPr="005330BD" w:rsidRDefault="006833A7" w:rsidP="00633BFF">
            <w:pPr>
              <w:jc w:val="both"/>
              <w:rPr>
                <w:rFonts w:cstheme="minorHAnsi"/>
                <w:sz w:val="16"/>
                <w:szCs w:val="16"/>
                <w:lang w:val="en-GB" w:eastAsia="de-DE"/>
              </w:rPr>
            </w:pPr>
            <w:r w:rsidRPr="005330BD">
              <w:rPr>
                <w:rFonts w:cstheme="minorHAnsi"/>
                <w:sz w:val="16"/>
                <w:szCs w:val="16"/>
                <w:lang w:val="en-GB" w:eastAsia="de-DE"/>
              </w:rPr>
              <w:t>serious</w:t>
            </w:r>
            <w:r w:rsidRPr="005330BD">
              <w:rPr>
                <w:rFonts w:cstheme="minorHAnsi"/>
                <w:sz w:val="16"/>
                <w:szCs w:val="16"/>
                <w:vertAlign w:val="superscript"/>
                <w:lang w:val="en-GB" w:eastAsia="de-DE"/>
              </w:rPr>
              <w:t>d</w:t>
            </w:r>
          </w:p>
        </w:tc>
        <w:tc>
          <w:tcPr>
            <w:tcW w:w="399" w:type="pct"/>
            <w:hideMark/>
          </w:tcPr>
          <w:p w:rsidR="006833A7" w:rsidRPr="005330BD" w:rsidRDefault="006833A7" w:rsidP="00633BFF">
            <w:pPr>
              <w:jc w:val="both"/>
              <w:rPr>
                <w:rFonts w:cstheme="minorHAnsi"/>
                <w:sz w:val="16"/>
                <w:szCs w:val="16"/>
                <w:lang w:val="en-GB" w:eastAsia="de-DE"/>
              </w:rPr>
            </w:pPr>
            <w:r w:rsidRPr="005330BD">
              <w:rPr>
                <w:rFonts w:cstheme="minorHAnsi"/>
                <w:sz w:val="16"/>
                <w:szCs w:val="16"/>
                <w:lang w:val="en-GB" w:eastAsia="de-DE"/>
              </w:rPr>
              <w:t>not serious</w:t>
            </w:r>
            <w:r w:rsidRPr="005330BD">
              <w:rPr>
                <w:rFonts w:cstheme="minorHAnsi"/>
                <w:sz w:val="16"/>
                <w:szCs w:val="16"/>
                <w:vertAlign w:val="superscript"/>
                <w:lang w:val="en-GB" w:eastAsia="de-DE"/>
              </w:rPr>
              <w:t>e</w:t>
            </w:r>
            <w:r w:rsidRPr="005330BD">
              <w:rPr>
                <w:rFonts w:cstheme="minorHAnsi"/>
                <w:sz w:val="16"/>
                <w:szCs w:val="16"/>
                <w:lang w:val="en-GB" w:eastAsia="de-DE"/>
              </w:rPr>
              <w:t xml:space="preserve"> </w:t>
            </w:r>
          </w:p>
        </w:tc>
        <w:tc>
          <w:tcPr>
            <w:tcW w:w="361" w:type="pct"/>
            <w:hideMark/>
          </w:tcPr>
          <w:p w:rsidR="006833A7" w:rsidRPr="005330BD" w:rsidRDefault="006833A7" w:rsidP="00633BFF">
            <w:pPr>
              <w:jc w:val="both"/>
              <w:rPr>
                <w:rFonts w:cstheme="minorHAnsi"/>
                <w:sz w:val="16"/>
                <w:szCs w:val="16"/>
                <w:lang w:val="en-GB" w:eastAsia="de-DE"/>
              </w:rPr>
            </w:pPr>
            <w:r w:rsidRPr="005330BD">
              <w:rPr>
                <w:rFonts w:cstheme="minorHAnsi"/>
                <w:sz w:val="16"/>
                <w:szCs w:val="16"/>
                <w:lang w:val="en-GB" w:eastAsia="de-DE"/>
              </w:rPr>
              <w:t xml:space="preserve">not serious </w:t>
            </w:r>
          </w:p>
        </w:tc>
        <w:tc>
          <w:tcPr>
            <w:tcW w:w="353" w:type="pct"/>
            <w:hideMark/>
          </w:tcPr>
          <w:p w:rsidR="006833A7" w:rsidRPr="005330BD" w:rsidRDefault="006833A7" w:rsidP="00633BFF">
            <w:pPr>
              <w:jc w:val="both"/>
              <w:rPr>
                <w:rFonts w:cstheme="minorHAnsi"/>
                <w:sz w:val="16"/>
                <w:szCs w:val="16"/>
                <w:lang w:val="en-GB" w:eastAsia="de-DE"/>
              </w:rPr>
            </w:pPr>
            <w:r w:rsidRPr="005330BD">
              <w:rPr>
                <w:rFonts w:cstheme="minorHAnsi"/>
                <w:sz w:val="16"/>
                <w:szCs w:val="16"/>
                <w:lang w:val="en-GB" w:eastAsia="de-DE"/>
              </w:rPr>
              <w:t>serious</w:t>
            </w:r>
            <w:r w:rsidRPr="005330BD">
              <w:rPr>
                <w:rFonts w:cstheme="minorHAnsi"/>
                <w:sz w:val="16"/>
                <w:szCs w:val="16"/>
                <w:vertAlign w:val="superscript"/>
                <w:lang w:val="en-GB" w:eastAsia="de-DE"/>
              </w:rPr>
              <w:t>f</w:t>
            </w:r>
            <w:r w:rsidRPr="005330BD">
              <w:rPr>
                <w:rFonts w:cstheme="minorHAnsi"/>
                <w:sz w:val="16"/>
                <w:szCs w:val="16"/>
                <w:lang w:val="en-GB" w:eastAsia="de-DE"/>
              </w:rPr>
              <w:t xml:space="preserve">  </w:t>
            </w:r>
          </w:p>
        </w:tc>
        <w:tc>
          <w:tcPr>
            <w:tcW w:w="412" w:type="pct"/>
            <w:hideMark/>
          </w:tcPr>
          <w:p w:rsidR="006833A7" w:rsidRPr="005330BD" w:rsidRDefault="006833A7" w:rsidP="00633BFF">
            <w:pPr>
              <w:jc w:val="both"/>
              <w:rPr>
                <w:rFonts w:cstheme="minorHAnsi"/>
                <w:sz w:val="16"/>
                <w:szCs w:val="16"/>
                <w:lang w:val="en-GB" w:eastAsia="de-DE"/>
              </w:rPr>
            </w:pPr>
            <w:r w:rsidRPr="005330BD">
              <w:rPr>
                <w:rFonts w:cstheme="minorHAnsi"/>
                <w:sz w:val="16"/>
                <w:szCs w:val="16"/>
                <w:lang w:val="en-GB" w:eastAsia="de-DE"/>
              </w:rPr>
              <w:t xml:space="preserve">serious </w:t>
            </w:r>
            <w:r w:rsidRPr="005330BD">
              <w:rPr>
                <w:rFonts w:cstheme="minorHAnsi"/>
                <w:sz w:val="16"/>
                <w:szCs w:val="16"/>
                <w:vertAlign w:val="superscript"/>
                <w:lang w:val="en-GB" w:eastAsia="de-DE"/>
              </w:rPr>
              <w:t>c</w:t>
            </w:r>
          </w:p>
        </w:tc>
        <w:tc>
          <w:tcPr>
            <w:tcW w:w="2118" w:type="pct"/>
            <w:gridSpan w:val="4"/>
            <w:hideMark/>
          </w:tcPr>
          <w:p w:rsidR="006833A7" w:rsidRPr="005330BD" w:rsidRDefault="006833A7" w:rsidP="00633BFF">
            <w:pPr>
              <w:jc w:val="both"/>
              <w:rPr>
                <w:rFonts w:cstheme="minorHAnsi"/>
                <w:sz w:val="16"/>
                <w:szCs w:val="16"/>
                <w:lang w:val="en-GB" w:eastAsia="de-DE"/>
              </w:rPr>
            </w:pPr>
            <w:r w:rsidRPr="005330BD">
              <w:rPr>
                <w:rFonts w:cstheme="minorHAnsi"/>
                <w:b/>
                <w:bCs/>
                <w:sz w:val="16"/>
                <w:szCs w:val="16"/>
                <w:lang w:val="en-GB" w:eastAsia="de-DE"/>
              </w:rPr>
              <w:t>Eklöf 2020:</w:t>
            </w:r>
            <w:r w:rsidRPr="005330BD">
              <w:rPr>
                <w:rFonts w:cstheme="minorHAnsi"/>
                <w:sz w:val="16"/>
                <w:szCs w:val="16"/>
                <w:lang w:val="en-GB" w:eastAsia="de-DE"/>
              </w:rPr>
              <w:t xml:space="preserve"> Adjusted risk of the composite outcome of time to hospitalization for COPD or all-cause death (HR 2.8, 95%CI 2.2-3.6)</w:t>
            </w:r>
          </w:p>
          <w:p w:rsidR="006833A7" w:rsidRPr="005330BD" w:rsidRDefault="006833A7" w:rsidP="00633BFF">
            <w:pPr>
              <w:jc w:val="both"/>
              <w:rPr>
                <w:rFonts w:cstheme="minorHAnsi"/>
                <w:sz w:val="16"/>
                <w:szCs w:val="16"/>
                <w:lang w:val="en-GB" w:eastAsia="de-DE"/>
              </w:rPr>
            </w:pPr>
            <w:r w:rsidRPr="005330BD">
              <w:rPr>
                <w:rFonts w:cstheme="minorHAnsi"/>
                <w:b/>
                <w:bCs/>
                <w:sz w:val="16"/>
                <w:szCs w:val="16"/>
                <w:lang w:val="en-GB" w:eastAsia="de-DE"/>
              </w:rPr>
              <w:t xml:space="preserve">Rodrigo-Troyano 2018: </w:t>
            </w:r>
            <w:r w:rsidRPr="005330BD">
              <w:rPr>
                <w:rFonts w:cstheme="minorHAnsi"/>
                <w:sz w:val="16"/>
                <w:szCs w:val="16"/>
                <w:lang w:val="en-GB" w:eastAsia="de-DE"/>
              </w:rPr>
              <w:t>Unadjusted risk of time to first readmission (HR 0.95, 95%CI 0.53-1.68)</w:t>
            </w:r>
          </w:p>
        </w:tc>
        <w:tc>
          <w:tcPr>
            <w:tcW w:w="359" w:type="pct"/>
            <w:hideMark/>
          </w:tcPr>
          <w:p w:rsidR="006833A7" w:rsidRPr="005330BD" w:rsidRDefault="006833A7" w:rsidP="00633BFF">
            <w:pPr>
              <w:jc w:val="both"/>
              <w:rPr>
                <w:rFonts w:cstheme="minorHAnsi"/>
                <w:sz w:val="16"/>
                <w:szCs w:val="16"/>
                <w:lang w:val="en-GB" w:eastAsia="de-DE"/>
              </w:rPr>
            </w:pPr>
            <w:r w:rsidRPr="005330BD">
              <w:rPr>
                <w:rFonts w:ascii="Cambria Math" w:hAnsi="Cambria Math" w:cs="Cambria Math"/>
                <w:sz w:val="16"/>
                <w:szCs w:val="16"/>
                <w:lang w:val="en-GB" w:eastAsia="de-DE"/>
              </w:rPr>
              <w:t>⨁</w:t>
            </w:r>
            <w:r w:rsidRPr="005330BD">
              <w:rPr>
                <w:rFonts w:ascii="MS Gothic" w:eastAsia="MS Gothic" w:hAnsi="MS Gothic" w:cs="MS Gothic"/>
                <w:sz w:val="16"/>
                <w:szCs w:val="16"/>
                <w:lang w:val="en-GB" w:eastAsia="de-DE"/>
              </w:rPr>
              <w:t>◯◯◯</w:t>
            </w:r>
            <w:r w:rsidRPr="005330BD">
              <w:rPr>
                <w:rFonts w:cstheme="minorHAnsi"/>
                <w:sz w:val="16"/>
                <w:szCs w:val="16"/>
                <w:lang w:val="en-GB" w:eastAsia="de-DE"/>
              </w:rPr>
              <w:br/>
              <w:t>VERY LOW</w:t>
            </w:r>
          </w:p>
        </w:tc>
      </w:tr>
      <w:tr w:rsidR="006833A7" w:rsidRPr="007D4A32" w:rsidTr="00633BFF">
        <w:trPr>
          <w:cantSplit/>
          <w:trHeight w:val="23"/>
        </w:trPr>
        <w:tc>
          <w:tcPr>
            <w:tcW w:w="5000" w:type="pct"/>
            <w:gridSpan w:val="11"/>
            <w:shd w:val="clear" w:color="auto" w:fill="FFFFFF"/>
            <w:vAlign w:val="center"/>
            <w:hideMark/>
          </w:tcPr>
          <w:p w:rsidR="006833A7" w:rsidRPr="005330BD" w:rsidRDefault="006833A7" w:rsidP="00633BFF">
            <w:pPr>
              <w:jc w:val="both"/>
              <w:rPr>
                <w:rFonts w:cstheme="minorHAnsi"/>
                <w:b/>
                <w:bCs/>
                <w:sz w:val="16"/>
                <w:szCs w:val="16"/>
                <w:lang w:val="en-GB" w:eastAsia="de-DE"/>
              </w:rPr>
            </w:pPr>
            <w:r w:rsidRPr="005330BD">
              <w:rPr>
                <w:rFonts w:cstheme="minorHAnsi"/>
                <w:b/>
                <w:bCs/>
                <w:sz w:val="16"/>
                <w:szCs w:val="16"/>
                <w:lang w:val="en-GB" w:eastAsia="de-DE"/>
              </w:rPr>
              <w:t>Risk of readmission – (follow up 30 days to 24 months)</w:t>
            </w:r>
          </w:p>
        </w:tc>
      </w:tr>
      <w:tr w:rsidR="006833A7" w:rsidRPr="005330BD" w:rsidTr="00633BFF">
        <w:trPr>
          <w:cantSplit/>
          <w:trHeight w:val="134"/>
        </w:trPr>
        <w:tc>
          <w:tcPr>
            <w:tcW w:w="641" w:type="pct"/>
            <w:hideMark/>
          </w:tcPr>
          <w:p w:rsidR="006833A7" w:rsidRPr="005330BD" w:rsidRDefault="006833A7" w:rsidP="00633BFF">
            <w:pPr>
              <w:jc w:val="both"/>
              <w:rPr>
                <w:rFonts w:cstheme="minorHAnsi"/>
                <w:sz w:val="16"/>
                <w:szCs w:val="16"/>
                <w:lang w:val="en-GB" w:eastAsia="de-DE"/>
              </w:rPr>
            </w:pPr>
            <w:r w:rsidRPr="005330BD">
              <w:rPr>
                <w:rFonts w:cstheme="minorHAnsi"/>
                <w:sz w:val="16"/>
                <w:szCs w:val="16"/>
                <w:lang w:val="en-GB" w:eastAsia="de-DE"/>
              </w:rPr>
              <w:t xml:space="preserve">311 (2 observational) </w:t>
            </w:r>
          </w:p>
        </w:tc>
        <w:tc>
          <w:tcPr>
            <w:tcW w:w="357" w:type="pct"/>
            <w:hideMark/>
          </w:tcPr>
          <w:p w:rsidR="006833A7" w:rsidRPr="005330BD" w:rsidRDefault="006833A7" w:rsidP="00633BFF">
            <w:pPr>
              <w:jc w:val="both"/>
              <w:rPr>
                <w:rFonts w:cstheme="minorHAnsi"/>
                <w:sz w:val="16"/>
                <w:szCs w:val="16"/>
                <w:lang w:val="en-GB" w:eastAsia="de-DE"/>
              </w:rPr>
            </w:pPr>
            <w:r w:rsidRPr="005330BD">
              <w:rPr>
                <w:rFonts w:cstheme="minorHAnsi"/>
                <w:sz w:val="16"/>
                <w:szCs w:val="16"/>
                <w:lang w:val="en-GB" w:eastAsia="de-DE"/>
              </w:rPr>
              <w:t>serious</w:t>
            </w:r>
            <w:r w:rsidRPr="005330BD">
              <w:rPr>
                <w:rFonts w:cstheme="minorHAnsi"/>
                <w:sz w:val="16"/>
                <w:szCs w:val="16"/>
                <w:vertAlign w:val="superscript"/>
                <w:lang w:val="en-GB" w:eastAsia="de-DE"/>
              </w:rPr>
              <w:t>g</w:t>
            </w:r>
          </w:p>
        </w:tc>
        <w:tc>
          <w:tcPr>
            <w:tcW w:w="399" w:type="pct"/>
            <w:hideMark/>
          </w:tcPr>
          <w:p w:rsidR="006833A7" w:rsidRPr="005330BD" w:rsidRDefault="006833A7" w:rsidP="00633BFF">
            <w:pPr>
              <w:jc w:val="both"/>
              <w:rPr>
                <w:rFonts w:cstheme="minorHAnsi"/>
                <w:sz w:val="16"/>
                <w:szCs w:val="16"/>
                <w:lang w:val="en-GB" w:eastAsia="de-DE"/>
              </w:rPr>
            </w:pPr>
            <w:r w:rsidRPr="005330BD">
              <w:rPr>
                <w:rFonts w:cstheme="minorHAnsi"/>
                <w:sz w:val="16"/>
                <w:szCs w:val="16"/>
                <w:lang w:val="en-GB" w:eastAsia="de-DE"/>
              </w:rPr>
              <w:t xml:space="preserve">not serious </w:t>
            </w:r>
          </w:p>
        </w:tc>
        <w:tc>
          <w:tcPr>
            <w:tcW w:w="361" w:type="pct"/>
            <w:hideMark/>
          </w:tcPr>
          <w:p w:rsidR="006833A7" w:rsidRPr="005330BD" w:rsidRDefault="006833A7" w:rsidP="00633BFF">
            <w:pPr>
              <w:jc w:val="both"/>
              <w:rPr>
                <w:rFonts w:cstheme="minorHAnsi"/>
                <w:sz w:val="16"/>
                <w:szCs w:val="16"/>
                <w:lang w:val="en-GB" w:eastAsia="de-DE"/>
              </w:rPr>
            </w:pPr>
            <w:r w:rsidRPr="005330BD">
              <w:rPr>
                <w:rFonts w:cstheme="minorHAnsi"/>
                <w:sz w:val="16"/>
                <w:szCs w:val="16"/>
                <w:lang w:val="en-GB" w:eastAsia="de-DE"/>
              </w:rPr>
              <w:t xml:space="preserve">not serious </w:t>
            </w:r>
          </w:p>
        </w:tc>
        <w:tc>
          <w:tcPr>
            <w:tcW w:w="353" w:type="pct"/>
            <w:hideMark/>
          </w:tcPr>
          <w:p w:rsidR="006833A7" w:rsidRPr="005330BD" w:rsidRDefault="006833A7" w:rsidP="00633BFF">
            <w:pPr>
              <w:jc w:val="both"/>
              <w:rPr>
                <w:rFonts w:cstheme="minorHAnsi"/>
                <w:sz w:val="16"/>
                <w:szCs w:val="16"/>
                <w:lang w:val="en-GB" w:eastAsia="de-DE"/>
              </w:rPr>
            </w:pPr>
            <w:r w:rsidRPr="005330BD">
              <w:rPr>
                <w:rFonts w:cstheme="minorHAnsi"/>
                <w:sz w:val="16"/>
                <w:szCs w:val="16"/>
                <w:lang w:val="en-GB" w:eastAsia="de-DE"/>
              </w:rPr>
              <w:t>serious</w:t>
            </w:r>
            <w:r w:rsidRPr="005330BD">
              <w:rPr>
                <w:rFonts w:cstheme="minorHAnsi"/>
                <w:sz w:val="16"/>
                <w:szCs w:val="16"/>
                <w:vertAlign w:val="superscript"/>
                <w:lang w:val="en-GB" w:eastAsia="de-DE"/>
              </w:rPr>
              <w:t>f</w:t>
            </w:r>
            <w:r w:rsidRPr="005330BD">
              <w:rPr>
                <w:rFonts w:cstheme="minorHAnsi"/>
                <w:sz w:val="16"/>
                <w:szCs w:val="16"/>
                <w:lang w:val="en-GB" w:eastAsia="de-DE"/>
              </w:rPr>
              <w:t xml:space="preserve">  </w:t>
            </w:r>
          </w:p>
        </w:tc>
        <w:tc>
          <w:tcPr>
            <w:tcW w:w="412" w:type="pct"/>
            <w:hideMark/>
          </w:tcPr>
          <w:p w:rsidR="006833A7" w:rsidRPr="005330BD" w:rsidRDefault="006833A7" w:rsidP="00633BFF">
            <w:pPr>
              <w:jc w:val="both"/>
              <w:rPr>
                <w:rFonts w:cstheme="minorHAnsi"/>
                <w:sz w:val="16"/>
                <w:szCs w:val="16"/>
                <w:lang w:val="en-GB" w:eastAsia="de-DE"/>
              </w:rPr>
            </w:pPr>
            <w:r w:rsidRPr="005330BD">
              <w:rPr>
                <w:rFonts w:cstheme="minorHAnsi"/>
                <w:sz w:val="16"/>
                <w:szCs w:val="16"/>
                <w:lang w:val="en-GB" w:eastAsia="de-DE"/>
              </w:rPr>
              <w:t xml:space="preserve">serious </w:t>
            </w:r>
            <w:r w:rsidRPr="005330BD">
              <w:rPr>
                <w:rFonts w:cstheme="minorHAnsi"/>
                <w:sz w:val="16"/>
                <w:szCs w:val="16"/>
                <w:vertAlign w:val="superscript"/>
                <w:lang w:val="en-GB" w:eastAsia="de-DE"/>
              </w:rPr>
              <w:t>c</w:t>
            </w:r>
          </w:p>
        </w:tc>
        <w:tc>
          <w:tcPr>
            <w:tcW w:w="2118" w:type="pct"/>
            <w:gridSpan w:val="4"/>
            <w:hideMark/>
          </w:tcPr>
          <w:p w:rsidR="006833A7" w:rsidRPr="005330BD" w:rsidRDefault="006833A7" w:rsidP="00633BFF">
            <w:pPr>
              <w:jc w:val="both"/>
              <w:rPr>
                <w:rFonts w:cstheme="minorHAnsi"/>
                <w:sz w:val="16"/>
                <w:szCs w:val="16"/>
                <w:lang w:val="en-GB" w:eastAsia="de-DE"/>
              </w:rPr>
            </w:pPr>
            <w:r w:rsidRPr="005330BD">
              <w:rPr>
                <w:rFonts w:cstheme="minorHAnsi"/>
                <w:b/>
                <w:bCs/>
                <w:sz w:val="16"/>
                <w:szCs w:val="16"/>
                <w:lang w:val="en-GB" w:eastAsia="de-DE"/>
              </w:rPr>
              <w:t xml:space="preserve">Rodrigo-Troyano 2018: </w:t>
            </w:r>
            <w:r w:rsidRPr="005330BD">
              <w:rPr>
                <w:rFonts w:cstheme="minorHAnsi"/>
                <w:sz w:val="16"/>
                <w:szCs w:val="16"/>
                <w:lang w:val="en-GB" w:eastAsia="de-DE"/>
              </w:rPr>
              <w:t>Unadjusted proportion of patients with one readmission in PA vs. no-PA groups (79% vs. 75%, p=0.9); Unadjusted proportion of patients with &gt;=3 readmissions (33% vs. 11%, p=0.01) (1 year follow-up)</w:t>
            </w:r>
          </w:p>
          <w:p w:rsidR="006833A7" w:rsidRPr="005330BD" w:rsidRDefault="006833A7" w:rsidP="00633BFF">
            <w:pPr>
              <w:jc w:val="both"/>
              <w:rPr>
                <w:rFonts w:cstheme="minorHAnsi"/>
                <w:sz w:val="16"/>
                <w:szCs w:val="16"/>
                <w:lang w:val="en-GB" w:eastAsia="de-DE"/>
              </w:rPr>
            </w:pPr>
            <w:r w:rsidRPr="005330BD">
              <w:rPr>
                <w:rFonts w:cstheme="minorHAnsi"/>
                <w:b/>
                <w:bCs/>
                <w:sz w:val="16"/>
                <w:szCs w:val="16"/>
                <w:lang w:val="en-GB" w:eastAsia="de-DE"/>
              </w:rPr>
              <w:t>Choi 2018:</w:t>
            </w:r>
            <w:r w:rsidRPr="005330BD">
              <w:rPr>
                <w:rFonts w:cstheme="minorHAnsi"/>
                <w:sz w:val="16"/>
                <w:szCs w:val="16"/>
                <w:lang w:val="en-GB" w:eastAsia="de-DE"/>
              </w:rPr>
              <w:t xml:space="preserve"> Adjusted of being readmitted within 30 days of a discharge from AECOPD (OR 4.749, 95%CI: 1.296 – 17.401)</w:t>
            </w:r>
          </w:p>
        </w:tc>
        <w:tc>
          <w:tcPr>
            <w:tcW w:w="359" w:type="pct"/>
            <w:hideMark/>
          </w:tcPr>
          <w:p w:rsidR="006833A7" w:rsidRPr="005330BD" w:rsidRDefault="006833A7" w:rsidP="00633BFF">
            <w:pPr>
              <w:jc w:val="both"/>
              <w:rPr>
                <w:rFonts w:cstheme="minorHAnsi"/>
                <w:sz w:val="16"/>
                <w:szCs w:val="16"/>
                <w:lang w:val="en-GB" w:eastAsia="de-DE"/>
              </w:rPr>
            </w:pPr>
            <w:r w:rsidRPr="005330BD">
              <w:rPr>
                <w:rFonts w:ascii="Cambria Math" w:hAnsi="Cambria Math" w:cs="Cambria Math"/>
                <w:sz w:val="16"/>
                <w:szCs w:val="16"/>
                <w:lang w:val="en-GB" w:eastAsia="de-DE"/>
              </w:rPr>
              <w:t>⨁</w:t>
            </w:r>
            <w:r w:rsidRPr="005330BD">
              <w:rPr>
                <w:rFonts w:ascii="MS Gothic" w:eastAsia="MS Gothic" w:hAnsi="MS Gothic" w:cs="MS Gothic"/>
                <w:sz w:val="16"/>
                <w:szCs w:val="16"/>
                <w:lang w:val="en-GB" w:eastAsia="de-DE"/>
              </w:rPr>
              <w:t>◯◯◯</w:t>
            </w:r>
            <w:r w:rsidRPr="005330BD">
              <w:rPr>
                <w:rFonts w:cstheme="minorHAnsi"/>
                <w:sz w:val="16"/>
                <w:szCs w:val="16"/>
                <w:lang w:val="en-GB" w:eastAsia="de-DE"/>
              </w:rPr>
              <w:br/>
              <w:t>VERY LOW</w:t>
            </w:r>
          </w:p>
        </w:tc>
      </w:tr>
    </w:tbl>
    <w:p w:rsidR="006833A7" w:rsidRPr="005330BD" w:rsidRDefault="006833A7" w:rsidP="006833A7">
      <w:pPr>
        <w:rPr>
          <w:lang w:val="en-GB"/>
        </w:rPr>
      </w:pPr>
      <w:r w:rsidRPr="005330BD">
        <w:rPr>
          <w:lang w:val="en-GB"/>
        </w:rPr>
        <w:br w:type="page"/>
      </w:r>
    </w:p>
    <w:tbl>
      <w:tblPr>
        <w:tblW w:w="48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4A0"/>
      </w:tblPr>
      <w:tblGrid>
        <w:gridCol w:w="1770"/>
        <w:gridCol w:w="986"/>
        <w:gridCol w:w="1102"/>
        <w:gridCol w:w="997"/>
        <w:gridCol w:w="975"/>
        <w:gridCol w:w="1138"/>
        <w:gridCol w:w="5849"/>
        <w:gridCol w:w="991"/>
      </w:tblGrid>
      <w:tr w:rsidR="006833A7" w:rsidRPr="007D4A32" w:rsidTr="00633BFF">
        <w:trPr>
          <w:cantSplit/>
          <w:trHeight w:val="23"/>
        </w:trPr>
        <w:tc>
          <w:tcPr>
            <w:tcW w:w="5000" w:type="pct"/>
            <w:gridSpan w:val="8"/>
            <w:shd w:val="clear" w:color="auto" w:fill="FFFFFF"/>
            <w:vAlign w:val="center"/>
            <w:hideMark/>
          </w:tcPr>
          <w:p w:rsidR="006833A7" w:rsidRPr="005330BD" w:rsidRDefault="006833A7" w:rsidP="00633BFF">
            <w:pPr>
              <w:jc w:val="both"/>
              <w:rPr>
                <w:rFonts w:cstheme="minorHAnsi"/>
                <w:b/>
                <w:bCs/>
                <w:sz w:val="16"/>
                <w:szCs w:val="16"/>
                <w:lang w:val="en-GB" w:eastAsia="de-DE"/>
              </w:rPr>
            </w:pPr>
            <w:r w:rsidRPr="005330BD">
              <w:rPr>
                <w:rFonts w:cstheme="minorHAnsi"/>
                <w:b/>
                <w:bCs/>
                <w:sz w:val="16"/>
                <w:szCs w:val="16"/>
                <w:lang w:val="en-GB" w:eastAsia="de-DE"/>
              </w:rPr>
              <w:lastRenderedPageBreak/>
              <w:t>Number of readmissions – (follow up 12 to 84 months)</w:t>
            </w:r>
          </w:p>
        </w:tc>
      </w:tr>
      <w:tr w:rsidR="006833A7" w:rsidRPr="005330BD" w:rsidTr="00633BFF">
        <w:trPr>
          <w:cantSplit/>
          <w:trHeight w:val="134"/>
        </w:trPr>
        <w:tc>
          <w:tcPr>
            <w:tcW w:w="641" w:type="pct"/>
            <w:hideMark/>
          </w:tcPr>
          <w:p w:rsidR="006833A7" w:rsidRPr="005330BD" w:rsidRDefault="006833A7" w:rsidP="00633BFF">
            <w:pPr>
              <w:jc w:val="both"/>
              <w:rPr>
                <w:rFonts w:cstheme="minorHAnsi"/>
                <w:sz w:val="16"/>
                <w:szCs w:val="16"/>
                <w:lang w:val="en-GB" w:eastAsia="de-DE"/>
              </w:rPr>
            </w:pPr>
            <w:r w:rsidRPr="005330BD">
              <w:rPr>
                <w:rFonts w:cstheme="minorHAnsi"/>
                <w:sz w:val="16"/>
                <w:szCs w:val="16"/>
                <w:lang w:val="en-GB" w:eastAsia="de-DE"/>
              </w:rPr>
              <w:t xml:space="preserve">739 (4 observational) </w:t>
            </w:r>
          </w:p>
        </w:tc>
        <w:tc>
          <w:tcPr>
            <w:tcW w:w="357" w:type="pct"/>
            <w:hideMark/>
          </w:tcPr>
          <w:p w:rsidR="006833A7" w:rsidRPr="005330BD" w:rsidRDefault="006833A7" w:rsidP="00633BFF">
            <w:pPr>
              <w:jc w:val="both"/>
              <w:rPr>
                <w:rFonts w:cstheme="minorHAnsi"/>
                <w:sz w:val="16"/>
                <w:szCs w:val="16"/>
                <w:lang w:val="en-GB" w:eastAsia="de-DE"/>
              </w:rPr>
            </w:pPr>
            <w:r w:rsidRPr="005330BD">
              <w:rPr>
                <w:rFonts w:cstheme="minorHAnsi"/>
                <w:sz w:val="16"/>
                <w:szCs w:val="16"/>
                <w:lang w:val="en-GB" w:eastAsia="de-DE"/>
              </w:rPr>
              <w:t>serious</w:t>
            </w:r>
            <w:r w:rsidRPr="005330BD">
              <w:rPr>
                <w:rFonts w:cstheme="minorHAnsi"/>
                <w:sz w:val="16"/>
                <w:szCs w:val="16"/>
                <w:vertAlign w:val="superscript"/>
                <w:lang w:val="en-GB" w:eastAsia="de-DE"/>
              </w:rPr>
              <w:t>g</w:t>
            </w:r>
          </w:p>
        </w:tc>
        <w:tc>
          <w:tcPr>
            <w:tcW w:w="399" w:type="pct"/>
            <w:hideMark/>
          </w:tcPr>
          <w:p w:rsidR="006833A7" w:rsidRPr="005330BD" w:rsidRDefault="006833A7" w:rsidP="00633BFF">
            <w:pPr>
              <w:jc w:val="both"/>
              <w:rPr>
                <w:rFonts w:cstheme="minorHAnsi"/>
                <w:sz w:val="16"/>
                <w:szCs w:val="16"/>
                <w:lang w:val="en-GB" w:eastAsia="de-DE"/>
              </w:rPr>
            </w:pPr>
            <w:r w:rsidRPr="005330BD">
              <w:rPr>
                <w:rFonts w:cstheme="minorHAnsi"/>
                <w:sz w:val="16"/>
                <w:szCs w:val="16"/>
                <w:lang w:val="en-GB" w:eastAsia="de-DE"/>
              </w:rPr>
              <w:t xml:space="preserve">not serious </w:t>
            </w:r>
          </w:p>
        </w:tc>
        <w:tc>
          <w:tcPr>
            <w:tcW w:w="361" w:type="pct"/>
            <w:hideMark/>
          </w:tcPr>
          <w:p w:rsidR="006833A7" w:rsidRPr="005330BD" w:rsidRDefault="006833A7" w:rsidP="00633BFF">
            <w:pPr>
              <w:jc w:val="both"/>
              <w:rPr>
                <w:rFonts w:cstheme="minorHAnsi"/>
                <w:sz w:val="16"/>
                <w:szCs w:val="16"/>
                <w:lang w:val="en-GB" w:eastAsia="de-DE"/>
              </w:rPr>
            </w:pPr>
            <w:r w:rsidRPr="005330BD">
              <w:rPr>
                <w:rFonts w:cstheme="minorHAnsi"/>
                <w:sz w:val="16"/>
                <w:szCs w:val="16"/>
                <w:lang w:val="en-GB" w:eastAsia="de-DE"/>
              </w:rPr>
              <w:t xml:space="preserve">not serious </w:t>
            </w:r>
          </w:p>
        </w:tc>
        <w:tc>
          <w:tcPr>
            <w:tcW w:w="353" w:type="pct"/>
            <w:hideMark/>
          </w:tcPr>
          <w:p w:rsidR="006833A7" w:rsidRPr="005330BD" w:rsidRDefault="006833A7" w:rsidP="00633BFF">
            <w:pPr>
              <w:jc w:val="both"/>
              <w:rPr>
                <w:rFonts w:cstheme="minorHAnsi"/>
                <w:sz w:val="16"/>
                <w:szCs w:val="16"/>
                <w:lang w:val="en-GB" w:eastAsia="de-DE"/>
              </w:rPr>
            </w:pPr>
            <w:r w:rsidRPr="005330BD">
              <w:rPr>
                <w:rFonts w:cstheme="minorHAnsi"/>
                <w:sz w:val="16"/>
                <w:szCs w:val="16"/>
                <w:lang w:val="en-GB" w:eastAsia="de-DE"/>
              </w:rPr>
              <w:t>serious</w:t>
            </w:r>
            <w:r w:rsidRPr="005330BD">
              <w:rPr>
                <w:rFonts w:cstheme="minorHAnsi"/>
                <w:sz w:val="16"/>
                <w:szCs w:val="16"/>
                <w:vertAlign w:val="superscript"/>
                <w:lang w:val="en-GB" w:eastAsia="de-DE"/>
              </w:rPr>
              <w:t>f</w:t>
            </w:r>
            <w:r w:rsidRPr="005330BD">
              <w:rPr>
                <w:rFonts w:cstheme="minorHAnsi"/>
                <w:sz w:val="16"/>
                <w:szCs w:val="16"/>
                <w:lang w:val="en-GB" w:eastAsia="de-DE"/>
              </w:rPr>
              <w:t xml:space="preserve">  </w:t>
            </w:r>
          </w:p>
        </w:tc>
        <w:tc>
          <w:tcPr>
            <w:tcW w:w="412" w:type="pct"/>
            <w:hideMark/>
          </w:tcPr>
          <w:p w:rsidR="006833A7" w:rsidRPr="005330BD" w:rsidRDefault="006833A7" w:rsidP="00633BFF">
            <w:pPr>
              <w:jc w:val="both"/>
              <w:rPr>
                <w:rFonts w:cstheme="minorHAnsi"/>
                <w:sz w:val="16"/>
                <w:szCs w:val="16"/>
                <w:lang w:val="en-GB" w:eastAsia="de-DE"/>
              </w:rPr>
            </w:pPr>
            <w:r w:rsidRPr="005330BD">
              <w:rPr>
                <w:rFonts w:cstheme="minorHAnsi"/>
                <w:sz w:val="16"/>
                <w:szCs w:val="16"/>
                <w:lang w:val="en-GB" w:eastAsia="de-DE"/>
              </w:rPr>
              <w:t xml:space="preserve">serious </w:t>
            </w:r>
            <w:r w:rsidRPr="005330BD">
              <w:rPr>
                <w:rFonts w:cstheme="minorHAnsi"/>
                <w:sz w:val="16"/>
                <w:szCs w:val="16"/>
                <w:vertAlign w:val="superscript"/>
                <w:lang w:val="en-GB" w:eastAsia="de-DE"/>
              </w:rPr>
              <w:t>c</w:t>
            </w:r>
          </w:p>
        </w:tc>
        <w:tc>
          <w:tcPr>
            <w:tcW w:w="2118" w:type="pct"/>
            <w:hideMark/>
          </w:tcPr>
          <w:p w:rsidR="006833A7" w:rsidRPr="005330BD" w:rsidRDefault="006833A7" w:rsidP="00633BFF">
            <w:pPr>
              <w:jc w:val="both"/>
              <w:rPr>
                <w:rFonts w:cstheme="minorHAnsi"/>
                <w:sz w:val="16"/>
                <w:szCs w:val="16"/>
                <w:lang w:val="en-GB" w:eastAsia="de-DE"/>
              </w:rPr>
            </w:pPr>
            <w:r w:rsidRPr="005330BD">
              <w:rPr>
                <w:rFonts w:cstheme="minorHAnsi"/>
                <w:b/>
                <w:bCs/>
                <w:sz w:val="16"/>
                <w:szCs w:val="16"/>
                <w:lang w:val="en-GB" w:eastAsia="de-DE"/>
              </w:rPr>
              <w:t xml:space="preserve">Almagro 2012: </w:t>
            </w:r>
            <w:r w:rsidRPr="005330BD">
              <w:rPr>
                <w:rFonts w:cstheme="minorHAnsi"/>
                <w:sz w:val="16"/>
                <w:szCs w:val="16"/>
                <w:lang w:val="en-GB" w:eastAsia="de-DE"/>
              </w:rPr>
              <w:t>Unadjusted mean number of readmissions (1.3±1.5 vs. 1.2 ±1.6, p=0.8).</w:t>
            </w:r>
          </w:p>
          <w:p w:rsidR="006833A7" w:rsidRPr="005330BD" w:rsidRDefault="006833A7" w:rsidP="00633BFF">
            <w:pPr>
              <w:jc w:val="both"/>
              <w:rPr>
                <w:rFonts w:cstheme="minorHAnsi"/>
                <w:sz w:val="16"/>
                <w:szCs w:val="16"/>
                <w:lang w:val="en-GB" w:eastAsia="de-DE"/>
              </w:rPr>
            </w:pPr>
            <w:r w:rsidRPr="005330BD">
              <w:rPr>
                <w:rFonts w:cstheme="minorHAnsi"/>
                <w:b/>
                <w:bCs/>
                <w:sz w:val="16"/>
                <w:szCs w:val="16"/>
                <w:lang w:val="en-GB" w:eastAsia="de-DE"/>
              </w:rPr>
              <w:t xml:space="preserve">Rodrigo-Troyano 2018: </w:t>
            </w:r>
            <w:r w:rsidRPr="005330BD">
              <w:rPr>
                <w:rFonts w:cstheme="minorHAnsi"/>
                <w:sz w:val="16"/>
                <w:szCs w:val="16"/>
                <w:lang w:val="en-GB" w:eastAsia="de-DE"/>
              </w:rPr>
              <w:t>Unadjusted median number of readmissions/1000 days of follow-up (2.7 vs. 2.7, p=0.7)</w:t>
            </w:r>
          </w:p>
          <w:p w:rsidR="006833A7" w:rsidRPr="005330BD" w:rsidRDefault="006833A7" w:rsidP="00633BFF">
            <w:pPr>
              <w:jc w:val="both"/>
              <w:rPr>
                <w:rFonts w:cstheme="minorHAnsi"/>
                <w:sz w:val="16"/>
                <w:szCs w:val="16"/>
                <w:lang w:val="en-GB" w:eastAsia="de-DE"/>
              </w:rPr>
            </w:pPr>
            <w:r w:rsidRPr="005330BD">
              <w:rPr>
                <w:rFonts w:cstheme="minorHAnsi"/>
                <w:b/>
                <w:bCs/>
                <w:sz w:val="16"/>
                <w:szCs w:val="16"/>
                <w:lang w:val="en-GB" w:eastAsia="de-DE"/>
              </w:rPr>
              <w:t>Jacobs 2020:</w:t>
            </w:r>
            <w:r w:rsidRPr="005330BD">
              <w:rPr>
                <w:rFonts w:cstheme="minorHAnsi"/>
                <w:sz w:val="16"/>
                <w:szCs w:val="16"/>
                <w:lang w:val="en-GB" w:eastAsia="de-DE"/>
              </w:rPr>
              <w:t xml:space="preserve"> Unadjusted COPD-related hospitalization rates per 100 persons-month (rate 1.87 (95%CI 1.22–2.74) vs. 0.89 (95%CI 0.51–1.44), p=0.02). Unadjusted rate ratio 1.15, 95%CI: 1.59-2.78</w:t>
            </w:r>
          </w:p>
          <w:p w:rsidR="006833A7" w:rsidRPr="005330BD" w:rsidRDefault="006833A7" w:rsidP="00633BFF">
            <w:pPr>
              <w:jc w:val="both"/>
              <w:rPr>
                <w:rFonts w:cstheme="minorHAnsi"/>
                <w:sz w:val="16"/>
                <w:szCs w:val="16"/>
                <w:lang w:val="en-GB" w:eastAsia="de-DE"/>
              </w:rPr>
            </w:pPr>
            <w:r w:rsidRPr="005330BD">
              <w:rPr>
                <w:rFonts w:cstheme="minorHAnsi"/>
                <w:b/>
                <w:bCs/>
                <w:sz w:val="16"/>
                <w:szCs w:val="16"/>
                <w:lang w:val="en-GB" w:eastAsia="de-DE"/>
              </w:rPr>
              <w:t xml:space="preserve">Martínez-García 2021: </w:t>
            </w:r>
            <w:r w:rsidRPr="005330BD">
              <w:rPr>
                <w:rFonts w:cstheme="minorHAnsi"/>
                <w:sz w:val="16"/>
                <w:szCs w:val="16"/>
                <w:lang w:val="en-GB" w:eastAsia="de-DE"/>
              </w:rPr>
              <w:t>Unadjusted mean number of severe exacerbations requiring hospitalization (0.76 ± 1.0 vs. 0.23 ± 0.4, p= 0.003)</w:t>
            </w:r>
          </w:p>
          <w:p w:rsidR="006833A7" w:rsidRPr="005330BD" w:rsidRDefault="006833A7" w:rsidP="00633BFF">
            <w:pPr>
              <w:jc w:val="both"/>
              <w:rPr>
                <w:rFonts w:cstheme="minorHAnsi"/>
                <w:sz w:val="16"/>
                <w:szCs w:val="16"/>
                <w:lang w:val="en-GB" w:eastAsia="de-DE"/>
              </w:rPr>
            </w:pPr>
          </w:p>
        </w:tc>
        <w:tc>
          <w:tcPr>
            <w:tcW w:w="359" w:type="pct"/>
            <w:hideMark/>
          </w:tcPr>
          <w:p w:rsidR="006833A7" w:rsidRPr="005330BD" w:rsidRDefault="006833A7" w:rsidP="00633BFF">
            <w:pPr>
              <w:jc w:val="both"/>
              <w:rPr>
                <w:rFonts w:cstheme="minorHAnsi"/>
                <w:sz w:val="16"/>
                <w:szCs w:val="16"/>
                <w:lang w:val="en-GB" w:eastAsia="de-DE"/>
              </w:rPr>
            </w:pPr>
            <w:r w:rsidRPr="005330BD">
              <w:rPr>
                <w:rFonts w:ascii="Cambria Math" w:hAnsi="Cambria Math" w:cs="Cambria Math"/>
                <w:sz w:val="16"/>
                <w:szCs w:val="16"/>
                <w:lang w:val="en-GB" w:eastAsia="de-DE"/>
              </w:rPr>
              <w:t>⨁</w:t>
            </w:r>
            <w:r w:rsidRPr="005330BD">
              <w:rPr>
                <w:rFonts w:ascii="MS Gothic" w:eastAsia="MS Gothic" w:hAnsi="MS Gothic" w:cs="MS Gothic"/>
                <w:sz w:val="16"/>
                <w:szCs w:val="16"/>
                <w:lang w:val="en-GB" w:eastAsia="de-DE"/>
              </w:rPr>
              <w:t>◯◯◯</w:t>
            </w:r>
            <w:r w:rsidRPr="005330BD">
              <w:rPr>
                <w:rFonts w:cstheme="minorHAnsi"/>
                <w:sz w:val="16"/>
                <w:szCs w:val="16"/>
                <w:lang w:val="en-GB" w:eastAsia="de-DE"/>
              </w:rPr>
              <w:br/>
              <w:t>VERY LOW</w:t>
            </w:r>
          </w:p>
        </w:tc>
      </w:tr>
      <w:tr w:rsidR="006833A7" w:rsidRPr="007D4A32" w:rsidTr="00633BFF">
        <w:trPr>
          <w:cantSplit/>
          <w:trHeight w:val="23"/>
        </w:trPr>
        <w:tc>
          <w:tcPr>
            <w:tcW w:w="5000" w:type="pct"/>
            <w:gridSpan w:val="8"/>
            <w:shd w:val="clear" w:color="auto" w:fill="FFFFFF"/>
            <w:vAlign w:val="center"/>
            <w:hideMark/>
          </w:tcPr>
          <w:p w:rsidR="006833A7" w:rsidRPr="005330BD" w:rsidRDefault="006833A7" w:rsidP="00633BFF">
            <w:pPr>
              <w:jc w:val="both"/>
              <w:rPr>
                <w:rFonts w:cstheme="minorHAnsi"/>
                <w:b/>
                <w:bCs/>
                <w:sz w:val="16"/>
                <w:szCs w:val="16"/>
                <w:lang w:val="en-GB" w:eastAsia="de-DE"/>
              </w:rPr>
            </w:pPr>
            <w:r w:rsidRPr="005330BD">
              <w:rPr>
                <w:rFonts w:cstheme="minorHAnsi"/>
                <w:b/>
                <w:bCs/>
                <w:sz w:val="16"/>
                <w:szCs w:val="16"/>
                <w:lang w:val="en-GB" w:eastAsia="de-DE"/>
              </w:rPr>
              <w:t>Exacerbations rate – (follow up 24 to 84 months)</w:t>
            </w:r>
          </w:p>
        </w:tc>
      </w:tr>
      <w:tr w:rsidR="006833A7" w:rsidRPr="005330BD" w:rsidTr="00633BFF">
        <w:trPr>
          <w:cantSplit/>
          <w:trHeight w:val="134"/>
        </w:trPr>
        <w:tc>
          <w:tcPr>
            <w:tcW w:w="641" w:type="pct"/>
            <w:hideMark/>
          </w:tcPr>
          <w:p w:rsidR="006833A7" w:rsidRPr="005330BD" w:rsidRDefault="006833A7" w:rsidP="00633BFF">
            <w:pPr>
              <w:jc w:val="both"/>
              <w:rPr>
                <w:rFonts w:cstheme="minorHAnsi"/>
                <w:sz w:val="16"/>
                <w:szCs w:val="16"/>
                <w:lang w:val="en-GB" w:eastAsia="de-DE"/>
              </w:rPr>
            </w:pPr>
            <w:r w:rsidRPr="005330BD">
              <w:rPr>
                <w:rFonts w:cstheme="minorHAnsi"/>
                <w:sz w:val="16"/>
                <w:szCs w:val="16"/>
                <w:lang w:val="en-GB" w:eastAsia="de-DE"/>
              </w:rPr>
              <w:t xml:space="preserve">758 (4 observational) </w:t>
            </w:r>
          </w:p>
        </w:tc>
        <w:tc>
          <w:tcPr>
            <w:tcW w:w="357" w:type="pct"/>
            <w:hideMark/>
          </w:tcPr>
          <w:p w:rsidR="006833A7" w:rsidRPr="005330BD" w:rsidRDefault="006833A7" w:rsidP="00633BFF">
            <w:pPr>
              <w:jc w:val="both"/>
              <w:rPr>
                <w:rFonts w:cstheme="minorHAnsi"/>
                <w:sz w:val="16"/>
                <w:szCs w:val="16"/>
                <w:lang w:val="en-GB" w:eastAsia="de-DE"/>
              </w:rPr>
            </w:pPr>
            <w:r w:rsidRPr="005330BD">
              <w:rPr>
                <w:rFonts w:cstheme="minorHAnsi"/>
                <w:sz w:val="16"/>
                <w:szCs w:val="16"/>
                <w:lang w:val="en-GB" w:eastAsia="de-DE"/>
              </w:rPr>
              <w:t>serious</w:t>
            </w:r>
            <w:r w:rsidRPr="005330BD">
              <w:rPr>
                <w:rFonts w:cstheme="minorHAnsi"/>
                <w:sz w:val="16"/>
                <w:szCs w:val="16"/>
                <w:vertAlign w:val="superscript"/>
                <w:lang w:val="en-GB" w:eastAsia="de-DE"/>
              </w:rPr>
              <w:t>g</w:t>
            </w:r>
          </w:p>
        </w:tc>
        <w:tc>
          <w:tcPr>
            <w:tcW w:w="399" w:type="pct"/>
            <w:hideMark/>
          </w:tcPr>
          <w:p w:rsidR="006833A7" w:rsidRPr="005330BD" w:rsidRDefault="006833A7" w:rsidP="00633BFF">
            <w:pPr>
              <w:jc w:val="both"/>
              <w:rPr>
                <w:rFonts w:cstheme="minorHAnsi"/>
                <w:sz w:val="16"/>
                <w:szCs w:val="16"/>
                <w:lang w:val="en-GB" w:eastAsia="de-DE"/>
              </w:rPr>
            </w:pPr>
            <w:r w:rsidRPr="005330BD">
              <w:rPr>
                <w:rFonts w:cstheme="minorHAnsi"/>
                <w:sz w:val="16"/>
                <w:szCs w:val="16"/>
                <w:lang w:val="en-GB" w:eastAsia="de-DE"/>
              </w:rPr>
              <w:t>not serious</w:t>
            </w:r>
          </w:p>
        </w:tc>
        <w:tc>
          <w:tcPr>
            <w:tcW w:w="361" w:type="pct"/>
            <w:hideMark/>
          </w:tcPr>
          <w:p w:rsidR="006833A7" w:rsidRPr="005330BD" w:rsidRDefault="006833A7" w:rsidP="00633BFF">
            <w:pPr>
              <w:jc w:val="both"/>
              <w:rPr>
                <w:rFonts w:cstheme="minorHAnsi"/>
                <w:sz w:val="16"/>
                <w:szCs w:val="16"/>
                <w:lang w:val="en-GB" w:eastAsia="de-DE"/>
              </w:rPr>
            </w:pPr>
            <w:r w:rsidRPr="005330BD">
              <w:rPr>
                <w:rFonts w:cstheme="minorHAnsi"/>
                <w:sz w:val="16"/>
                <w:szCs w:val="16"/>
                <w:lang w:val="en-GB" w:eastAsia="de-DE"/>
              </w:rPr>
              <w:t xml:space="preserve">not serious </w:t>
            </w:r>
          </w:p>
        </w:tc>
        <w:tc>
          <w:tcPr>
            <w:tcW w:w="353" w:type="pct"/>
            <w:hideMark/>
          </w:tcPr>
          <w:p w:rsidR="006833A7" w:rsidRPr="005330BD" w:rsidRDefault="006833A7" w:rsidP="00633BFF">
            <w:pPr>
              <w:jc w:val="both"/>
              <w:rPr>
                <w:rFonts w:cstheme="minorHAnsi"/>
                <w:sz w:val="16"/>
                <w:szCs w:val="16"/>
                <w:lang w:val="en-GB" w:eastAsia="de-DE"/>
              </w:rPr>
            </w:pPr>
            <w:r w:rsidRPr="005330BD">
              <w:rPr>
                <w:rFonts w:cstheme="minorHAnsi"/>
                <w:sz w:val="16"/>
                <w:szCs w:val="16"/>
                <w:lang w:val="en-GB" w:eastAsia="de-DE"/>
              </w:rPr>
              <w:t>serious</w:t>
            </w:r>
            <w:r w:rsidRPr="005330BD">
              <w:rPr>
                <w:rFonts w:cstheme="minorHAnsi"/>
                <w:sz w:val="16"/>
                <w:szCs w:val="16"/>
                <w:vertAlign w:val="superscript"/>
                <w:lang w:val="en-GB" w:eastAsia="de-DE"/>
              </w:rPr>
              <w:t>f</w:t>
            </w:r>
            <w:r w:rsidRPr="005330BD">
              <w:rPr>
                <w:rFonts w:cstheme="minorHAnsi"/>
                <w:sz w:val="16"/>
                <w:szCs w:val="16"/>
                <w:lang w:val="en-GB" w:eastAsia="de-DE"/>
              </w:rPr>
              <w:t xml:space="preserve"> </w:t>
            </w:r>
          </w:p>
        </w:tc>
        <w:tc>
          <w:tcPr>
            <w:tcW w:w="412" w:type="pct"/>
            <w:hideMark/>
          </w:tcPr>
          <w:p w:rsidR="006833A7" w:rsidRPr="005330BD" w:rsidRDefault="006833A7" w:rsidP="00633BFF">
            <w:pPr>
              <w:jc w:val="both"/>
              <w:rPr>
                <w:rFonts w:cstheme="minorHAnsi"/>
                <w:sz w:val="16"/>
                <w:szCs w:val="16"/>
                <w:lang w:val="en-GB" w:eastAsia="de-DE"/>
              </w:rPr>
            </w:pPr>
            <w:r w:rsidRPr="005330BD">
              <w:rPr>
                <w:rFonts w:cstheme="minorHAnsi"/>
                <w:sz w:val="16"/>
                <w:szCs w:val="16"/>
                <w:lang w:val="en-GB" w:eastAsia="de-DE"/>
              </w:rPr>
              <w:t xml:space="preserve">serious </w:t>
            </w:r>
            <w:r w:rsidRPr="005330BD">
              <w:rPr>
                <w:rFonts w:cstheme="minorHAnsi"/>
                <w:sz w:val="16"/>
                <w:szCs w:val="16"/>
                <w:vertAlign w:val="superscript"/>
                <w:lang w:val="en-GB" w:eastAsia="de-DE"/>
              </w:rPr>
              <w:t>c</w:t>
            </w:r>
          </w:p>
        </w:tc>
        <w:tc>
          <w:tcPr>
            <w:tcW w:w="2118" w:type="pct"/>
            <w:hideMark/>
          </w:tcPr>
          <w:p w:rsidR="006833A7" w:rsidRPr="005330BD" w:rsidRDefault="006833A7" w:rsidP="00633BFF">
            <w:pPr>
              <w:jc w:val="both"/>
              <w:rPr>
                <w:rFonts w:cstheme="minorHAnsi"/>
                <w:sz w:val="16"/>
                <w:szCs w:val="16"/>
                <w:lang w:val="en-GB" w:eastAsia="de-DE"/>
              </w:rPr>
            </w:pPr>
            <w:r w:rsidRPr="005330BD">
              <w:rPr>
                <w:rFonts w:cstheme="minorHAnsi"/>
                <w:b/>
                <w:bCs/>
                <w:sz w:val="16"/>
                <w:szCs w:val="16"/>
                <w:lang w:val="en-GB" w:eastAsia="de-DE"/>
              </w:rPr>
              <w:t>Bouquet 2020:</w:t>
            </w:r>
            <w:r w:rsidRPr="005330BD">
              <w:rPr>
                <w:rFonts w:cstheme="minorHAnsi"/>
                <w:sz w:val="16"/>
                <w:szCs w:val="16"/>
                <w:lang w:val="en-GB" w:eastAsia="de-DE"/>
              </w:rPr>
              <w:t xml:space="preserve"> adjusted exacerbation events (OR 1.20, 95%CI: 1.03-1.39); frequent exacerbations (&gt;=2/y) (OR 1.48, 95%CI: 1.31-1.68)</w:t>
            </w:r>
          </w:p>
          <w:p w:rsidR="006833A7" w:rsidRPr="005330BD" w:rsidRDefault="006833A7" w:rsidP="00633BFF">
            <w:pPr>
              <w:jc w:val="both"/>
              <w:rPr>
                <w:rFonts w:cstheme="minorHAnsi"/>
                <w:sz w:val="16"/>
                <w:szCs w:val="16"/>
                <w:lang w:val="en-GB" w:eastAsia="de-DE"/>
              </w:rPr>
            </w:pPr>
            <w:r w:rsidRPr="005330BD">
              <w:rPr>
                <w:rFonts w:cstheme="minorHAnsi"/>
                <w:b/>
                <w:bCs/>
                <w:sz w:val="16"/>
                <w:szCs w:val="16"/>
                <w:lang w:val="en-GB" w:eastAsia="de-DE"/>
              </w:rPr>
              <w:t>Jacobs 2020:</w:t>
            </w:r>
            <w:r w:rsidRPr="005330BD">
              <w:rPr>
                <w:rFonts w:cstheme="minorHAnsi"/>
                <w:sz w:val="16"/>
                <w:szCs w:val="16"/>
                <w:lang w:val="en-GB" w:eastAsia="de-DE"/>
              </w:rPr>
              <w:t xml:space="preserve"> exacerbation rates per 100 person-month (15.7 vs. 7.5, p&lt;0.001)</w:t>
            </w:r>
          </w:p>
          <w:p w:rsidR="006833A7" w:rsidRPr="005330BD" w:rsidRDefault="006833A7" w:rsidP="00633BFF">
            <w:pPr>
              <w:jc w:val="both"/>
              <w:rPr>
                <w:rFonts w:cstheme="minorHAnsi"/>
                <w:sz w:val="16"/>
                <w:szCs w:val="16"/>
                <w:lang w:val="en-GB" w:eastAsia="de-DE"/>
              </w:rPr>
            </w:pPr>
            <w:r w:rsidRPr="005330BD">
              <w:rPr>
                <w:rFonts w:cstheme="minorHAnsi"/>
                <w:b/>
                <w:bCs/>
                <w:sz w:val="16"/>
                <w:szCs w:val="16"/>
                <w:lang w:val="en-GB" w:eastAsia="de-DE"/>
              </w:rPr>
              <w:t xml:space="preserve">Martínez-García 2021: </w:t>
            </w:r>
            <w:r w:rsidRPr="005330BD">
              <w:rPr>
                <w:rFonts w:cstheme="minorHAnsi"/>
                <w:sz w:val="16"/>
                <w:szCs w:val="16"/>
                <w:lang w:val="en-GB" w:eastAsia="de-DE"/>
              </w:rPr>
              <w:t>annual total exacerbation rates (1.87 ± 1.3 vs. 0.84 ± 0.8, p= 0.009); annual moderate exacerbation rates (1.11 ± 1.3 vs. 0.61 ± 0.9, p= 0.01)</w:t>
            </w:r>
          </w:p>
          <w:p w:rsidR="006833A7" w:rsidRPr="005330BD" w:rsidRDefault="006833A7" w:rsidP="00633BFF">
            <w:pPr>
              <w:jc w:val="both"/>
              <w:rPr>
                <w:rFonts w:cstheme="minorHAnsi"/>
                <w:sz w:val="16"/>
                <w:szCs w:val="16"/>
                <w:lang w:val="en-GB" w:eastAsia="de-DE"/>
              </w:rPr>
            </w:pPr>
            <w:r w:rsidRPr="005330BD">
              <w:rPr>
                <w:rFonts w:cstheme="minorHAnsi"/>
                <w:b/>
                <w:bCs/>
                <w:sz w:val="16"/>
                <w:szCs w:val="16"/>
                <w:lang w:val="en-GB" w:eastAsia="de-DE"/>
              </w:rPr>
              <w:t xml:space="preserve">Rodrigo-Troyano 2018: </w:t>
            </w:r>
            <w:r w:rsidRPr="005330BD">
              <w:rPr>
                <w:rFonts w:cstheme="minorHAnsi"/>
                <w:sz w:val="16"/>
                <w:szCs w:val="16"/>
                <w:lang w:val="en-GB" w:eastAsia="de-DE"/>
              </w:rPr>
              <w:t>non-hospitalized exacerbations (1 vs. 1, p=0.8)</w:t>
            </w:r>
          </w:p>
        </w:tc>
        <w:tc>
          <w:tcPr>
            <w:tcW w:w="359" w:type="pct"/>
            <w:hideMark/>
          </w:tcPr>
          <w:p w:rsidR="006833A7" w:rsidRPr="005330BD" w:rsidRDefault="006833A7" w:rsidP="00633BFF">
            <w:pPr>
              <w:jc w:val="both"/>
              <w:rPr>
                <w:rFonts w:cstheme="minorHAnsi"/>
                <w:sz w:val="16"/>
                <w:szCs w:val="16"/>
                <w:lang w:val="en-GB" w:eastAsia="de-DE"/>
              </w:rPr>
            </w:pPr>
            <w:r w:rsidRPr="005330BD">
              <w:rPr>
                <w:rFonts w:ascii="Cambria Math" w:hAnsi="Cambria Math" w:cs="Cambria Math"/>
                <w:sz w:val="16"/>
                <w:szCs w:val="16"/>
                <w:lang w:val="en-GB" w:eastAsia="de-DE"/>
              </w:rPr>
              <w:t>⨁</w:t>
            </w:r>
            <w:r w:rsidRPr="005330BD">
              <w:rPr>
                <w:rFonts w:ascii="MS Gothic" w:eastAsia="MS Gothic" w:hAnsi="MS Gothic" w:cs="MS Gothic"/>
                <w:sz w:val="16"/>
                <w:szCs w:val="16"/>
                <w:lang w:val="en-GB" w:eastAsia="de-DE"/>
              </w:rPr>
              <w:t>◯◯◯</w:t>
            </w:r>
            <w:r w:rsidRPr="005330BD">
              <w:rPr>
                <w:rFonts w:cstheme="minorHAnsi"/>
                <w:sz w:val="16"/>
                <w:szCs w:val="16"/>
                <w:lang w:val="en-GB" w:eastAsia="de-DE"/>
              </w:rPr>
              <w:br/>
              <w:t>VERY LOW</w:t>
            </w:r>
          </w:p>
        </w:tc>
      </w:tr>
    </w:tbl>
    <w:p w:rsidR="006833A7" w:rsidRPr="005330BD" w:rsidRDefault="006833A7" w:rsidP="006833A7">
      <w:pPr>
        <w:spacing w:line="140" w:lineRule="atLeast"/>
        <w:jc w:val="both"/>
        <w:rPr>
          <w:rFonts w:eastAsiaTheme="minorEastAsia" w:cstheme="minorHAnsi"/>
          <w:color w:val="000000"/>
          <w:sz w:val="16"/>
          <w:szCs w:val="16"/>
          <w:lang w:val="en-GB" w:eastAsia="de-DE"/>
        </w:rPr>
      </w:pPr>
      <w:r w:rsidRPr="005330BD">
        <w:rPr>
          <w:rFonts w:eastAsiaTheme="minorEastAsia" w:cstheme="minorHAnsi"/>
          <w:bCs/>
          <w:color w:val="000000"/>
          <w:sz w:val="16"/>
          <w:szCs w:val="16"/>
          <w:lang w:val="en-GB" w:eastAsia="de-DE"/>
        </w:rPr>
        <w:t>CI:</w:t>
      </w:r>
      <w:r w:rsidRPr="005330BD">
        <w:rPr>
          <w:rFonts w:eastAsiaTheme="minorEastAsia" w:cstheme="minorHAnsi"/>
          <w:color w:val="000000"/>
          <w:sz w:val="16"/>
          <w:szCs w:val="16"/>
          <w:lang w:val="en-GB" w:eastAsia="de-DE"/>
        </w:rPr>
        <w:t xml:space="preserve"> confidence interval; </w:t>
      </w:r>
      <w:r w:rsidRPr="005330BD">
        <w:rPr>
          <w:rFonts w:eastAsiaTheme="minorEastAsia" w:cstheme="minorHAnsi"/>
          <w:bCs/>
          <w:color w:val="000000"/>
          <w:sz w:val="16"/>
          <w:szCs w:val="16"/>
          <w:lang w:val="en-GB" w:eastAsia="de-DE"/>
        </w:rPr>
        <w:t>HR:</w:t>
      </w:r>
      <w:r w:rsidRPr="005330BD">
        <w:rPr>
          <w:rFonts w:eastAsiaTheme="minorEastAsia" w:cstheme="minorHAnsi"/>
          <w:color w:val="000000"/>
          <w:sz w:val="16"/>
          <w:szCs w:val="16"/>
          <w:lang w:val="en-GB" w:eastAsia="de-DE"/>
        </w:rPr>
        <w:t xml:space="preserve"> hazard ratio</w:t>
      </w:r>
      <w:r w:rsidR="00F9076E">
        <w:rPr>
          <w:rFonts w:eastAsiaTheme="minorEastAsia" w:cstheme="minorHAnsi"/>
          <w:color w:val="000000"/>
          <w:sz w:val="16"/>
          <w:szCs w:val="16"/>
          <w:lang w:val="en-GB" w:eastAsia="de-DE"/>
        </w:rPr>
        <w:t>; OR: odds ration; COPD: chronic obstructive pulmonary disease</w:t>
      </w:r>
    </w:p>
    <w:p w:rsidR="006833A7" w:rsidRPr="005330BD" w:rsidRDefault="006833A7" w:rsidP="006833A7">
      <w:pPr>
        <w:spacing w:line="140" w:lineRule="atLeast"/>
        <w:jc w:val="both"/>
        <w:outlineLvl w:val="3"/>
        <w:rPr>
          <w:rFonts w:cstheme="minorHAnsi"/>
          <w:b/>
          <w:color w:val="000000"/>
          <w:sz w:val="16"/>
          <w:szCs w:val="16"/>
          <w:u w:val="single"/>
          <w:lang w:val="en-GB" w:eastAsia="de-DE"/>
        </w:rPr>
      </w:pPr>
      <w:r w:rsidRPr="005330BD">
        <w:rPr>
          <w:rFonts w:cstheme="minorHAnsi"/>
          <w:b/>
          <w:color w:val="000000"/>
          <w:sz w:val="16"/>
          <w:szCs w:val="16"/>
          <w:u w:val="single"/>
          <w:lang w:val="en-GB" w:eastAsia="de-DE"/>
        </w:rPr>
        <w:t>Explanations for the certainty of evidence:</w:t>
      </w:r>
    </w:p>
    <w:p w:rsidR="006833A7" w:rsidRPr="005330BD" w:rsidRDefault="006833A7" w:rsidP="006833A7">
      <w:pPr>
        <w:pStyle w:val="Pargrafdellista"/>
        <w:numPr>
          <w:ilvl w:val="0"/>
          <w:numId w:val="2"/>
        </w:numPr>
        <w:spacing w:after="0" w:line="140" w:lineRule="atLeast"/>
        <w:jc w:val="both"/>
        <w:rPr>
          <w:rFonts w:cstheme="minorHAnsi"/>
          <w:color w:val="000000"/>
          <w:sz w:val="16"/>
          <w:szCs w:val="16"/>
          <w:lang w:val="en-GB" w:eastAsia="de-DE"/>
        </w:rPr>
      </w:pPr>
      <w:r w:rsidRPr="005330BD">
        <w:rPr>
          <w:rFonts w:cstheme="minorHAnsi"/>
          <w:b/>
          <w:color w:val="000000"/>
          <w:sz w:val="16"/>
          <w:szCs w:val="16"/>
          <w:lang w:val="en-GB" w:eastAsia="de-DE"/>
        </w:rPr>
        <w:t xml:space="preserve">Not downgraded for risk of bias: </w:t>
      </w:r>
      <w:r w:rsidRPr="005330BD">
        <w:rPr>
          <w:rFonts w:cstheme="minorHAnsi"/>
          <w:bCs/>
          <w:color w:val="000000"/>
          <w:sz w:val="16"/>
          <w:szCs w:val="16"/>
          <w:lang w:val="en-GB" w:eastAsia="de-DE"/>
        </w:rPr>
        <w:t>although three out of six studies were considered at a high risk</w:t>
      </w:r>
      <w:r w:rsidRPr="005330BD">
        <w:rPr>
          <w:rFonts w:cstheme="minorHAnsi"/>
          <w:color w:val="000000"/>
          <w:sz w:val="16"/>
          <w:szCs w:val="16"/>
          <w:lang w:val="en-GB" w:eastAsia="de-DE"/>
        </w:rPr>
        <w:t xml:space="preserve"> of bias due to study confounding (failed to adjust for one or more crucial predictors), sensitivity analysis of the data excluding high risk of bias studies</w:t>
      </w:r>
      <w:r w:rsidRPr="005330BD">
        <w:rPr>
          <w:rFonts w:cstheme="minorHAnsi"/>
          <w:bCs/>
          <w:color w:val="000000"/>
          <w:sz w:val="16"/>
          <w:szCs w:val="16"/>
          <w:lang w:val="en-GB" w:eastAsia="de-DE"/>
        </w:rPr>
        <w:t xml:space="preserve"> </w:t>
      </w:r>
      <w:r w:rsidRPr="005330BD">
        <w:rPr>
          <w:rFonts w:cstheme="minorHAnsi"/>
          <w:color w:val="000000"/>
          <w:sz w:val="16"/>
          <w:szCs w:val="16"/>
          <w:lang w:val="en-GB" w:eastAsia="de-DE"/>
        </w:rPr>
        <w:t>did not change substantially</w:t>
      </w:r>
      <w:r w:rsidRPr="005330BD">
        <w:rPr>
          <w:rFonts w:cstheme="minorHAnsi"/>
          <w:bCs/>
          <w:color w:val="000000"/>
          <w:sz w:val="16"/>
          <w:szCs w:val="16"/>
          <w:lang w:val="en-GB" w:eastAsia="de-DE"/>
        </w:rPr>
        <w:t xml:space="preserve"> t</w:t>
      </w:r>
      <w:r w:rsidRPr="005330BD">
        <w:rPr>
          <w:rFonts w:cstheme="minorHAnsi"/>
          <w:color w:val="000000"/>
          <w:sz w:val="16"/>
          <w:szCs w:val="16"/>
          <w:lang w:val="en-GB" w:eastAsia="de-DE"/>
        </w:rPr>
        <w:t xml:space="preserve">he overall point estimate. Robustness of the data was further confirmed in a worse-case test scenario where a hypothetical negative study with similar size to that of Eklöf 2020 and no association between exposure and outcome, was added to the meta-analysis, with no changes in the overall conclusion regarding the existence of a meaningful association between the exposure and the outcome. </w:t>
      </w:r>
    </w:p>
    <w:p w:rsidR="006833A7" w:rsidRPr="005330BD" w:rsidRDefault="006833A7" w:rsidP="006833A7">
      <w:pPr>
        <w:pStyle w:val="Pargrafdellista"/>
        <w:numPr>
          <w:ilvl w:val="0"/>
          <w:numId w:val="2"/>
        </w:numPr>
        <w:spacing w:after="0" w:line="140" w:lineRule="atLeast"/>
        <w:jc w:val="both"/>
        <w:rPr>
          <w:rFonts w:cstheme="minorHAnsi"/>
          <w:color w:val="000000"/>
          <w:sz w:val="16"/>
          <w:szCs w:val="16"/>
          <w:lang w:val="en-GB" w:eastAsia="de-DE"/>
        </w:rPr>
      </w:pPr>
      <w:r w:rsidRPr="005330BD">
        <w:rPr>
          <w:rFonts w:cstheme="minorHAnsi"/>
          <w:b/>
          <w:color w:val="000000"/>
          <w:sz w:val="16"/>
          <w:szCs w:val="16"/>
          <w:lang w:val="en-GB" w:eastAsia="de-DE"/>
        </w:rPr>
        <w:t xml:space="preserve">Not downgraded for inconsistency: </w:t>
      </w:r>
      <w:r w:rsidRPr="005330BD">
        <w:rPr>
          <w:rFonts w:cstheme="minorHAnsi"/>
          <w:bCs/>
          <w:color w:val="000000"/>
          <w:sz w:val="16"/>
          <w:szCs w:val="16"/>
          <w:lang w:val="en-GB" w:eastAsia="de-DE"/>
        </w:rPr>
        <w:t>although the I</w:t>
      </w:r>
      <w:r w:rsidRPr="005330BD">
        <w:rPr>
          <w:rFonts w:cstheme="minorHAnsi"/>
          <w:bCs/>
          <w:color w:val="000000"/>
          <w:sz w:val="16"/>
          <w:szCs w:val="16"/>
          <w:vertAlign w:val="superscript"/>
          <w:lang w:val="en-GB" w:eastAsia="de-DE"/>
        </w:rPr>
        <w:t>2</w:t>
      </w:r>
      <w:r w:rsidRPr="005330BD">
        <w:rPr>
          <w:rFonts w:cstheme="minorHAnsi"/>
          <w:bCs/>
          <w:color w:val="000000"/>
          <w:sz w:val="16"/>
          <w:szCs w:val="16"/>
          <w:lang w:val="en-GB" w:eastAsia="de-DE"/>
        </w:rPr>
        <w:t xml:space="preserve"> was 78% (p=0,0004) results from all studies revealed some degree of association.</w:t>
      </w:r>
    </w:p>
    <w:p w:rsidR="006833A7" w:rsidRPr="005330BD" w:rsidRDefault="006833A7" w:rsidP="006833A7">
      <w:pPr>
        <w:pStyle w:val="Pargrafdellista"/>
        <w:numPr>
          <w:ilvl w:val="0"/>
          <w:numId w:val="2"/>
        </w:numPr>
        <w:spacing w:after="0" w:line="140" w:lineRule="atLeast"/>
        <w:jc w:val="both"/>
        <w:rPr>
          <w:rFonts w:cstheme="minorHAnsi"/>
          <w:color w:val="000000"/>
          <w:sz w:val="16"/>
          <w:szCs w:val="16"/>
          <w:lang w:val="en-GB" w:eastAsia="de-DE"/>
        </w:rPr>
      </w:pPr>
      <w:r w:rsidRPr="005330BD">
        <w:rPr>
          <w:rFonts w:cstheme="minorHAnsi"/>
          <w:b/>
          <w:color w:val="000000"/>
          <w:sz w:val="16"/>
          <w:szCs w:val="16"/>
          <w:lang w:val="en-GB" w:eastAsia="de-DE"/>
        </w:rPr>
        <w:t>Downgraded for potential publication bias:</w:t>
      </w:r>
      <w:r w:rsidRPr="005330BD">
        <w:rPr>
          <w:rFonts w:cstheme="minorHAnsi"/>
          <w:bCs/>
          <w:color w:val="000000"/>
          <w:sz w:val="16"/>
          <w:szCs w:val="16"/>
          <w:lang w:val="en-GB" w:eastAsia="de-DE"/>
        </w:rPr>
        <w:t xml:space="preserve"> the selection of studies considered those in which the assessment of the prognostic factor of interest was the main objective thus certain over-estimation of the association cannot be ruled out.</w:t>
      </w:r>
    </w:p>
    <w:p w:rsidR="006833A7" w:rsidRPr="005330BD" w:rsidRDefault="006833A7" w:rsidP="006833A7">
      <w:pPr>
        <w:pStyle w:val="Pargrafdellista"/>
        <w:numPr>
          <w:ilvl w:val="0"/>
          <w:numId w:val="2"/>
        </w:numPr>
        <w:spacing w:after="0" w:line="140" w:lineRule="atLeast"/>
        <w:jc w:val="both"/>
        <w:rPr>
          <w:rFonts w:cstheme="minorHAnsi"/>
          <w:color w:val="000000"/>
          <w:sz w:val="16"/>
          <w:szCs w:val="16"/>
          <w:lang w:val="en-GB" w:eastAsia="de-DE"/>
        </w:rPr>
      </w:pPr>
      <w:r w:rsidRPr="005330BD">
        <w:rPr>
          <w:rFonts w:cstheme="minorHAnsi"/>
          <w:b/>
          <w:color w:val="000000"/>
          <w:sz w:val="16"/>
          <w:szCs w:val="16"/>
          <w:lang w:val="en-GB" w:eastAsia="de-DE"/>
        </w:rPr>
        <w:t>Concerns about risk of bias:</w:t>
      </w:r>
      <w:r w:rsidRPr="005330BD">
        <w:rPr>
          <w:rFonts w:cstheme="minorHAnsi"/>
          <w:bCs/>
          <w:color w:val="000000"/>
          <w:sz w:val="16"/>
          <w:szCs w:val="16"/>
          <w:lang w:val="en-GB" w:eastAsia="de-DE"/>
        </w:rPr>
        <w:t xml:space="preserve"> data from one </w:t>
      </w:r>
      <w:r w:rsidRPr="005330BD">
        <w:rPr>
          <w:rFonts w:cstheme="minorHAnsi"/>
          <w:color w:val="000000"/>
          <w:sz w:val="16"/>
          <w:szCs w:val="16"/>
          <w:lang w:val="en-GB" w:eastAsia="de-DE"/>
        </w:rPr>
        <w:t xml:space="preserve">high and one moderate risk of bias studies due to study confounding (failed to adjust for one or more crucial predictors). </w:t>
      </w:r>
      <w:r w:rsidRPr="005330BD">
        <w:rPr>
          <w:rFonts w:cstheme="minorHAnsi"/>
          <w:bCs/>
          <w:color w:val="000000"/>
          <w:sz w:val="16"/>
          <w:szCs w:val="16"/>
          <w:lang w:val="en-GB" w:eastAsia="de-DE"/>
        </w:rPr>
        <w:t>Variability of outcome measurement and / or definition prevented meta-analysis</w:t>
      </w:r>
      <w:r w:rsidRPr="005330BD">
        <w:rPr>
          <w:rFonts w:cstheme="minorHAnsi"/>
          <w:color w:val="000000"/>
          <w:sz w:val="16"/>
          <w:szCs w:val="16"/>
          <w:lang w:val="en-GB" w:eastAsia="de-DE"/>
        </w:rPr>
        <w:t xml:space="preserve"> therefore sensitivity analysis and robustness of the data could not be tested.</w:t>
      </w:r>
    </w:p>
    <w:p w:rsidR="006833A7" w:rsidRPr="005330BD" w:rsidRDefault="006833A7" w:rsidP="006833A7">
      <w:pPr>
        <w:pStyle w:val="Pargrafdellista"/>
        <w:numPr>
          <w:ilvl w:val="0"/>
          <w:numId w:val="2"/>
        </w:numPr>
        <w:spacing w:after="0" w:line="140" w:lineRule="atLeast"/>
        <w:jc w:val="both"/>
        <w:rPr>
          <w:rFonts w:cstheme="minorHAnsi"/>
          <w:bCs/>
          <w:color w:val="000000"/>
          <w:sz w:val="16"/>
          <w:szCs w:val="16"/>
          <w:lang w:val="en-GB" w:eastAsia="de-DE"/>
        </w:rPr>
      </w:pPr>
      <w:r w:rsidRPr="005330BD">
        <w:rPr>
          <w:rFonts w:cstheme="minorHAnsi"/>
          <w:b/>
          <w:color w:val="000000"/>
          <w:sz w:val="16"/>
          <w:szCs w:val="16"/>
          <w:lang w:val="en-GB" w:eastAsia="de-DE"/>
        </w:rPr>
        <w:t xml:space="preserve">Not downgraded for inconsistency: </w:t>
      </w:r>
      <w:r w:rsidRPr="005330BD">
        <w:rPr>
          <w:rFonts w:cstheme="minorHAnsi"/>
          <w:bCs/>
          <w:color w:val="000000"/>
          <w:sz w:val="16"/>
          <w:szCs w:val="16"/>
          <w:lang w:val="en-GB" w:eastAsia="de-DE"/>
        </w:rPr>
        <w:t>although the included studies inform about differential association, it is probably due to variability of outcome measurement and / or definition which has been considered under imprecision.</w:t>
      </w:r>
    </w:p>
    <w:p w:rsidR="006833A7" w:rsidRPr="005330BD" w:rsidRDefault="006833A7" w:rsidP="006833A7">
      <w:pPr>
        <w:pStyle w:val="Pargrafdellista"/>
        <w:numPr>
          <w:ilvl w:val="0"/>
          <w:numId w:val="2"/>
        </w:numPr>
        <w:spacing w:after="0" w:line="140" w:lineRule="atLeast"/>
        <w:jc w:val="both"/>
        <w:rPr>
          <w:rFonts w:cstheme="minorHAnsi"/>
          <w:bCs/>
          <w:color w:val="000000"/>
          <w:sz w:val="16"/>
          <w:szCs w:val="16"/>
          <w:lang w:val="en-GB" w:eastAsia="de-DE"/>
        </w:rPr>
      </w:pPr>
      <w:r w:rsidRPr="005330BD">
        <w:rPr>
          <w:rFonts w:cstheme="minorHAnsi"/>
          <w:b/>
          <w:color w:val="000000"/>
          <w:sz w:val="16"/>
          <w:szCs w:val="16"/>
          <w:lang w:val="en-GB" w:eastAsia="de-DE"/>
        </w:rPr>
        <w:t xml:space="preserve">Downgraded for imprecision: </w:t>
      </w:r>
      <w:bookmarkStart w:id="30" w:name="_Hlk66229752"/>
      <w:r w:rsidRPr="005330BD">
        <w:rPr>
          <w:rFonts w:cstheme="minorHAnsi"/>
          <w:bCs/>
          <w:color w:val="000000"/>
          <w:sz w:val="16"/>
          <w:szCs w:val="16"/>
          <w:lang w:val="en-GB" w:eastAsia="de-DE"/>
        </w:rPr>
        <w:t>variability of outcome measurement and / or definition prevented meta-analysis. Point effect estimates and 95%CI not known.</w:t>
      </w:r>
      <w:bookmarkEnd w:id="30"/>
    </w:p>
    <w:p w:rsidR="006833A7" w:rsidRPr="005330BD" w:rsidRDefault="006833A7" w:rsidP="006833A7">
      <w:pPr>
        <w:pStyle w:val="Pargrafdellista"/>
        <w:numPr>
          <w:ilvl w:val="0"/>
          <w:numId w:val="2"/>
        </w:numPr>
        <w:spacing w:after="0" w:line="140" w:lineRule="atLeast"/>
        <w:jc w:val="both"/>
        <w:rPr>
          <w:rFonts w:cstheme="minorHAnsi"/>
          <w:bCs/>
          <w:color w:val="000000"/>
          <w:sz w:val="16"/>
          <w:szCs w:val="16"/>
          <w:lang w:val="en-GB" w:eastAsia="de-DE"/>
        </w:rPr>
      </w:pPr>
      <w:r w:rsidRPr="005330BD">
        <w:rPr>
          <w:rFonts w:cstheme="minorHAnsi"/>
          <w:b/>
          <w:color w:val="000000"/>
          <w:sz w:val="16"/>
          <w:szCs w:val="16"/>
          <w:lang w:val="en-GB" w:eastAsia="de-DE"/>
        </w:rPr>
        <w:t xml:space="preserve">Concerns about risk of bias: </w:t>
      </w:r>
      <w:r w:rsidRPr="005330BD">
        <w:rPr>
          <w:rFonts w:cstheme="minorHAnsi"/>
          <w:color w:val="000000"/>
          <w:sz w:val="16"/>
          <w:szCs w:val="16"/>
          <w:lang w:val="en-GB" w:eastAsia="de-DE"/>
        </w:rPr>
        <w:t>due to high risk of bias due to study confounding (most included studies failed to adjust for one or more crucial predictors: age, severity and presence of bronchiectasis)</w:t>
      </w:r>
    </w:p>
    <w:p w:rsidR="006833A7" w:rsidRPr="005330BD" w:rsidRDefault="006833A7" w:rsidP="006833A7">
      <w:pPr>
        <w:pStyle w:val="Pargrafdellista"/>
        <w:spacing w:after="0" w:line="140" w:lineRule="atLeast"/>
        <w:jc w:val="both"/>
        <w:rPr>
          <w:rFonts w:cstheme="minorHAnsi"/>
          <w:bCs/>
          <w:color w:val="000000"/>
          <w:sz w:val="16"/>
          <w:szCs w:val="16"/>
          <w:lang w:val="en-GB" w:eastAsia="de-DE"/>
        </w:rPr>
      </w:pPr>
    </w:p>
    <w:p w:rsidR="006833A7" w:rsidRPr="005330BD" w:rsidRDefault="006833A7" w:rsidP="006833A7">
      <w:pPr>
        <w:spacing w:line="140" w:lineRule="atLeast"/>
        <w:jc w:val="both"/>
        <w:outlineLvl w:val="3"/>
        <w:rPr>
          <w:rFonts w:cstheme="minorHAnsi"/>
          <w:b/>
          <w:color w:val="000000"/>
          <w:sz w:val="16"/>
          <w:szCs w:val="16"/>
          <w:u w:val="single"/>
          <w:lang w:val="en-GB" w:eastAsia="de-DE"/>
        </w:rPr>
      </w:pPr>
      <w:r w:rsidRPr="005330BD">
        <w:rPr>
          <w:rFonts w:cstheme="minorHAnsi"/>
          <w:b/>
          <w:color w:val="000000"/>
          <w:sz w:val="16"/>
          <w:szCs w:val="16"/>
          <w:u w:val="single"/>
          <w:lang w:val="en-GB" w:eastAsia="de-DE"/>
        </w:rPr>
        <w:t>Explanations of the evidence profile table</w:t>
      </w:r>
    </w:p>
    <w:p w:rsidR="006833A7" w:rsidRPr="005330BD" w:rsidRDefault="006833A7" w:rsidP="006833A7">
      <w:pPr>
        <w:pStyle w:val="Pargrafdellista"/>
        <w:numPr>
          <w:ilvl w:val="0"/>
          <w:numId w:val="1"/>
        </w:numPr>
        <w:spacing w:after="0" w:line="140" w:lineRule="atLeast"/>
        <w:jc w:val="both"/>
        <w:rPr>
          <w:rFonts w:cstheme="minorHAnsi"/>
          <w:bCs/>
          <w:color w:val="000000"/>
          <w:sz w:val="16"/>
          <w:szCs w:val="16"/>
          <w:lang w:val="en-GB" w:eastAsia="de-DE"/>
        </w:rPr>
      </w:pPr>
      <w:r w:rsidRPr="005330BD">
        <w:rPr>
          <w:rFonts w:cstheme="minorHAnsi"/>
          <w:bCs/>
          <w:color w:val="000000"/>
          <w:sz w:val="16"/>
          <w:szCs w:val="16"/>
          <w:lang w:val="en-GB" w:eastAsia="de-DE"/>
        </w:rPr>
        <w:t xml:space="preserve">Interpretation of the absolute effect estimates is limited because they have been obtained from unadjusted absolute numbers of events from populations with and without the risk factor and cannot be interpreted as a time to event outcome. </w:t>
      </w:r>
    </w:p>
    <w:p w:rsidR="006833A7" w:rsidRDefault="006833A7" w:rsidP="00A66BA2">
      <w:pPr>
        <w:spacing w:after="200" w:line="276" w:lineRule="auto"/>
        <w:rPr>
          <w:lang w:val="en-GB"/>
        </w:rPr>
      </w:pPr>
    </w:p>
    <w:p w:rsidR="006833A7" w:rsidRPr="006F337A" w:rsidRDefault="006833A7" w:rsidP="00A66BA2">
      <w:pPr>
        <w:spacing w:after="200" w:line="276" w:lineRule="auto"/>
        <w:rPr>
          <w:lang w:val="en-GB"/>
        </w:rPr>
      </w:pPr>
    </w:p>
    <w:sectPr w:rsidR="006833A7" w:rsidRPr="006F337A" w:rsidSect="006833A7">
      <w:pgSz w:w="16820" w:h="11900" w:orient="landscape"/>
      <w:pgMar w:top="1701" w:right="1417" w:bottom="1701"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99AA51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9BBD82" w16cex:dateUtc="2022-01-25T23: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99AA514" w16cid:durableId="259BBD82"/>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43EB" w:rsidRDefault="009343EB" w:rsidP="006F337A">
      <w:r>
        <w:separator/>
      </w:r>
    </w:p>
  </w:endnote>
  <w:endnote w:type="continuationSeparator" w:id="0">
    <w:p w:rsidR="009343EB" w:rsidRDefault="009343EB" w:rsidP="006F337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43EB" w:rsidRDefault="009343EB" w:rsidP="006F337A">
      <w:r>
        <w:separator/>
      </w:r>
    </w:p>
  </w:footnote>
  <w:footnote w:type="continuationSeparator" w:id="0">
    <w:p w:rsidR="009343EB" w:rsidRDefault="009343EB" w:rsidP="006F337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Nmerodepgina"/>
      </w:rPr>
      <w:id w:val="-2131152694"/>
      <w:docPartObj>
        <w:docPartGallery w:val="Page Numbers (Top of Page)"/>
        <w:docPartUnique/>
      </w:docPartObj>
    </w:sdtPr>
    <w:sdtContent>
      <w:p w:rsidR="00EF75C7" w:rsidRDefault="004F5781" w:rsidP="00007A09">
        <w:pPr>
          <w:pStyle w:val="Capalera"/>
          <w:framePr w:wrap="none" w:vAnchor="text" w:hAnchor="margin" w:xAlign="right" w:y="1"/>
          <w:rPr>
            <w:rStyle w:val="Nmerodepgina"/>
          </w:rPr>
        </w:pPr>
        <w:r>
          <w:rPr>
            <w:rStyle w:val="Nmerodepgina"/>
          </w:rPr>
          <w:fldChar w:fldCharType="begin"/>
        </w:r>
        <w:r w:rsidR="00EF75C7">
          <w:rPr>
            <w:rStyle w:val="Nmerodepgina"/>
          </w:rPr>
          <w:instrText xml:space="preserve"> PAGE </w:instrText>
        </w:r>
        <w:r>
          <w:rPr>
            <w:rStyle w:val="Nmerodepgina"/>
          </w:rPr>
          <w:fldChar w:fldCharType="end"/>
        </w:r>
      </w:p>
    </w:sdtContent>
  </w:sdt>
  <w:p w:rsidR="00EF75C7" w:rsidRDefault="00EF75C7" w:rsidP="00EF75C7">
    <w:pPr>
      <w:pStyle w:val="Capalera"/>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Nmerodepgina"/>
      </w:rPr>
      <w:id w:val="-576135179"/>
      <w:docPartObj>
        <w:docPartGallery w:val="Page Numbers (Top of Page)"/>
        <w:docPartUnique/>
      </w:docPartObj>
    </w:sdtPr>
    <w:sdtContent>
      <w:p w:rsidR="00EF75C7" w:rsidRDefault="004F5781" w:rsidP="00007A09">
        <w:pPr>
          <w:pStyle w:val="Capalera"/>
          <w:framePr w:wrap="none" w:vAnchor="text" w:hAnchor="margin" w:xAlign="right" w:y="1"/>
          <w:rPr>
            <w:rStyle w:val="Nmerodepgina"/>
          </w:rPr>
        </w:pPr>
        <w:r>
          <w:rPr>
            <w:rStyle w:val="Nmerodepgina"/>
          </w:rPr>
          <w:fldChar w:fldCharType="begin"/>
        </w:r>
        <w:r w:rsidR="00EF75C7">
          <w:rPr>
            <w:rStyle w:val="Nmerodepgina"/>
          </w:rPr>
          <w:instrText xml:space="preserve"> PAGE </w:instrText>
        </w:r>
        <w:r>
          <w:rPr>
            <w:rStyle w:val="Nmerodepgina"/>
          </w:rPr>
          <w:fldChar w:fldCharType="separate"/>
        </w:r>
        <w:r w:rsidR="007D4A32">
          <w:rPr>
            <w:rStyle w:val="Nmerodepgina"/>
            <w:noProof/>
          </w:rPr>
          <w:t>2</w:t>
        </w:r>
        <w:r>
          <w:rPr>
            <w:rStyle w:val="Nmerodepgina"/>
          </w:rPr>
          <w:fldChar w:fldCharType="end"/>
        </w:r>
      </w:p>
    </w:sdtContent>
  </w:sdt>
  <w:p w:rsidR="00EF75C7" w:rsidRDefault="00EF75C7" w:rsidP="00EF75C7">
    <w:pPr>
      <w:pStyle w:val="Capalera"/>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62431"/>
    <w:multiLevelType w:val="hybridMultilevel"/>
    <w:tmpl w:val="EF4E2006"/>
    <w:lvl w:ilvl="0" w:tplc="0C0A0017">
      <w:start w:val="1"/>
      <w:numFmt w:val="lowerLetter"/>
      <w:lvlText w:val="%1)"/>
      <w:lvlJc w:val="left"/>
      <w:pPr>
        <w:ind w:left="720" w:hanging="360"/>
      </w:pPr>
      <w:rPr>
        <w:rFonts w:hint="default"/>
        <w:b/>
        <w:lang/>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
    <w:nsid w:val="28CD6820"/>
    <w:multiLevelType w:val="hybridMultilevel"/>
    <w:tmpl w:val="E41EE9D0"/>
    <w:lvl w:ilvl="0" w:tplc="EF6A40E4">
      <w:start w:val="3"/>
      <w:numFmt w:val="decimal"/>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2">
    <w:nsid w:val="5E8D118A"/>
    <w:multiLevelType w:val="hybridMultilevel"/>
    <w:tmpl w:val="F99EBA08"/>
    <w:lvl w:ilvl="0" w:tplc="6B3EAC26">
      <w:start w:val="1"/>
      <w:numFmt w:val="decimal"/>
      <w:lvlText w:val="%1."/>
      <w:lvlJc w:val="left"/>
      <w:pPr>
        <w:ind w:left="720" w:hanging="360"/>
      </w:pPr>
      <w:rPr>
        <w:rFonts w:hint="default"/>
        <w:b/>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
    <w:nsid w:val="61182CD6"/>
    <w:multiLevelType w:val="hybridMultilevel"/>
    <w:tmpl w:val="132E250E"/>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Watson, Georgia">
    <w15:presenceInfo w15:providerId="None" w15:userId="Watson, Georgi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A66BA2"/>
    <w:rsid w:val="00001D63"/>
    <w:rsid w:val="00007E1C"/>
    <w:rsid w:val="000D5D7A"/>
    <w:rsid w:val="000F2574"/>
    <w:rsid w:val="00153636"/>
    <w:rsid w:val="00174C27"/>
    <w:rsid w:val="00197F1A"/>
    <w:rsid w:val="001C120C"/>
    <w:rsid w:val="00212D65"/>
    <w:rsid w:val="00287BE8"/>
    <w:rsid w:val="002F6B72"/>
    <w:rsid w:val="00305ED5"/>
    <w:rsid w:val="00341905"/>
    <w:rsid w:val="00362B75"/>
    <w:rsid w:val="004F5781"/>
    <w:rsid w:val="005F79B3"/>
    <w:rsid w:val="00620B32"/>
    <w:rsid w:val="006508E0"/>
    <w:rsid w:val="006833A7"/>
    <w:rsid w:val="00696F2C"/>
    <w:rsid w:val="006C29EC"/>
    <w:rsid w:val="006F337A"/>
    <w:rsid w:val="00701D68"/>
    <w:rsid w:val="00704869"/>
    <w:rsid w:val="007703C1"/>
    <w:rsid w:val="007D4A32"/>
    <w:rsid w:val="00882F7E"/>
    <w:rsid w:val="008A2B9A"/>
    <w:rsid w:val="008C609D"/>
    <w:rsid w:val="00904448"/>
    <w:rsid w:val="009343EB"/>
    <w:rsid w:val="0095088B"/>
    <w:rsid w:val="00963548"/>
    <w:rsid w:val="009E4043"/>
    <w:rsid w:val="00A1511E"/>
    <w:rsid w:val="00A31BD7"/>
    <w:rsid w:val="00A66BA2"/>
    <w:rsid w:val="00B1633D"/>
    <w:rsid w:val="00C561BF"/>
    <w:rsid w:val="00C66C9A"/>
    <w:rsid w:val="00CC57E4"/>
    <w:rsid w:val="00D921A4"/>
    <w:rsid w:val="00D94740"/>
    <w:rsid w:val="00DC69BB"/>
    <w:rsid w:val="00E51D76"/>
    <w:rsid w:val="00EF75C7"/>
    <w:rsid w:val="00F9076E"/>
    <w:rsid w:val="00FC3FF1"/>
    <w:rsid w:val="00FF550A"/>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5781"/>
  </w:style>
  <w:style w:type="paragraph" w:styleId="Ttol2">
    <w:name w:val="heading 2"/>
    <w:basedOn w:val="Normal"/>
    <w:next w:val="Normal"/>
    <w:link w:val="Ttol2Car"/>
    <w:uiPriority w:val="9"/>
    <w:unhideWhenUsed/>
    <w:qFormat/>
    <w:rsid w:val="006F337A"/>
    <w:pPr>
      <w:keepNext/>
      <w:keepLines/>
      <w:spacing w:before="200" w:line="276" w:lineRule="auto"/>
      <w:outlineLvl w:val="1"/>
    </w:pPr>
    <w:rPr>
      <w:rFonts w:asciiTheme="majorHAnsi" w:eastAsiaTheme="majorEastAsia" w:hAnsiTheme="majorHAnsi" w:cstheme="majorBidi"/>
      <w:b/>
      <w:bCs/>
      <w:color w:val="4472C4" w:themeColor="accent1"/>
      <w:sz w:val="26"/>
      <w:szCs w:val="26"/>
      <w:lang w:val="ca-ES"/>
    </w:rPr>
  </w:style>
  <w:style w:type="paragraph" w:styleId="Ttol3">
    <w:name w:val="heading 3"/>
    <w:basedOn w:val="Normal"/>
    <w:next w:val="Normal"/>
    <w:link w:val="Ttol3Car"/>
    <w:uiPriority w:val="9"/>
    <w:unhideWhenUsed/>
    <w:qFormat/>
    <w:rsid w:val="006F337A"/>
    <w:pPr>
      <w:keepNext/>
      <w:keepLines/>
      <w:spacing w:before="200" w:line="276" w:lineRule="auto"/>
      <w:outlineLvl w:val="2"/>
    </w:pPr>
    <w:rPr>
      <w:rFonts w:asciiTheme="majorHAnsi" w:eastAsiaTheme="majorEastAsia" w:hAnsiTheme="majorHAnsi" w:cstheme="majorBidi"/>
      <w:b/>
      <w:bCs/>
      <w:color w:val="4472C4" w:themeColor="accent1"/>
      <w:sz w:val="22"/>
      <w:szCs w:val="22"/>
      <w:lang w:val="ca-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qFormat/>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table" w:styleId="Taulaambquadrcula">
    <w:name w:val="Table Grid"/>
    <w:basedOn w:val="Taulanormal"/>
    <w:uiPriority w:val="59"/>
    <w:rsid w:val="00A66BA2"/>
    <w:rPr>
      <w:sz w:val="22"/>
      <w:szCs w:val="22"/>
      <w:lang w:val="ca-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alera">
    <w:name w:val="header"/>
    <w:basedOn w:val="Normal"/>
    <w:link w:val="CapaleraCar"/>
    <w:uiPriority w:val="99"/>
    <w:unhideWhenUsed/>
    <w:rsid w:val="006F337A"/>
    <w:pPr>
      <w:tabs>
        <w:tab w:val="center" w:pos="4419"/>
        <w:tab w:val="right" w:pos="8838"/>
      </w:tabs>
    </w:pPr>
  </w:style>
  <w:style w:type="character" w:customStyle="1" w:styleId="CapaleraCar">
    <w:name w:val="Capçalera Car"/>
    <w:basedOn w:val="Tipusdelletraperdefectedelpargraf"/>
    <w:link w:val="Capalera"/>
    <w:uiPriority w:val="99"/>
    <w:rsid w:val="006F337A"/>
  </w:style>
  <w:style w:type="paragraph" w:styleId="Peu">
    <w:name w:val="footer"/>
    <w:basedOn w:val="Normal"/>
    <w:link w:val="PeuCar"/>
    <w:uiPriority w:val="99"/>
    <w:unhideWhenUsed/>
    <w:rsid w:val="006F337A"/>
    <w:pPr>
      <w:tabs>
        <w:tab w:val="center" w:pos="4419"/>
        <w:tab w:val="right" w:pos="8838"/>
      </w:tabs>
    </w:pPr>
  </w:style>
  <w:style w:type="character" w:customStyle="1" w:styleId="PeuCar">
    <w:name w:val="Peu Car"/>
    <w:basedOn w:val="Tipusdelletraperdefectedelpargraf"/>
    <w:link w:val="Peu"/>
    <w:uiPriority w:val="99"/>
    <w:rsid w:val="006F337A"/>
  </w:style>
  <w:style w:type="character" w:customStyle="1" w:styleId="Ttol2Car">
    <w:name w:val="Títol 2 Car"/>
    <w:basedOn w:val="Tipusdelletraperdefectedelpargraf"/>
    <w:link w:val="Ttol2"/>
    <w:uiPriority w:val="9"/>
    <w:rsid w:val="006F337A"/>
    <w:rPr>
      <w:rFonts w:asciiTheme="majorHAnsi" w:eastAsiaTheme="majorEastAsia" w:hAnsiTheme="majorHAnsi" w:cstheme="majorBidi"/>
      <w:b/>
      <w:bCs/>
      <w:color w:val="4472C4" w:themeColor="accent1"/>
      <w:sz w:val="26"/>
      <w:szCs w:val="26"/>
      <w:lang w:val="ca-ES"/>
    </w:rPr>
  </w:style>
  <w:style w:type="character" w:customStyle="1" w:styleId="Ttol3Car">
    <w:name w:val="Títol 3 Car"/>
    <w:basedOn w:val="Tipusdelletraperdefectedelpargraf"/>
    <w:link w:val="Ttol3"/>
    <w:uiPriority w:val="9"/>
    <w:rsid w:val="006F337A"/>
    <w:rPr>
      <w:rFonts w:asciiTheme="majorHAnsi" w:eastAsiaTheme="majorEastAsia" w:hAnsiTheme="majorHAnsi" w:cstheme="majorBidi"/>
      <w:b/>
      <w:bCs/>
      <w:color w:val="4472C4" w:themeColor="accent1"/>
      <w:sz w:val="22"/>
      <w:szCs w:val="22"/>
      <w:lang w:val="ca-ES"/>
    </w:rPr>
  </w:style>
  <w:style w:type="paragraph" w:styleId="NormalWeb">
    <w:name w:val="Normal (Web)"/>
    <w:basedOn w:val="Normal"/>
    <w:uiPriority w:val="99"/>
    <w:unhideWhenUsed/>
    <w:rsid w:val="006F337A"/>
    <w:pPr>
      <w:spacing w:before="100" w:beforeAutospacing="1" w:after="100" w:afterAutospacing="1"/>
    </w:pPr>
    <w:rPr>
      <w:rFonts w:ascii="Times New Roman" w:eastAsia="Times New Roman" w:hAnsi="Times New Roman" w:cs="Times New Roman"/>
    </w:rPr>
  </w:style>
  <w:style w:type="paragraph" w:styleId="Pargrafdellista">
    <w:name w:val="List Paragraph"/>
    <w:basedOn w:val="Normal"/>
    <w:uiPriority w:val="34"/>
    <w:qFormat/>
    <w:rsid w:val="006833A7"/>
    <w:pPr>
      <w:spacing w:after="200" w:line="276" w:lineRule="auto"/>
      <w:ind w:left="720"/>
      <w:contextualSpacing/>
    </w:pPr>
    <w:rPr>
      <w:sz w:val="22"/>
      <w:szCs w:val="22"/>
      <w:lang w:val="ca-ES"/>
    </w:rPr>
  </w:style>
  <w:style w:type="paragraph" w:styleId="Llegenda">
    <w:name w:val="caption"/>
    <w:basedOn w:val="Normal"/>
    <w:next w:val="Normal"/>
    <w:uiPriority w:val="35"/>
    <w:unhideWhenUsed/>
    <w:qFormat/>
    <w:rsid w:val="006833A7"/>
    <w:pPr>
      <w:spacing w:after="200"/>
    </w:pPr>
    <w:rPr>
      <w:rFonts w:ascii="Calibri" w:eastAsia="Calibri" w:hAnsi="Calibri" w:cs="Times New Roman"/>
      <w:b/>
      <w:bCs/>
      <w:color w:val="4F81BD"/>
      <w:sz w:val="18"/>
      <w:szCs w:val="18"/>
      <w:lang w:val="en-GB"/>
    </w:rPr>
  </w:style>
  <w:style w:type="character" w:styleId="Refernciadecomentari">
    <w:name w:val="annotation reference"/>
    <w:basedOn w:val="Tipusdelletraperdefectedelpargraf"/>
    <w:uiPriority w:val="99"/>
    <w:semiHidden/>
    <w:unhideWhenUsed/>
    <w:rsid w:val="00FC3FF1"/>
    <w:rPr>
      <w:sz w:val="16"/>
      <w:szCs w:val="16"/>
    </w:rPr>
  </w:style>
  <w:style w:type="paragraph" w:styleId="Textdecomentari">
    <w:name w:val="annotation text"/>
    <w:basedOn w:val="Normal"/>
    <w:link w:val="TextdecomentariCar"/>
    <w:uiPriority w:val="99"/>
    <w:semiHidden/>
    <w:unhideWhenUsed/>
    <w:rsid w:val="00FC3FF1"/>
    <w:rPr>
      <w:sz w:val="20"/>
      <w:szCs w:val="20"/>
    </w:rPr>
  </w:style>
  <w:style w:type="character" w:customStyle="1" w:styleId="TextdecomentariCar">
    <w:name w:val="Text de comentari Car"/>
    <w:basedOn w:val="Tipusdelletraperdefectedelpargraf"/>
    <w:link w:val="Textdecomentari"/>
    <w:uiPriority w:val="99"/>
    <w:semiHidden/>
    <w:rsid w:val="00FC3FF1"/>
    <w:rPr>
      <w:sz w:val="20"/>
      <w:szCs w:val="20"/>
    </w:rPr>
  </w:style>
  <w:style w:type="paragraph" w:styleId="Temadelcomentari">
    <w:name w:val="annotation subject"/>
    <w:basedOn w:val="Textdecomentari"/>
    <w:next w:val="Textdecomentari"/>
    <w:link w:val="TemadelcomentariCar"/>
    <w:uiPriority w:val="99"/>
    <w:semiHidden/>
    <w:unhideWhenUsed/>
    <w:rsid w:val="00FC3FF1"/>
    <w:rPr>
      <w:b/>
      <w:bCs/>
    </w:rPr>
  </w:style>
  <w:style w:type="character" w:customStyle="1" w:styleId="TemadelcomentariCar">
    <w:name w:val="Tema del comentari Car"/>
    <w:basedOn w:val="TextdecomentariCar"/>
    <w:link w:val="Temadelcomentari"/>
    <w:uiPriority w:val="99"/>
    <w:semiHidden/>
    <w:rsid w:val="00FC3FF1"/>
    <w:rPr>
      <w:b/>
      <w:bCs/>
      <w:sz w:val="20"/>
      <w:szCs w:val="20"/>
    </w:rPr>
  </w:style>
  <w:style w:type="paragraph" w:styleId="Textdeglobus">
    <w:name w:val="Balloon Text"/>
    <w:basedOn w:val="Normal"/>
    <w:link w:val="TextdeglobusCar"/>
    <w:uiPriority w:val="99"/>
    <w:semiHidden/>
    <w:unhideWhenUsed/>
    <w:rsid w:val="00FC3FF1"/>
    <w:rPr>
      <w:rFonts w:ascii="Segoe UI" w:hAnsi="Segoe UI" w:cs="Segoe UI"/>
      <w:sz w:val="18"/>
      <w:szCs w:val="18"/>
    </w:rPr>
  </w:style>
  <w:style w:type="character" w:customStyle="1" w:styleId="TextdeglobusCar">
    <w:name w:val="Text de globus Car"/>
    <w:basedOn w:val="Tipusdelletraperdefectedelpargraf"/>
    <w:link w:val="Textdeglobus"/>
    <w:uiPriority w:val="99"/>
    <w:semiHidden/>
    <w:rsid w:val="00FC3FF1"/>
    <w:rPr>
      <w:rFonts w:ascii="Segoe UI" w:hAnsi="Segoe UI" w:cs="Segoe UI"/>
      <w:sz w:val="18"/>
      <w:szCs w:val="18"/>
    </w:rPr>
  </w:style>
  <w:style w:type="character" w:styleId="Nmerodepgina">
    <w:name w:val="page number"/>
    <w:basedOn w:val="Tipusdelletraperdefectedelpargraf"/>
    <w:uiPriority w:val="99"/>
    <w:semiHidden/>
    <w:unhideWhenUsed/>
    <w:rsid w:val="00EF75C7"/>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microsoft.com/office/2016/09/relationships/commentsIds" Target="commentsIds.xml"/><Relationship Id="rId3" Type="http://schemas.openxmlformats.org/officeDocument/2006/relationships/settings" Target="settings.xml"/><Relationship Id="rId7" Type="http://schemas.openxmlformats.org/officeDocument/2006/relationships/header" Target="header1.xml"/><Relationship Id="rId12" Type="http://schemas.microsoft.com/office/2018/08/relationships/commentsExtensible" Target="commentsExtensi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commentsExtended" Target="commentsExtended.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microsoft.com/office/2011/relationships/people" Target="peop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23</Pages>
  <Words>5402</Words>
  <Characters>30796</Characters>
  <Application>Microsoft Office Word</Application>
  <DocSecurity>0</DocSecurity>
  <Lines>256</Lines>
  <Paragraphs>72</Paragraphs>
  <ScaleCrop>false</ScaleCrop>
  <HeadingPairs>
    <vt:vector size="2" baseType="variant">
      <vt:variant>
        <vt:lpstr>Título</vt:lpstr>
      </vt:variant>
      <vt:variant>
        <vt:i4>1</vt:i4>
      </vt:variant>
    </vt:vector>
  </HeadingPairs>
  <TitlesOfParts>
    <vt:vector size="1" baseType="lpstr">
      <vt:lpstr/>
    </vt:vector>
  </TitlesOfParts>
  <Company>ICS</Company>
  <LinksUpToDate>false</LinksUpToDate>
  <CharactersWithSpaces>36126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 Miravitlles</dc:creator>
  <cp:lastModifiedBy>35039038x</cp:lastModifiedBy>
  <cp:revision>2</cp:revision>
  <dcterms:created xsi:type="dcterms:W3CDTF">2022-01-26T08:46:00Z</dcterms:created>
  <dcterms:modified xsi:type="dcterms:W3CDTF">2022-01-26T08:46:00Z</dcterms:modified>
</cp:coreProperties>
</file>