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A668" w14:textId="77777777" w:rsidR="00F3015A" w:rsidRPr="0028555B" w:rsidRDefault="00F3015A" w:rsidP="00F3015A">
      <w:pPr>
        <w:pStyle w:val="tabfignote"/>
        <w:jc w:val="center"/>
        <w:rPr>
          <w:b/>
          <w:sz w:val="30"/>
          <w:szCs w:val="30"/>
        </w:rPr>
      </w:pPr>
      <w:r w:rsidRPr="00193579">
        <w:rPr>
          <w:b/>
          <w:sz w:val="30"/>
          <w:szCs w:val="30"/>
        </w:rPr>
        <w:t>SUPPLEMENTARY MATERIAL</w:t>
      </w:r>
    </w:p>
    <w:p w14:paraId="7FA4528E" w14:textId="09C4C8CC" w:rsidR="006F039E" w:rsidRPr="003E7FF9" w:rsidRDefault="006F039E" w:rsidP="006F039E">
      <w:pPr>
        <w:pStyle w:val="TableTitle"/>
        <w:numPr>
          <w:ilvl w:val="0"/>
          <w:numId w:val="0"/>
        </w:numPr>
        <w:ind w:left="1440" w:right="-360" w:hanging="1440"/>
        <w:rPr>
          <w:sz w:val="20"/>
        </w:rPr>
      </w:pPr>
      <w:r>
        <w:rPr>
          <w:sz w:val="20"/>
        </w:rPr>
        <w:t xml:space="preserve">Supplementary </w:t>
      </w:r>
      <w:r w:rsidR="00F3015A" w:rsidRPr="003E7FF9">
        <w:rPr>
          <w:sz w:val="20"/>
        </w:rPr>
        <w:t>Table 1.</w:t>
      </w:r>
      <w:r w:rsidR="003E7FF9" w:rsidRPr="003E7FF9">
        <w:rPr>
          <w:sz w:val="20"/>
        </w:rPr>
        <w:t xml:space="preserve"> </w:t>
      </w:r>
      <w:r w:rsidR="00F3015A" w:rsidRPr="003E7FF9">
        <w:rPr>
          <w:sz w:val="20"/>
        </w:rPr>
        <w:t>Treatment Attributes and Features Included in the Survey</w:t>
      </w:r>
    </w:p>
    <w:p w14:paraId="1670F230" w14:textId="77777777" w:rsidR="00F3015A" w:rsidRPr="001A0CF3" w:rsidRDefault="00F3015A" w:rsidP="00F3015A">
      <w:pPr>
        <w:pStyle w:val="Tabletext"/>
        <w:rPr>
          <w:b/>
        </w:rPr>
      </w:pPr>
      <w:r w:rsidRPr="001A0CF3">
        <w:rPr>
          <w:b/>
        </w:rPr>
        <w:t xml:space="preserve">A. Attributes and Levels for the Discrete-Choice Experiment Questions </w:t>
      </w:r>
    </w:p>
    <w:tbl>
      <w:tblPr>
        <w:tblStyle w:val="TableGrid"/>
        <w:tblW w:w="5000" w:type="pct"/>
        <w:tblBorders>
          <w:top w:val="single" w:sz="12" w:space="0" w:color="000000"/>
          <w:left w:val="none" w:sz="0" w:space="0" w:color="auto"/>
          <w:bottom w:val="single" w:sz="12" w:space="0" w:color="000000"/>
          <w:right w:val="none" w:sz="0" w:space="0" w:color="auto"/>
          <w:insideH w:val="single" w:sz="2" w:space="0" w:color="DDDDDD"/>
          <w:insideV w:val="none" w:sz="0" w:space="0" w:color="auto"/>
        </w:tblBorders>
        <w:tblLook w:val="04A0" w:firstRow="1" w:lastRow="0" w:firstColumn="1" w:lastColumn="0" w:noHBand="0" w:noVBand="1"/>
      </w:tblPr>
      <w:tblGrid>
        <w:gridCol w:w="3011"/>
        <w:gridCol w:w="7789"/>
      </w:tblGrid>
      <w:tr w:rsidR="00F3015A" w:rsidRPr="00DE09A6" w14:paraId="1CE2B0CF" w14:textId="77777777" w:rsidTr="003F7F52">
        <w:trPr>
          <w:cantSplit/>
          <w:tblHeader/>
        </w:trPr>
        <w:tc>
          <w:tcPr>
            <w:tcW w:w="1394" w:type="pct"/>
            <w:tcBorders>
              <w:top w:val="single" w:sz="12" w:space="0" w:color="000000"/>
              <w:bottom w:val="single" w:sz="2" w:space="0" w:color="DDDDDD"/>
            </w:tcBorders>
            <w:shd w:val="clear" w:color="auto" w:fill="E6E6E6"/>
            <w:vAlign w:val="bottom"/>
          </w:tcPr>
          <w:p w14:paraId="0607D2E3" w14:textId="77777777" w:rsidR="00F3015A" w:rsidRPr="006F039E" w:rsidRDefault="00F3015A" w:rsidP="003D36E1">
            <w:pPr>
              <w:pStyle w:val="Tableheadings"/>
              <w:jc w:val="left"/>
            </w:pPr>
            <w:r w:rsidRPr="006F039E">
              <w:t>Attribute</w:t>
            </w:r>
          </w:p>
        </w:tc>
        <w:tc>
          <w:tcPr>
            <w:tcW w:w="3606" w:type="pct"/>
            <w:tcBorders>
              <w:top w:val="single" w:sz="12" w:space="0" w:color="000000"/>
              <w:bottom w:val="single" w:sz="2" w:space="0" w:color="DDDDDD"/>
            </w:tcBorders>
            <w:shd w:val="clear" w:color="auto" w:fill="E6E6E6"/>
            <w:vAlign w:val="bottom"/>
          </w:tcPr>
          <w:p w14:paraId="753211D3" w14:textId="77777777" w:rsidR="00F3015A" w:rsidRPr="006F039E" w:rsidRDefault="00F3015A" w:rsidP="003D36E1">
            <w:pPr>
              <w:pStyle w:val="Tableheadings"/>
              <w:jc w:val="left"/>
            </w:pPr>
            <w:r w:rsidRPr="006F039E">
              <w:t xml:space="preserve">Level Description </w:t>
            </w:r>
          </w:p>
        </w:tc>
      </w:tr>
      <w:tr w:rsidR="00F3015A" w:rsidRPr="00DE09A6" w14:paraId="154F0977" w14:textId="77777777" w:rsidTr="003F7F52">
        <w:trPr>
          <w:cantSplit/>
        </w:trPr>
        <w:tc>
          <w:tcPr>
            <w:tcW w:w="1394" w:type="pct"/>
            <w:vMerge w:val="restart"/>
            <w:tcBorders>
              <w:top w:val="single" w:sz="2" w:space="0" w:color="DDDDDD"/>
            </w:tcBorders>
            <w:shd w:val="clear" w:color="auto" w:fill="auto"/>
          </w:tcPr>
          <w:p w14:paraId="3FA5B111" w14:textId="77777777" w:rsidR="00F3015A" w:rsidRPr="006F039E" w:rsidRDefault="00F3015A" w:rsidP="006F039E">
            <w:pPr>
              <w:pStyle w:val="Tabletext"/>
              <w:spacing w:line="240" w:lineRule="auto"/>
            </w:pPr>
            <w:r w:rsidRPr="006F039E">
              <w:t>Time until [your/the] multiple myeloma comes back or starts advancing again</w:t>
            </w:r>
          </w:p>
        </w:tc>
        <w:tc>
          <w:tcPr>
            <w:tcW w:w="3606" w:type="pct"/>
            <w:tcBorders>
              <w:top w:val="single" w:sz="2" w:space="0" w:color="DDDDDD"/>
            </w:tcBorders>
            <w:vAlign w:val="center"/>
          </w:tcPr>
          <w:p w14:paraId="5286B809" w14:textId="77777777" w:rsidR="00F3015A" w:rsidRPr="006F039E" w:rsidRDefault="00F3015A" w:rsidP="006F039E">
            <w:pPr>
              <w:pStyle w:val="Tabletext"/>
              <w:spacing w:line="240" w:lineRule="auto"/>
            </w:pPr>
            <w:r w:rsidRPr="006F039E">
              <w:t>6 months</w:t>
            </w:r>
          </w:p>
        </w:tc>
      </w:tr>
      <w:tr w:rsidR="00F3015A" w:rsidRPr="00DE09A6" w14:paraId="30EB6EB0" w14:textId="77777777" w:rsidTr="003F7F52">
        <w:trPr>
          <w:cantSplit/>
        </w:trPr>
        <w:tc>
          <w:tcPr>
            <w:tcW w:w="1394" w:type="pct"/>
            <w:vMerge/>
            <w:shd w:val="clear" w:color="auto" w:fill="auto"/>
          </w:tcPr>
          <w:p w14:paraId="142AC5B1" w14:textId="77777777" w:rsidR="00F3015A" w:rsidRPr="006F039E" w:rsidRDefault="00F3015A" w:rsidP="006F039E">
            <w:pPr>
              <w:pStyle w:val="Tabletext"/>
              <w:spacing w:line="240" w:lineRule="auto"/>
            </w:pPr>
          </w:p>
        </w:tc>
        <w:tc>
          <w:tcPr>
            <w:tcW w:w="3606" w:type="pct"/>
            <w:vAlign w:val="center"/>
          </w:tcPr>
          <w:p w14:paraId="47EED843" w14:textId="77777777" w:rsidR="00F3015A" w:rsidRPr="006F039E" w:rsidRDefault="00F3015A" w:rsidP="006F039E">
            <w:pPr>
              <w:pStyle w:val="Tabletext"/>
              <w:spacing w:line="240" w:lineRule="auto"/>
            </w:pPr>
            <w:r w:rsidRPr="006F039E">
              <w:t>12 months (1 year)</w:t>
            </w:r>
          </w:p>
        </w:tc>
      </w:tr>
      <w:tr w:rsidR="00F3015A" w:rsidRPr="00DE09A6" w14:paraId="7B555A94" w14:textId="77777777" w:rsidTr="003F7F52">
        <w:trPr>
          <w:cantSplit/>
        </w:trPr>
        <w:tc>
          <w:tcPr>
            <w:tcW w:w="1394" w:type="pct"/>
            <w:vMerge/>
            <w:shd w:val="clear" w:color="auto" w:fill="auto"/>
          </w:tcPr>
          <w:p w14:paraId="53022270" w14:textId="77777777" w:rsidR="00F3015A" w:rsidRPr="006F039E" w:rsidRDefault="00F3015A" w:rsidP="006F039E">
            <w:pPr>
              <w:pStyle w:val="Tabletext"/>
              <w:spacing w:line="240" w:lineRule="auto"/>
            </w:pPr>
          </w:p>
        </w:tc>
        <w:tc>
          <w:tcPr>
            <w:tcW w:w="3606" w:type="pct"/>
            <w:vAlign w:val="center"/>
          </w:tcPr>
          <w:p w14:paraId="13F00DFD" w14:textId="77777777" w:rsidR="00F3015A" w:rsidRPr="006F039E" w:rsidRDefault="00F3015A" w:rsidP="006F039E">
            <w:pPr>
              <w:pStyle w:val="Tabletext"/>
              <w:spacing w:line="240" w:lineRule="auto"/>
            </w:pPr>
            <w:r w:rsidRPr="006F039E">
              <w:t>24 months (2 years)</w:t>
            </w:r>
          </w:p>
        </w:tc>
      </w:tr>
      <w:tr w:rsidR="00F3015A" w:rsidRPr="00DE09A6" w14:paraId="7AA58EA0" w14:textId="77777777" w:rsidTr="003F7F52">
        <w:trPr>
          <w:cantSplit/>
        </w:trPr>
        <w:tc>
          <w:tcPr>
            <w:tcW w:w="1394" w:type="pct"/>
            <w:vMerge w:val="restart"/>
            <w:shd w:val="clear" w:color="auto" w:fill="auto"/>
          </w:tcPr>
          <w:p w14:paraId="1480DE66" w14:textId="77777777" w:rsidR="00F3015A" w:rsidRPr="006F039E" w:rsidRDefault="00F3015A" w:rsidP="006F039E">
            <w:pPr>
              <w:pStyle w:val="Tabletext"/>
              <w:spacing w:line="240" w:lineRule="auto"/>
            </w:pPr>
            <w:r w:rsidRPr="006F039E">
              <w:t>Nerve damage</w:t>
            </w:r>
          </w:p>
        </w:tc>
        <w:tc>
          <w:tcPr>
            <w:tcW w:w="3606" w:type="pct"/>
            <w:vAlign w:val="bottom"/>
          </w:tcPr>
          <w:p w14:paraId="2EE0A1A2" w14:textId="77777777" w:rsidR="00F3015A" w:rsidRPr="006F039E" w:rsidRDefault="00F3015A" w:rsidP="006F039E">
            <w:pPr>
              <w:pStyle w:val="Tabletext"/>
              <w:spacing w:line="240" w:lineRule="auto"/>
            </w:pPr>
            <w:r w:rsidRPr="006F039E">
              <w:t>None</w:t>
            </w:r>
          </w:p>
        </w:tc>
      </w:tr>
      <w:tr w:rsidR="00F3015A" w:rsidRPr="00DE09A6" w14:paraId="4C967F2C" w14:textId="77777777" w:rsidTr="003F7F52">
        <w:trPr>
          <w:cantSplit/>
        </w:trPr>
        <w:tc>
          <w:tcPr>
            <w:tcW w:w="1394" w:type="pct"/>
            <w:vMerge/>
            <w:shd w:val="clear" w:color="auto" w:fill="auto"/>
          </w:tcPr>
          <w:p w14:paraId="3C5D9AF8" w14:textId="77777777" w:rsidR="00F3015A" w:rsidRPr="006F039E" w:rsidRDefault="00F3015A" w:rsidP="006F039E">
            <w:pPr>
              <w:pStyle w:val="Tabletext"/>
              <w:spacing w:line="240" w:lineRule="auto"/>
            </w:pPr>
          </w:p>
        </w:tc>
        <w:tc>
          <w:tcPr>
            <w:tcW w:w="3606" w:type="pct"/>
            <w:vAlign w:val="bottom"/>
          </w:tcPr>
          <w:p w14:paraId="6E0EE5E5" w14:textId="77777777" w:rsidR="00F3015A" w:rsidRPr="006F039E" w:rsidRDefault="00F3015A" w:rsidP="006F039E">
            <w:pPr>
              <w:pStyle w:val="Tabletext"/>
              <w:spacing w:line="240" w:lineRule="auto"/>
            </w:pPr>
            <w:r w:rsidRPr="006F039E">
              <w:t>Mild to moderate: You/the patient will experience muscle weakness that comes and goes. Your/the patient’s normal reflexes will not work as well. You/the patient will feel a slight tingling or burning in the hands, legs, arms, and feet, and may lose sensitivity on the skin. Even with these problems, you/the patient will still be able to do normal daily activities like dressing and bathing.</w:t>
            </w:r>
          </w:p>
        </w:tc>
      </w:tr>
      <w:tr w:rsidR="00F3015A" w:rsidRPr="00DE09A6" w14:paraId="126A36DB" w14:textId="77777777" w:rsidTr="003F7F52">
        <w:trPr>
          <w:cantSplit/>
        </w:trPr>
        <w:tc>
          <w:tcPr>
            <w:tcW w:w="1394" w:type="pct"/>
            <w:vMerge/>
            <w:shd w:val="clear" w:color="auto" w:fill="auto"/>
          </w:tcPr>
          <w:p w14:paraId="449993ED" w14:textId="77777777" w:rsidR="00F3015A" w:rsidRPr="006F039E" w:rsidRDefault="00F3015A" w:rsidP="006F039E">
            <w:pPr>
              <w:pStyle w:val="Tabletext"/>
              <w:spacing w:line="240" w:lineRule="auto"/>
            </w:pPr>
          </w:p>
        </w:tc>
        <w:tc>
          <w:tcPr>
            <w:tcW w:w="3606" w:type="pct"/>
            <w:vAlign w:val="bottom"/>
          </w:tcPr>
          <w:p w14:paraId="52CCB5E0" w14:textId="77777777" w:rsidR="00F3015A" w:rsidRPr="006F039E" w:rsidRDefault="00F3015A" w:rsidP="006F039E">
            <w:pPr>
              <w:pStyle w:val="Tabletext"/>
              <w:spacing w:line="240" w:lineRule="auto"/>
            </w:pPr>
            <w:r w:rsidRPr="006F039E">
              <w:t xml:space="preserve">Severe: Your/the patient’s muscles will feel very weak most of the time. You/the patient may stumble or </w:t>
            </w:r>
            <w:proofErr w:type="gramStart"/>
            <w:r w:rsidRPr="006F039E">
              <w:t>fall down</w:t>
            </w:r>
            <w:proofErr w:type="gramEnd"/>
            <w:r w:rsidRPr="006F039E">
              <w:t xml:space="preserve"> more frequently because your/their reflexes do not work normally. You/the patient will feel tingling, burning, or prickling in the hands and feet, numbness, muscle weakness, sensitivity to touch, or stabbing pains. These problems may be so severe that they would interfere with your/the patient’s ability to do normal daily activities.</w:t>
            </w:r>
          </w:p>
        </w:tc>
      </w:tr>
      <w:tr w:rsidR="00F3015A" w:rsidRPr="00DE09A6" w14:paraId="7E748D77" w14:textId="77777777" w:rsidTr="003F7F52">
        <w:trPr>
          <w:cantSplit/>
        </w:trPr>
        <w:tc>
          <w:tcPr>
            <w:tcW w:w="1394" w:type="pct"/>
            <w:vMerge w:val="restart"/>
            <w:shd w:val="clear" w:color="auto" w:fill="auto"/>
          </w:tcPr>
          <w:p w14:paraId="0FC7394B" w14:textId="77777777" w:rsidR="00F3015A" w:rsidRPr="006F039E" w:rsidRDefault="00F3015A" w:rsidP="006F039E">
            <w:pPr>
              <w:pStyle w:val="Tabletext"/>
              <w:spacing w:line="240" w:lineRule="auto"/>
            </w:pPr>
            <w:r w:rsidRPr="006F039E">
              <w:t>Stomach problems (GI problems)</w:t>
            </w:r>
          </w:p>
        </w:tc>
        <w:tc>
          <w:tcPr>
            <w:tcW w:w="3606" w:type="pct"/>
            <w:vAlign w:val="center"/>
          </w:tcPr>
          <w:p w14:paraId="68ED9B88" w14:textId="77777777" w:rsidR="00F3015A" w:rsidRPr="006F039E" w:rsidRDefault="00F3015A" w:rsidP="006F039E">
            <w:pPr>
              <w:pStyle w:val="Tabletext"/>
              <w:spacing w:line="240" w:lineRule="auto"/>
            </w:pPr>
            <w:r w:rsidRPr="006F039E">
              <w:t>None</w:t>
            </w:r>
          </w:p>
        </w:tc>
      </w:tr>
      <w:tr w:rsidR="00F3015A" w:rsidRPr="00DE09A6" w14:paraId="4E367F6B" w14:textId="77777777" w:rsidTr="003F7F52">
        <w:trPr>
          <w:cantSplit/>
        </w:trPr>
        <w:tc>
          <w:tcPr>
            <w:tcW w:w="1394" w:type="pct"/>
            <w:vMerge/>
            <w:shd w:val="clear" w:color="auto" w:fill="auto"/>
          </w:tcPr>
          <w:p w14:paraId="5863FEFF" w14:textId="77777777" w:rsidR="00F3015A" w:rsidRPr="006F039E" w:rsidRDefault="00F3015A" w:rsidP="006F039E">
            <w:pPr>
              <w:pStyle w:val="Tabletext"/>
              <w:spacing w:line="240" w:lineRule="auto"/>
            </w:pPr>
          </w:p>
        </w:tc>
        <w:tc>
          <w:tcPr>
            <w:tcW w:w="3606" w:type="pct"/>
            <w:vAlign w:val="center"/>
          </w:tcPr>
          <w:p w14:paraId="0F3A64B7" w14:textId="77777777" w:rsidR="00F3015A" w:rsidRPr="006F039E" w:rsidRDefault="00F3015A" w:rsidP="006F039E">
            <w:pPr>
              <w:pStyle w:val="Tabletext"/>
              <w:spacing w:line="240" w:lineRule="auto"/>
            </w:pPr>
            <w:r w:rsidRPr="006F039E">
              <w:t>Nausea and vomiting</w:t>
            </w:r>
          </w:p>
        </w:tc>
      </w:tr>
      <w:tr w:rsidR="00F3015A" w:rsidRPr="00DE09A6" w14:paraId="6F5FD668" w14:textId="77777777" w:rsidTr="003F7F52">
        <w:trPr>
          <w:cantSplit/>
        </w:trPr>
        <w:tc>
          <w:tcPr>
            <w:tcW w:w="1394" w:type="pct"/>
            <w:vMerge/>
            <w:shd w:val="clear" w:color="auto" w:fill="auto"/>
          </w:tcPr>
          <w:p w14:paraId="1BC31BE4" w14:textId="77777777" w:rsidR="00F3015A" w:rsidRPr="006F039E" w:rsidRDefault="00F3015A" w:rsidP="006F039E">
            <w:pPr>
              <w:pStyle w:val="Tabletext"/>
              <w:spacing w:line="240" w:lineRule="auto"/>
            </w:pPr>
          </w:p>
        </w:tc>
        <w:tc>
          <w:tcPr>
            <w:tcW w:w="3606" w:type="pct"/>
            <w:vAlign w:val="center"/>
          </w:tcPr>
          <w:p w14:paraId="2711C283" w14:textId="77777777" w:rsidR="00F3015A" w:rsidRPr="006F039E" w:rsidRDefault="00F3015A" w:rsidP="006F039E">
            <w:pPr>
              <w:pStyle w:val="Tabletext"/>
              <w:spacing w:line="240" w:lineRule="auto"/>
            </w:pPr>
            <w:r w:rsidRPr="006F039E">
              <w:t>Diarrhea</w:t>
            </w:r>
          </w:p>
        </w:tc>
      </w:tr>
      <w:tr w:rsidR="00F3015A" w:rsidRPr="00DE09A6" w14:paraId="170B42CE" w14:textId="77777777" w:rsidTr="003F7F52">
        <w:trPr>
          <w:cantSplit/>
        </w:trPr>
        <w:tc>
          <w:tcPr>
            <w:tcW w:w="1394" w:type="pct"/>
            <w:vMerge/>
            <w:shd w:val="clear" w:color="auto" w:fill="auto"/>
          </w:tcPr>
          <w:p w14:paraId="4AB1442C" w14:textId="77777777" w:rsidR="00F3015A" w:rsidRPr="006F039E" w:rsidRDefault="00F3015A" w:rsidP="006F039E">
            <w:pPr>
              <w:pStyle w:val="Tabletext"/>
              <w:spacing w:line="240" w:lineRule="auto"/>
            </w:pPr>
          </w:p>
        </w:tc>
        <w:tc>
          <w:tcPr>
            <w:tcW w:w="3606" w:type="pct"/>
            <w:vAlign w:val="center"/>
          </w:tcPr>
          <w:p w14:paraId="0D913783" w14:textId="77777777" w:rsidR="00F3015A" w:rsidRPr="006F039E" w:rsidRDefault="00F3015A" w:rsidP="006F039E">
            <w:pPr>
              <w:pStyle w:val="Tabletext"/>
              <w:spacing w:line="240" w:lineRule="auto"/>
            </w:pPr>
            <w:r w:rsidRPr="006F039E">
              <w:t>Constipation</w:t>
            </w:r>
          </w:p>
        </w:tc>
      </w:tr>
      <w:tr w:rsidR="00F3015A" w:rsidRPr="00DE09A6" w14:paraId="2232A00B" w14:textId="77777777" w:rsidTr="003F7F52">
        <w:trPr>
          <w:cantSplit/>
        </w:trPr>
        <w:tc>
          <w:tcPr>
            <w:tcW w:w="1394" w:type="pct"/>
            <w:vMerge w:val="restart"/>
            <w:shd w:val="clear" w:color="auto" w:fill="auto"/>
          </w:tcPr>
          <w:p w14:paraId="260EA4BD" w14:textId="77777777" w:rsidR="00F3015A" w:rsidRPr="006F039E" w:rsidRDefault="00F3015A" w:rsidP="006F039E">
            <w:pPr>
              <w:pStyle w:val="Tabletext"/>
              <w:spacing w:line="240" w:lineRule="auto"/>
            </w:pPr>
            <w:r w:rsidRPr="006F039E">
              <w:t xml:space="preserve">Risk of low blood counts </w:t>
            </w:r>
          </w:p>
        </w:tc>
        <w:tc>
          <w:tcPr>
            <w:tcW w:w="3606" w:type="pct"/>
            <w:vAlign w:val="bottom"/>
          </w:tcPr>
          <w:p w14:paraId="1AD2C094" w14:textId="77777777" w:rsidR="00F3015A" w:rsidRPr="006F039E" w:rsidRDefault="00F3015A" w:rsidP="006F039E">
            <w:pPr>
              <w:pStyle w:val="Tabletext"/>
              <w:spacing w:line="240" w:lineRule="auto"/>
            </w:pPr>
            <w:r w:rsidRPr="006F039E">
              <w:t>None</w:t>
            </w:r>
          </w:p>
        </w:tc>
      </w:tr>
      <w:tr w:rsidR="00F3015A" w:rsidRPr="00DE09A6" w14:paraId="2877CE92" w14:textId="77777777" w:rsidTr="003F7F52">
        <w:trPr>
          <w:cantSplit/>
        </w:trPr>
        <w:tc>
          <w:tcPr>
            <w:tcW w:w="1394" w:type="pct"/>
            <w:vMerge/>
            <w:shd w:val="clear" w:color="auto" w:fill="auto"/>
          </w:tcPr>
          <w:p w14:paraId="0B329B45" w14:textId="77777777" w:rsidR="00F3015A" w:rsidRPr="006F039E" w:rsidRDefault="00F3015A" w:rsidP="006F039E">
            <w:pPr>
              <w:pStyle w:val="Tabletext"/>
              <w:spacing w:line="240" w:lineRule="auto"/>
            </w:pPr>
          </w:p>
        </w:tc>
        <w:tc>
          <w:tcPr>
            <w:tcW w:w="3606" w:type="pct"/>
            <w:vAlign w:val="bottom"/>
          </w:tcPr>
          <w:p w14:paraId="2F7B4E4E" w14:textId="77777777" w:rsidR="00F3015A" w:rsidRPr="006F039E" w:rsidRDefault="00F3015A" w:rsidP="006F039E">
            <w:pPr>
              <w:pStyle w:val="Tabletext"/>
              <w:spacing w:line="240" w:lineRule="auto"/>
            </w:pPr>
            <w:r w:rsidRPr="006F039E">
              <w:t>10% (10 out of 100)</w:t>
            </w:r>
          </w:p>
        </w:tc>
      </w:tr>
      <w:tr w:rsidR="00F3015A" w:rsidRPr="00DE09A6" w14:paraId="21B124D5" w14:textId="77777777" w:rsidTr="003F7F52">
        <w:trPr>
          <w:cantSplit/>
        </w:trPr>
        <w:tc>
          <w:tcPr>
            <w:tcW w:w="1394" w:type="pct"/>
            <w:vMerge/>
            <w:shd w:val="clear" w:color="auto" w:fill="auto"/>
          </w:tcPr>
          <w:p w14:paraId="173C6E6A" w14:textId="77777777" w:rsidR="00F3015A" w:rsidRPr="006F039E" w:rsidRDefault="00F3015A" w:rsidP="006F039E">
            <w:pPr>
              <w:pStyle w:val="Tabletext"/>
              <w:spacing w:line="240" w:lineRule="auto"/>
            </w:pPr>
          </w:p>
        </w:tc>
        <w:tc>
          <w:tcPr>
            <w:tcW w:w="3606" w:type="pct"/>
            <w:vAlign w:val="bottom"/>
          </w:tcPr>
          <w:p w14:paraId="046494E7" w14:textId="77777777" w:rsidR="00F3015A" w:rsidRPr="006F039E" w:rsidRDefault="00F3015A" w:rsidP="006F039E">
            <w:pPr>
              <w:pStyle w:val="Tabletext"/>
              <w:spacing w:line="240" w:lineRule="auto"/>
            </w:pPr>
            <w:r w:rsidRPr="006F039E">
              <w:t>25% (25 out of 100)</w:t>
            </w:r>
          </w:p>
        </w:tc>
      </w:tr>
      <w:tr w:rsidR="00F3015A" w:rsidRPr="00DE09A6" w14:paraId="5D011857" w14:textId="77777777" w:rsidTr="003F7F52">
        <w:trPr>
          <w:cantSplit/>
        </w:trPr>
        <w:tc>
          <w:tcPr>
            <w:tcW w:w="1394" w:type="pct"/>
            <w:vMerge/>
            <w:shd w:val="clear" w:color="auto" w:fill="auto"/>
          </w:tcPr>
          <w:p w14:paraId="23DEBAB9" w14:textId="77777777" w:rsidR="00F3015A" w:rsidRPr="006F039E" w:rsidRDefault="00F3015A" w:rsidP="006F039E">
            <w:pPr>
              <w:pStyle w:val="Tabletext"/>
              <w:spacing w:line="240" w:lineRule="auto"/>
            </w:pPr>
          </w:p>
        </w:tc>
        <w:tc>
          <w:tcPr>
            <w:tcW w:w="3606" w:type="pct"/>
            <w:vAlign w:val="bottom"/>
          </w:tcPr>
          <w:p w14:paraId="32AE1FA7" w14:textId="77777777" w:rsidR="00F3015A" w:rsidRPr="006F039E" w:rsidRDefault="00F3015A" w:rsidP="006F039E">
            <w:pPr>
              <w:pStyle w:val="Tabletext"/>
              <w:spacing w:line="240" w:lineRule="auto"/>
            </w:pPr>
            <w:r w:rsidRPr="006F039E">
              <w:t>70% (70 out of 100)</w:t>
            </w:r>
          </w:p>
        </w:tc>
      </w:tr>
      <w:tr w:rsidR="00F3015A" w:rsidRPr="00DE09A6" w14:paraId="7BABCEEC" w14:textId="77777777" w:rsidTr="003F7F52">
        <w:trPr>
          <w:cantSplit/>
        </w:trPr>
        <w:tc>
          <w:tcPr>
            <w:tcW w:w="1394" w:type="pct"/>
            <w:vMerge w:val="restart"/>
            <w:shd w:val="clear" w:color="auto" w:fill="auto"/>
          </w:tcPr>
          <w:p w14:paraId="0E0FB72C" w14:textId="77777777" w:rsidR="00F3015A" w:rsidRPr="006F039E" w:rsidRDefault="00F3015A" w:rsidP="006F039E">
            <w:pPr>
              <w:pStyle w:val="Tabletext"/>
              <w:spacing w:line="240" w:lineRule="auto"/>
            </w:pPr>
            <w:r w:rsidRPr="006F039E">
              <w:t>Risk of heart failure</w:t>
            </w:r>
          </w:p>
        </w:tc>
        <w:tc>
          <w:tcPr>
            <w:tcW w:w="3606" w:type="pct"/>
            <w:vAlign w:val="center"/>
          </w:tcPr>
          <w:p w14:paraId="0BF2C63D" w14:textId="77777777" w:rsidR="00F3015A" w:rsidRPr="006F039E" w:rsidRDefault="00F3015A" w:rsidP="006F039E">
            <w:pPr>
              <w:pStyle w:val="Tabletext"/>
              <w:spacing w:line="240" w:lineRule="auto"/>
            </w:pPr>
            <w:r w:rsidRPr="006F039E">
              <w:t>None</w:t>
            </w:r>
          </w:p>
        </w:tc>
      </w:tr>
      <w:tr w:rsidR="00F3015A" w:rsidRPr="00DE09A6" w14:paraId="154508AC" w14:textId="77777777" w:rsidTr="003F7F52">
        <w:trPr>
          <w:cantSplit/>
        </w:trPr>
        <w:tc>
          <w:tcPr>
            <w:tcW w:w="1394" w:type="pct"/>
            <w:vMerge/>
            <w:shd w:val="clear" w:color="auto" w:fill="auto"/>
          </w:tcPr>
          <w:p w14:paraId="092E3FDB" w14:textId="77777777" w:rsidR="00F3015A" w:rsidRPr="006F039E" w:rsidRDefault="00F3015A" w:rsidP="006F039E">
            <w:pPr>
              <w:pStyle w:val="Tabletext"/>
              <w:spacing w:line="240" w:lineRule="auto"/>
            </w:pPr>
          </w:p>
        </w:tc>
        <w:tc>
          <w:tcPr>
            <w:tcW w:w="3606" w:type="pct"/>
            <w:vAlign w:val="center"/>
          </w:tcPr>
          <w:p w14:paraId="4E545B72" w14:textId="77777777" w:rsidR="00F3015A" w:rsidRPr="006F039E" w:rsidRDefault="00F3015A" w:rsidP="006F039E">
            <w:pPr>
              <w:pStyle w:val="Tabletext"/>
              <w:spacing w:line="240" w:lineRule="auto"/>
            </w:pPr>
            <w:r w:rsidRPr="006F039E">
              <w:t>3% (3 out of 100)</w:t>
            </w:r>
          </w:p>
        </w:tc>
      </w:tr>
      <w:tr w:rsidR="00F3015A" w:rsidRPr="00DE09A6" w14:paraId="0D2B870F" w14:textId="77777777" w:rsidTr="003F7F52">
        <w:trPr>
          <w:cantSplit/>
        </w:trPr>
        <w:tc>
          <w:tcPr>
            <w:tcW w:w="1394" w:type="pct"/>
            <w:vMerge/>
            <w:shd w:val="clear" w:color="auto" w:fill="auto"/>
          </w:tcPr>
          <w:p w14:paraId="146A6350" w14:textId="77777777" w:rsidR="00F3015A" w:rsidRPr="006F039E" w:rsidRDefault="00F3015A" w:rsidP="006F039E">
            <w:pPr>
              <w:pStyle w:val="Tabletext"/>
              <w:spacing w:line="240" w:lineRule="auto"/>
            </w:pPr>
          </w:p>
        </w:tc>
        <w:tc>
          <w:tcPr>
            <w:tcW w:w="3606" w:type="pct"/>
            <w:vAlign w:val="center"/>
          </w:tcPr>
          <w:p w14:paraId="5070A9B6" w14:textId="77777777" w:rsidR="00F3015A" w:rsidRPr="006F039E" w:rsidRDefault="00F3015A" w:rsidP="006F039E">
            <w:pPr>
              <w:pStyle w:val="Tabletext"/>
              <w:spacing w:line="240" w:lineRule="auto"/>
            </w:pPr>
            <w:r w:rsidRPr="006F039E">
              <w:t>5% (5 out of 100)</w:t>
            </w:r>
          </w:p>
        </w:tc>
      </w:tr>
      <w:tr w:rsidR="00F3015A" w:rsidRPr="00DE09A6" w14:paraId="062E0211" w14:textId="77777777" w:rsidTr="003F7F52">
        <w:trPr>
          <w:cantSplit/>
        </w:trPr>
        <w:tc>
          <w:tcPr>
            <w:tcW w:w="1394" w:type="pct"/>
            <w:vMerge w:val="restart"/>
            <w:shd w:val="clear" w:color="auto" w:fill="auto"/>
          </w:tcPr>
          <w:p w14:paraId="59E8F90E" w14:textId="77777777" w:rsidR="00F3015A" w:rsidRPr="006F039E" w:rsidRDefault="00F3015A" w:rsidP="006F039E">
            <w:pPr>
              <w:pStyle w:val="Tabletext"/>
              <w:spacing w:line="240" w:lineRule="auto"/>
            </w:pPr>
            <w:r w:rsidRPr="006F039E">
              <w:t>How [you/the patient] take(s) the medicine</w:t>
            </w:r>
          </w:p>
        </w:tc>
        <w:tc>
          <w:tcPr>
            <w:tcW w:w="3606" w:type="pct"/>
            <w:vAlign w:val="bottom"/>
          </w:tcPr>
          <w:p w14:paraId="59A7672D" w14:textId="77777777" w:rsidR="00F3015A" w:rsidRPr="006F039E" w:rsidRDefault="00F3015A" w:rsidP="006F039E">
            <w:pPr>
              <w:pStyle w:val="Tabletext"/>
              <w:spacing w:line="240" w:lineRule="auto"/>
            </w:pPr>
            <w:r w:rsidRPr="006F039E">
              <w:t xml:space="preserve">Pill </w:t>
            </w:r>
            <w:r w:rsidRPr="006F039E">
              <w:rPr>
                <w:u w:val="single"/>
              </w:rPr>
              <w:t>once a day</w:t>
            </w:r>
            <w:r w:rsidRPr="006F039E">
              <w:t xml:space="preserve"> for 3 weeks each month</w:t>
            </w:r>
          </w:p>
        </w:tc>
      </w:tr>
      <w:tr w:rsidR="00F3015A" w:rsidRPr="00DE09A6" w14:paraId="16A81880" w14:textId="77777777" w:rsidTr="003F7F52">
        <w:trPr>
          <w:cantSplit/>
        </w:trPr>
        <w:tc>
          <w:tcPr>
            <w:tcW w:w="1394" w:type="pct"/>
            <w:vMerge/>
            <w:shd w:val="clear" w:color="auto" w:fill="auto"/>
            <w:vAlign w:val="center"/>
          </w:tcPr>
          <w:p w14:paraId="2E11FC0D" w14:textId="77777777" w:rsidR="00F3015A" w:rsidRPr="006F039E" w:rsidRDefault="00F3015A" w:rsidP="006F039E">
            <w:pPr>
              <w:pStyle w:val="Tabletext"/>
              <w:spacing w:line="240" w:lineRule="auto"/>
            </w:pPr>
          </w:p>
        </w:tc>
        <w:tc>
          <w:tcPr>
            <w:tcW w:w="3606" w:type="pct"/>
            <w:vAlign w:val="bottom"/>
          </w:tcPr>
          <w:p w14:paraId="02FF4935" w14:textId="77777777" w:rsidR="00F3015A" w:rsidRPr="006F039E" w:rsidRDefault="00F3015A" w:rsidP="006F039E">
            <w:pPr>
              <w:pStyle w:val="Tabletext"/>
              <w:spacing w:line="240" w:lineRule="auto"/>
            </w:pPr>
            <w:r w:rsidRPr="006F039E">
              <w:t xml:space="preserve">Pill </w:t>
            </w:r>
            <w:r w:rsidRPr="006F039E">
              <w:rPr>
                <w:u w:val="single"/>
              </w:rPr>
              <w:t>once a week</w:t>
            </w:r>
            <w:r w:rsidRPr="006F039E">
              <w:t xml:space="preserve"> for 3 weeks each month</w:t>
            </w:r>
          </w:p>
        </w:tc>
      </w:tr>
      <w:tr w:rsidR="00F3015A" w:rsidRPr="00DE09A6" w14:paraId="5E138DE9" w14:textId="77777777" w:rsidTr="003F7F52">
        <w:trPr>
          <w:cantSplit/>
        </w:trPr>
        <w:tc>
          <w:tcPr>
            <w:tcW w:w="1394" w:type="pct"/>
            <w:vMerge/>
            <w:shd w:val="clear" w:color="auto" w:fill="auto"/>
            <w:vAlign w:val="center"/>
          </w:tcPr>
          <w:p w14:paraId="49C09A5A" w14:textId="77777777" w:rsidR="00F3015A" w:rsidRPr="006F039E" w:rsidRDefault="00F3015A" w:rsidP="006F039E">
            <w:pPr>
              <w:pStyle w:val="Tabletext"/>
              <w:spacing w:line="240" w:lineRule="auto"/>
            </w:pPr>
          </w:p>
        </w:tc>
        <w:tc>
          <w:tcPr>
            <w:tcW w:w="3606" w:type="pct"/>
            <w:vAlign w:val="bottom"/>
          </w:tcPr>
          <w:p w14:paraId="7CEE53D8" w14:textId="77777777" w:rsidR="00F3015A" w:rsidRPr="006F039E" w:rsidRDefault="00F3015A" w:rsidP="006F039E">
            <w:pPr>
              <w:pStyle w:val="Tabletext"/>
              <w:spacing w:line="240" w:lineRule="auto"/>
            </w:pPr>
            <w:r w:rsidRPr="006F039E">
              <w:t xml:space="preserve">Injection at doctor's office or outpatient clinic </w:t>
            </w:r>
            <w:r w:rsidRPr="006F039E">
              <w:rPr>
                <w:u w:val="single"/>
              </w:rPr>
              <w:t>once a week</w:t>
            </w:r>
            <w:r w:rsidRPr="006F039E">
              <w:t xml:space="preserve"> for 3 weeks each month</w:t>
            </w:r>
          </w:p>
        </w:tc>
      </w:tr>
      <w:tr w:rsidR="00F3015A" w:rsidRPr="00DE09A6" w14:paraId="02D21829" w14:textId="77777777" w:rsidTr="003F7F52">
        <w:trPr>
          <w:cantSplit/>
        </w:trPr>
        <w:tc>
          <w:tcPr>
            <w:tcW w:w="1394" w:type="pct"/>
            <w:vMerge/>
            <w:shd w:val="clear" w:color="auto" w:fill="auto"/>
            <w:vAlign w:val="center"/>
          </w:tcPr>
          <w:p w14:paraId="2F381B02" w14:textId="77777777" w:rsidR="00F3015A" w:rsidRPr="006F039E" w:rsidRDefault="00F3015A" w:rsidP="006F039E">
            <w:pPr>
              <w:pStyle w:val="Tabletext"/>
              <w:spacing w:line="240" w:lineRule="auto"/>
            </w:pPr>
          </w:p>
        </w:tc>
        <w:tc>
          <w:tcPr>
            <w:tcW w:w="3606" w:type="pct"/>
            <w:vAlign w:val="bottom"/>
          </w:tcPr>
          <w:p w14:paraId="1670DCC4" w14:textId="77777777" w:rsidR="00F3015A" w:rsidRPr="006F039E" w:rsidRDefault="00F3015A" w:rsidP="006F039E">
            <w:pPr>
              <w:pStyle w:val="Tabletext"/>
              <w:spacing w:line="240" w:lineRule="auto"/>
            </w:pPr>
            <w:r w:rsidRPr="006F039E">
              <w:t xml:space="preserve">4-hour IV infusion at doctor’s office or outpatient clinic </w:t>
            </w:r>
            <w:r w:rsidRPr="006F039E">
              <w:rPr>
                <w:u w:val="single"/>
              </w:rPr>
              <w:t>once a week</w:t>
            </w:r>
            <w:r w:rsidRPr="006F039E">
              <w:t xml:space="preserve"> for 3 weeks each month</w:t>
            </w:r>
          </w:p>
        </w:tc>
      </w:tr>
      <w:tr w:rsidR="00F3015A" w:rsidRPr="00DE09A6" w14:paraId="6603C0F1" w14:textId="77777777" w:rsidTr="003F7F52">
        <w:trPr>
          <w:cantSplit/>
        </w:trPr>
        <w:tc>
          <w:tcPr>
            <w:tcW w:w="1394" w:type="pct"/>
            <w:vMerge/>
            <w:shd w:val="clear" w:color="auto" w:fill="auto"/>
            <w:vAlign w:val="center"/>
          </w:tcPr>
          <w:p w14:paraId="50F57EE9" w14:textId="77777777" w:rsidR="00F3015A" w:rsidRPr="006F039E" w:rsidRDefault="00F3015A" w:rsidP="006F039E">
            <w:pPr>
              <w:pStyle w:val="Tabletext"/>
              <w:spacing w:line="240" w:lineRule="auto"/>
            </w:pPr>
          </w:p>
        </w:tc>
        <w:tc>
          <w:tcPr>
            <w:tcW w:w="3606" w:type="pct"/>
            <w:vAlign w:val="bottom"/>
          </w:tcPr>
          <w:p w14:paraId="75129C51" w14:textId="77777777" w:rsidR="00F3015A" w:rsidRPr="006F039E" w:rsidRDefault="00F3015A" w:rsidP="006F039E">
            <w:pPr>
              <w:pStyle w:val="Tabletext"/>
              <w:spacing w:line="240" w:lineRule="auto"/>
            </w:pPr>
            <w:r w:rsidRPr="006F039E">
              <w:t xml:space="preserve">1-hour IV infusion at doctor’s office or outpatient clinic </w:t>
            </w:r>
            <w:r w:rsidRPr="006F039E">
              <w:rPr>
                <w:u w:val="single"/>
              </w:rPr>
              <w:t>twice a week</w:t>
            </w:r>
            <w:r w:rsidRPr="006F039E">
              <w:t xml:space="preserve"> for 3 weeks each month</w:t>
            </w:r>
          </w:p>
        </w:tc>
      </w:tr>
    </w:tbl>
    <w:p w14:paraId="390DBE95" w14:textId="426A51DB" w:rsidR="00F3015A" w:rsidRDefault="00F3015A" w:rsidP="00F3015A">
      <w:pPr>
        <w:pStyle w:val="Tabletext"/>
      </w:pPr>
    </w:p>
    <w:p w14:paraId="03D3038E" w14:textId="513BFEBB" w:rsidR="006F039E" w:rsidRDefault="006F039E" w:rsidP="00F3015A">
      <w:pPr>
        <w:pStyle w:val="Tabletext"/>
      </w:pPr>
    </w:p>
    <w:p w14:paraId="05A822DB" w14:textId="1E4DD3A6" w:rsidR="006F039E" w:rsidRDefault="006F039E" w:rsidP="00F3015A">
      <w:pPr>
        <w:pStyle w:val="Tabletext"/>
      </w:pPr>
    </w:p>
    <w:p w14:paraId="2ABD419A" w14:textId="398A708F" w:rsidR="006F039E" w:rsidRDefault="006F039E" w:rsidP="00F3015A">
      <w:pPr>
        <w:pStyle w:val="Tabletext"/>
      </w:pPr>
    </w:p>
    <w:p w14:paraId="0F0CFFF5" w14:textId="77777777" w:rsidR="006F039E" w:rsidRPr="00DE09A6" w:rsidRDefault="006F039E" w:rsidP="00F3015A">
      <w:pPr>
        <w:pStyle w:val="Tabletext"/>
      </w:pPr>
    </w:p>
    <w:p w14:paraId="5F553C95" w14:textId="77777777" w:rsidR="00F3015A" w:rsidRPr="001A0CF3" w:rsidRDefault="00F3015A" w:rsidP="00F3015A">
      <w:pPr>
        <w:pStyle w:val="Tabletext"/>
        <w:keepNext/>
        <w:rPr>
          <w:b/>
        </w:rPr>
      </w:pPr>
      <w:r w:rsidRPr="001A0CF3">
        <w:rPr>
          <w:b/>
        </w:rPr>
        <w:lastRenderedPageBreak/>
        <w:t>B. Medicine Features in the Best-Worst Scaling Questions in the Survey</w:t>
      </w:r>
    </w:p>
    <w:tbl>
      <w:tblPr>
        <w:tblStyle w:val="TableGrid"/>
        <w:tblW w:w="5000" w:type="pct"/>
        <w:tblBorders>
          <w:top w:val="single" w:sz="12" w:space="0" w:color="000000"/>
          <w:left w:val="none" w:sz="0" w:space="0" w:color="auto"/>
          <w:bottom w:val="single" w:sz="12" w:space="0" w:color="000000"/>
          <w:right w:val="none" w:sz="0" w:space="0" w:color="auto"/>
          <w:insideH w:val="single" w:sz="2" w:space="0" w:color="DDDDDD"/>
          <w:insideV w:val="single" w:sz="2" w:space="0" w:color="DDDDDD"/>
        </w:tblBorders>
        <w:tblLook w:val="04A0" w:firstRow="1" w:lastRow="0" w:firstColumn="1" w:lastColumn="0" w:noHBand="0" w:noVBand="1"/>
      </w:tblPr>
      <w:tblGrid>
        <w:gridCol w:w="10800"/>
      </w:tblGrid>
      <w:tr w:rsidR="00F3015A" w:rsidRPr="006F039E" w14:paraId="3EC20405" w14:textId="77777777" w:rsidTr="003D36E1">
        <w:trPr>
          <w:cantSplit/>
          <w:tblHeader/>
        </w:trPr>
        <w:tc>
          <w:tcPr>
            <w:tcW w:w="5000" w:type="pct"/>
            <w:tcBorders>
              <w:top w:val="single" w:sz="12" w:space="0" w:color="000000"/>
              <w:bottom w:val="single" w:sz="2" w:space="0" w:color="DDDDDD"/>
            </w:tcBorders>
            <w:shd w:val="clear" w:color="auto" w:fill="E6E6E6"/>
            <w:vAlign w:val="bottom"/>
          </w:tcPr>
          <w:p w14:paraId="640213E4" w14:textId="77777777" w:rsidR="00F3015A" w:rsidRPr="006F039E" w:rsidRDefault="00F3015A" w:rsidP="006F039E">
            <w:pPr>
              <w:pStyle w:val="Tableheadings"/>
              <w:spacing w:line="240" w:lineRule="auto"/>
              <w:jc w:val="left"/>
            </w:pPr>
            <w:r w:rsidRPr="006F039E">
              <w:t>Medicine Feature</w:t>
            </w:r>
          </w:p>
        </w:tc>
      </w:tr>
      <w:tr w:rsidR="00F3015A" w:rsidRPr="006F039E" w14:paraId="720D4399" w14:textId="77777777" w:rsidTr="003D36E1">
        <w:trPr>
          <w:cantSplit/>
        </w:trPr>
        <w:tc>
          <w:tcPr>
            <w:tcW w:w="5000" w:type="pct"/>
            <w:tcBorders>
              <w:top w:val="single" w:sz="2" w:space="0" w:color="DDDDDD"/>
            </w:tcBorders>
            <w:shd w:val="clear" w:color="auto" w:fill="auto"/>
          </w:tcPr>
          <w:p w14:paraId="342106C3" w14:textId="77777777" w:rsidR="00F3015A" w:rsidRPr="006F039E" w:rsidRDefault="00F3015A" w:rsidP="006F039E">
            <w:pPr>
              <w:pStyle w:val="Tabletext"/>
              <w:spacing w:line="240" w:lineRule="auto"/>
            </w:pPr>
            <w:r w:rsidRPr="006F039E">
              <w:t>1-hour IV, 2 times per week for 3 weeks out of every month</w:t>
            </w:r>
          </w:p>
        </w:tc>
      </w:tr>
      <w:tr w:rsidR="00F3015A" w:rsidRPr="006F039E" w14:paraId="1F88ED4E" w14:textId="77777777" w:rsidTr="003D36E1">
        <w:trPr>
          <w:cantSplit/>
        </w:trPr>
        <w:tc>
          <w:tcPr>
            <w:tcW w:w="5000" w:type="pct"/>
            <w:shd w:val="clear" w:color="auto" w:fill="auto"/>
          </w:tcPr>
          <w:p w14:paraId="01E73FD8" w14:textId="77777777" w:rsidR="00F3015A" w:rsidRPr="006F039E" w:rsidRDefault="00F3015A" w:rsidP="006F039E">
            <w:pPr>
              <w:pStyle w:val="Tabletext"/>
              <w:spacing w:line="240" w:lineRule="auto"/>
            </w:pPr>
            <w:r w:rsidRPr="006F039E">
              <w:t>4-hour IV, 1 time per week for 3 weeks out of every month</w:t>
            </w:r>
          </w:p>
        </w:tc>
      </w:tr>
      <w:tr w:rsidR="00F3015A" w:rsidRPr="006F039E" w14:paraId="3FB36F0A" w14:textId="77777777" w:rsidTr="003D36E1">
        <w:trPr>
          <w:cantSplit/>
        </w:trPr>
        <w:tc>
          <w:tcPr>
            <w:tcW w:w="5000" w:type="pct"/>
            <w:shd w:val="clear" w:color="auto" w:fill="auto"/>
          </w:tcPr>
          <w:p w14:paraId="630486C7" w14:textId="77777777" w:rsidR="00F3015A" w:rsidRPr="006F039E" w:rsidRDefault="00F3015A" w:rsidP="006F039E">
            <w:pPr>
              <w:pStyle w:val="Tabletext"/>
              <w:spacing w:line="240" w:lineRule="auto"/>
            </w:pPr>
            <w:r w:rsidRPr="006F039E">
              <w:t>Injection at doctor’s office 1 time per week for 3 weeks out of every month</w:t>
            </w:r>
          </w:p>
        </w:tc>
      </w:tr>
      <w:tr w:rsidR="00F3015A" w:rsidRPr="006F039E" w14:paraId="5B4CD310" w14:textId="77777777" w:rsidTr="003D36E1">
        <w:trPr>
          <w:cantSplit/>
        </w:trPr>
        <w:tc>
          <w:tcPr>
            <w:tcW w:w="5000" w:type="pct"/>
            <w:shd w:val="clear" w:color="auto" w:fill="auto"/>
          </w:tcPr>
          <w:p w14:paraId="61B797F1" w14:textId="77777777" w:rsidR="00F3015A" w:rsidRPr="006F039E" w:rsidRDefault="00F3015A" w:rsidP="006F039E">
            <w:pPr>
              <w:pStyle w:val="Tabletext"/>
              <w:spacing w:line="240" w:lineRule="auto"/>
            </w:pPr>
            <w:r w:rsidRPr="006F039E">
              <w:t>Pill daily taken at home with water</w:t>
            </w:r>
          </w:p>
        </w:tc>
      </w:tr>
      <w:tr w:rsidR="00F3015A" w:rsidRPr="006F039E" w14:paraId="098F4A69" w14:textId="77777777" w:rsidTr="003D36E1">
        <w:trPr>
          <w:cantSplit/>
        </w:trPr>
        <w:tc>
          <w:tcPr>
            <w:tcW w:w="5000" w:type="pct"/>
            <w:shd w:val="clear" w:color="auto" w:fill="auto"/>
          </w:tcPr>
          <w:p w14:paraId="2D49F6D6" w14:textId="77777777" w:rsidR="00F3015A" w:rsidRPr="006F039E" w:rsidRDefault="00F3015A" w:rsidP="006F039E">
            <w:pPr>
              <w:pStyle w:val="Tabletext"/>
              <w:spacing w:line="240" w:lineRule="auto"/>
            </w:pPr>
            <w:r w:rsidRPr="006F039E">
              <w:t>Pill once a week for 3 weeks out of every month</w:t>
            </w:r>
          </w:p>
        </w:tc>
      </w:tr>
      <w:tr w:rsidR="00F3015A" w:rsidRPr="006F039E" w14:paraId="2CD9E0A9" w14:textId="77777777" w:rsidTr="003D36E1">
        <w:trPr>
          <w:cantSplit/>
        </w:trPr>
        <w:tc>
          <w:tcPr>
            <w:tcW w:w="5000" w:type="pct"/>
            <w:shd w:val="clear" w:color="auto" w:fill="auto"/>
          </w:tcPr>
          <w:p w14:paraId="59264960" w14:textId="77777777" w:rsidR="00F3015A" w:rsidRPr="006F039E" w:rsidRDefault="00F3015A" w:rsidP="006F039E">
            <w:pPr>
              <w:pStyle w:val="Tabletext"/>
              <w:spacing w:line="240" w:lineRule="auto"/>
            </w:pPr>
            <w:r w:rsidRPr="006F039E">
              <w:t>You need to travel 3 hours roundtrip once a week to receive your treatment</w:t>
            </w:r>
          </w:p>
        </w:tc>
      </w:tr>
      <w:tr w:rsidR="00F3015A" w:rsidRPr="006F039E" w14:paraId="52F39567" w14:textId="77777777" w:rsidTr="003D36E1">
        <w:trPr>
          <w:cantSplit/>
        </w:trPr>
        <w:tc>
          <w:tcPr>
            <w:tcW w:w="5000" w:type="pct"/>
            <w:shd w:val="clear" w:color="auto" w:fill="auto"/>
          </w:tcPr>
          <w:p w14:paraId="3D8C85BE" w14:textId="77777777" w:rsidR="00F3015A" w:rsidRPr="006F039E" w:rsidRDefault="00F3015A" w:rsidP="006F039E">
            <w:pPr>
              <w:pStyle w:val="Tabletext"/>
              <w:spacing w:line="240" w:lineRule="auto"/>
            </w:pPr>
            <w:r w:rsidRPr="006F039E">
              <w:t>Changes in mood that may include lack of patience or nonstop talking for two or three days after each treatment</w:t>
            </w:r>
          </w:p>
        </w:tc>
      </w:tr>
      <w:tr w:rsidR="00F3015A" w:rsidRPr="006F039E" w14:paraId="46E7897F" w14:textId="77777777" w:rsidTr="003D36E1">
        <w:trPr>
          <w:cantSplit/>
        </w:trPr>
        <w:tc>
          <w:tcPr>
            <w:tcW w:w="5000" w:type="pct"/>
            <w:shd w:val="clear" w:color="auto" w:fill="auto"/>
          </w:tcPr>
          <w:p w14:paraId="65B75FEA" w14:textId="77777777" w:rsidR="00F3015A" w:rsidRPr="006F039E" w:rsidRDefault="00F3015A" w:rsidP="006F039E">
            <w:pPr>
              <w:pStyle w:val="Tabletext"/>
              <w:spacing w:line="240" w:lineRule="auto"/>
            </w:pPr>
            <w:r w:rsidRPr="006F039E">
              <w:t>Difficulty sleeping for two or three nights after each treatment</w:t>
            </w:r>
          </w:p>
        </w:tc>
      </w:tr>
      <w:tr w:rsidR="00F3015A" w:rsidRPr="006F039E" w14:paraId="0308A2E9" w14:textId="77777777" w:rsidTr="003D36E1">
        <w:trPr>
          <w:cantSplit/>
        </w:trPr>
        <w:tc>
          <w:tcPr>
            <w:tcW w:w="5000" w:type="pct"/>
            <w:shd w:val="clear" w:color="auto" w:fill="auto"/>
          </w:tcPr>
          <w:p w14:paraId="3B929FC9" w14:textId="77777777" w:rsidR="00F3015A" w:rsidRPr="006F039E" w:rsidRDefault="00F3015A" w:rsidP="006F039E">
            <w:pPr>
              <w:pStyle w:val="Tabletext"/>
              <w:spacing w:line="240" w:lineRule="auto"/>
            </w:pPr>
            <w:r w:rsidRPr="006F039E">
              <w:t>Feeling exhausted or tired most days during treatment</w:t>
            </w:r>
          </w:p>
        </w:tc>
      </w:tr>
      <w:tr w:rsidR="00F3015A" w:rsidRPr="006F039E" w14:paraId="2DEDBB05" w14:textId="77777777" w:rsidTr="003D36E1">
        <w:trPr>
          <w:cantSplit/>
        </w:trPr>
        <w:tc>
          <w:tcPr>
            <w:tcW w:w="5000" w:type="pct"/>
            <w:shd w:val="clear" w:color="auto" w:fill="auto"/>
          </w:tcPr>
          <w:p w14:paraId="7D5E83A8" w14:textId="77777777" w:rsidR="00F3015A" w:rsidRPr="006F039E" w:rsidRDefault="00F3015A" w:rsidP="006F039E">
            <w:pPr>
              <w:pStyle w:val="Tabletext"/>
              <w:spacing w:line="240" w:lineRule="auto"/>
            </w:pPr>
            <w:r w:rsidRPr="006F039E">
              <w:t xml:space="preserve">Having </w:t>
            </w:r>
            <w:proofErr w:type="gramStart"/>
            <w:r w:rsidRPr="006F039E">
              <w:t>thinking</w:t>
            </w:r>
            <w:proofErr w:type="gramEnd"/>
            <w:r w:rsidRPr="006F039E">
              <w:t xml:space="preserve"> or memory problems for a few weeks after receiving treatment</w:t>
            </w:r>
          </w:p>
        </w:tc>
      </w:tr>
      <w:tr w:rsidR="00F3015A" w:rsidRPr="006F039E" w14:paraId="0BC8639A" w14:textId="77777777" w:rsidTr="003D36E1">
        <w:trPr>
          <w:cantSplit/>
        </w:trPr>
        <w:tc>
          <w:tcPr>
            <w:tcW w:w="5000" w:type="pct"/>
            <w:shd w:val="clear" w:color="auto" w:fill="auto"/>
          </w:tcPr>
          <w:p w14:paraId="142C8A75" w14:textId="77777777" w:rsidR="00F3015A" w:rsidRPr="006F039E" w:rsidRDefault="00F3015A" w:rsidP="006F039E">
            <w:pPr>
              <w:pStyle w:val="Tabletext"/>
              <w:spacing w:line="240" w:lineRule="auto"/>
            </w:pPr>
            <w:r w:rsidRPr="006F039E">
              <w:t xml:space="preserve">Treatment weakens your immune </w:t>
            </w:r>
            <w:proofErr w:type="gramStart"/>
            <w:r w:rsidRPr="006F039E">
              <w:t>system</w:t>
            </w:r>
            <w:proofErr w:type="gramEnd"/>
            <w:r w:rsidRPr="006F039E">
              <w:t xml:space="preserve"> and you get sick more often</w:t>
            </w:r>
          </w:p>
        </w:tc>
      </w:tr>
      <w:tr w:rsidR="00F3015A" w:rsidRPr="006F039E" w14:paraId="576EABBF" w14:textId="77777777" w:rsidTr="003D36E1">
        <w:trPr>
          <w:cantSplit/>
          <w:trHeight w:val="211"/>
        </w:trPr>
        <w:tc>
          <w:tcPr>
            <w:tcW w:w="5000" w:type="pct"/>
            <w:shd w:val="clear" w:color="auto" w:fill="auto"/>
          </w:tcPr>
          <w:p w14:paraId="21A1CE28" w14:textId="77777777" w:rsidR="00F3015A" w:rsidRPr="006F039E" w:rsidRDefault="00F3015A" w:rsidP="006F039E">
            <w:pPr>
              <w:pStyle w:val="Tabletext"/>
              <w:spacing w:line="240" w:lineRule="auto"/>
            </w:pPr>
            <w:r w:rsidRPr="006F039E">
              <w:t>Treatment weakens your bones and increases the risk of a bone fracture</w:t>
            </w:r>
          </w:p>
        </w:tc>
      </w:tr>
      <w:tr w:rsidR="00F3015A" w:rsidRPr="006F039E" w14:paraId="12B81E4B" w14:textId="77777777" w:rsidTr="003D36E1">
        <w:trPr>
          <w:cantSplit/>
        </w:trPr>
        <w:tc>
          <w:tcPr>
            <w:tcW w:w="5000" w:type="pct"/>
            <w:shd w:val="clear" w:color="auto" w:fill="auto"/>
          </w:tcPr>
          <w:p w14:paraId="4BBFA8B6" w14:textId="77777777" w:rsidR="00F3015A" w:rsidRPr="006F039E" w:rsidRDefault="00F3015A" w:rsidP="006F039E">
            <w:pPr>
              <w:pStyle w:val="Tabletext"/>
              <w:spacing w:line="240" w:lineRule="auto"/>
            </w:pPr>
            <w:r w:rsidRPr="006F039E">
              <w:t>Experiencing hair loss for several months during treatment</w:t>
            </w:r>
          </w:p>
        </w:tc>
      </w:tr>
      <w:tr w:rsidR="00F3015A" w:rsidRPr="006F039E" w14:paraId="053B7158" w14:textId="77777777" w:rsidTr="003D36E1">
        <w:trPr>
          <w:cantSplit/>
        </w:trPr>
        <w:tc>
          <w:tcPr>
            <w:tcW w:w="5000" w:type="pct"/>
            <w:shd w:val="clear" w:color="auto" w:fill="auto"/>
          </w:tcPr>
          <w:p w14:paraId="3C6EE45C" w14:textId="77777777" w:rsidR="00F3015A" w:rsidRPr="006F039E" w:rsidRDefault="00F3015A" w:rsidP="006F039E">
            <w:pPr>
              <w:pStyle w:val="Tabletext"/>
              <w:spacing w:line="240" w:lineRule="auto"/>
            </w:pPr>
            <w:r w:rsidRPr="006F039E">
              <w:t>Having trouble working at your job or at home during treatment</w:t>
            </w:r>
          </w:p>
        </w:tc>
      </w:tr>
      <w:tr w:rsidR="00F3015A" w:rsidRPr="006F039E" w14:paraId="1AD3FA1F" w14:textId="77777777" w:rsidTr="003D36E1">
        <w:trPr>
          <w:cantSplit/>
        </w:trPr>
        <w:tc>
          <w:tcPr>
            <w:tcW w:w="5000" w:type="pct"/>
            <w:shd w:val="clear" w:color="auto" w:fill="auto"/>
          </w:tcPr>
          <w:p w14:paraId="5478013A" w14:textId="77777777" w:rsidR="00F3015A" w:rsidRPr="006F039E" w:rsidRDefault="00F3015A" w:rsidP="006F039E">
            <w:pPr>
              <w:pStyle w:val="Tabletext"/>
              <w:spacing w:line="240" w:lineRule="auto"/>
            </w:pPr>
            <w:r w:rsidRPr="006F039E">
              <w:t>Treatment lowers platelet counts and increases the risk of bleeding problems</w:t>
            </w:r>
          </w:p>
        </w:tc>
      </w:tr>
      <w:tr w:rsidR="00F3015A" w:rsidRPr="006F039E" w14:paraId="191A2B40" w14:textId="77777777" w:rsidTr="003D36E1">
        <w:trPr>
          <w:cantSplit/>
        </w:trPr>
        <w:tc>
          <w:tcPr>
            <w:tcW w:w="5000" w:type="pct"/>
            <w:shd w:val="clear" w:color="auto" w:fill="auto"/>
          </w:tcPr>
          <w:p w14:paraId="512F27E4" w14:textId="77777777" w:rsidR="00F3015A" w:rsidRPr="006F039E" w:rsidRDefault="00F3015A" w:rsidP="006F039E">
            <w:pPr>
              <w:pStyle w:val="Tabletext"/>
              <w:spacing w:line="240" w:lineRule="auto"/>
            </w:pPr>
            <w:r w:rsidRPr="006F039E">
              <w:t>Treatment lowers white blood cell counts and increases the risk of serious infection</w:t>
            </w:r>
          </w:p>
        </w:tc>
      </w:tr>
      <w:tr w:rsidR="00F3015A" w:rsidRPr="006F039E" w14:paraId="5DEFD196" w14:textId="77777777" w:rsidTr="003D36E1">
        <w:trPr>
          <w:cantSplit/>
        </w:trPr>
        <w:tc>
          <w:tcPr>
            <w:tcW w:w="5000" w:type="pct"/>
            <w:shd w:val="clear" w:color="auto" w:fill="auto"/>
          </w:tcPr>
          <w:p w14:paraId="1BF9EC6D" w14:textId="77777777" w:rsidR="00F3015A" w:rsidRPr="006F039E" w:rsidRDefault="00F3015A" w:rsidP="006F039E">
            <w:pPr>
              <w:pStyle w:val="Tabletext"/>
              <w:spacing w:line="240" w:lineRule="auto"/>
            </w:pPr>
            <w:r w:rsidRPr="006F039E">
              <w:t>Treatment damages kidneys and increases the risk of kidney failure</w:t>
            </w:r>
          </w:p>
        </w:tc>
      </w:tr>
      <w:tr w:rsidR="00F3015A" w:rsidRPr="006F039E" w14:paraId="73B16388" w14:textId="77777777" w:rsidTr="003D36E1">
        <w:trPr>
          <w:cantSplit/>
        </w:trPr>
        <w:tc>
          <w:tcPr>
            <w:tcW w:w="5000" w:type="pct"/>
            <w:shd w:val="clear" w:color="auto" w:fill="auto"/>
          </w:tcPr>
          <w:p w14:paraId="544845FA" w14:textId="77777777" w:rsidR="00F3015A" w:rsidRPr="006F039E" w:rsidRDefault="00F3015A" w:rsidP="006F039E">
            <w:pPr>
              <w:pStyle w:val="Tabletext"/>
              <w:spacing w:line="240" w:lineRule="auto"/>
            </w:pPr>
            <w:r w:rsidRPr="006F039E">
              <w:t>Needing to go to the hospital to treat a side effect of the treatment</w:t>
            </w:r>
          </w:p>
        </w:tc>
      </w:tr>
    </w:tbl>
    <w:p w14:paraId="77443ED5" w14:textId="77777777" w:rsidR="00F3015A" w:rsidRPr="006F039E" w:rsidRDefault="00F3015A" w:rsidP="00F3015A">
      <w:pPr>
        <w:pStyle w:val="tabfignote"/>
        <w:rPr>
          <w:sz w:val="20"/>
        </w:rPr>
      </w:pPr>
      <w:r w:rsidRPr="006F039E">
        <w:rPr>
          <w:sz w:val="20"/>
        </w:rPr>
        <w:t>IV = intravenous.</w:t>
      </w:r>
    </w:p>
    <w:p w14:paraId="102B56E9" w14:textId="77777777" w:rsidR="00F3015A" w:rsidRDefault="00F3015A" w:rsidP="00F3015A">
      <w:pPr>
        <w:pStyle w:val="tabfignote"/>
      </w:pPr>
    </w:p>
    <w:p w14:paraId="69B1E0EA" w14:textId="437A159A" w:rsidR="00F3015A" w:rsidRPr="003E7FF9" w:rsidRDefault="006F039E" w:rsidP="00F3015A">
      <w:pPr>
        <w:pStyle w:val="FigureTitle"/>
        <w:numPr>
          <w:ilvl w:val="0"/>
          <w:numId w:val="0"/>
        </w:numPr>
        <w:ind w:left="1440" w:hanging="1440"/>
        <w:rPr>
          <w:sz w:val="20"/>
        </w:rPr>
      </w:pPr>
      <w:r>
        <w:rPr>
          <w:sz w:val="20"/>
        </w:rPr>
        <w:lastRenderedPageBreak/>
        <w:t xml:space="preserve">Supplementary </w:t>
      </w:r>
      <w:r w:rsidR="00F3015A" w:rsidRPr="003E7FF9">
        <w:rPr>
          <w:sz w:val="20"/>
        </w:rPr>
        <w:t>Figure 1. Preference Weights</w:t>
      </w:r>
    </w:p>
    <w:p w14:paraId="680E5AA8" w14:textId="77777777" w:rsidR="00F3015A" w:rsidRPr="00001772" w:rsidRDefault="00F3015A" w:rsidP="00F3015A">
      <w:pPr>
        <w:pStyle w:val="Tabletext"/>
        <w:keepNext/>
        <w:rPr>
          <w:b/>
        </w:rPr>
      </w:pPr>
      <w:r w:rsidRPr="00001772">
        <w:rPr>
          <w:b/>
        </w:rPr>
        <w:t>A. Patients (N = 94)</w:t>
      </w:r>
    </w:p>
    <w:p w14:paraId="09B8BD38" w14:textId="77777777" w:rsidR="00F3015A" w:rsidRPr="00DE09A6" w:rsidRDefault="00F3015A" w:rsidP="00F3015A">
      <w:pPr>
        <w:pStyle w:val="InsertFigure"/>
      </w:pPr>
      <w:r w:rsidRPr="00DE09A6">
        <w:rPr>
          <w:noProof/>
        </w:rPr>
        <w:drawing>
          <wp:inline distT="0" distB="0" distL="0" distR="0" wp14:anchorId="4F31563D" wp14:editId="32C640F2">
            <wp:extent cx="5486400" cy="538480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5"/>
                    <a:stretch>
                      <a:fillRect/>
                    </a:stretch>
                  </pic:blipFill>
                  <pic:spPr>
                    <a:xfrm>
                      <a:off x="0" y="0"/>
                      <a:ext cx="5486400" cy="5384800"/>
                    </a:xfrm>
                    <a:prstGeom prst="rect">
                      <a:avLst/>
                    </a:prstGeom>
                  </pic:spPr>
                </pic:pic>
              </a:graphicData>
            </a:graphic>
          </wp:inline>
        </w:drawing>
      </w:r>
    </w:p>
    <w:p w14:paraId="0F3FCD30" w14:textId="77777777" w:rsidR="00F3015A" w:rsidRPr="00DE09A6" w:rsidRDefault="00F3015A" w:rsidP="00F3015A">
      <w:pPr>
        <w:pStyle w:val="Tabletext"/>
        <w:keepNext/>
        <w:rPr>
          <w:b/>
        </w:rPr>
      </w:pPr>
      <w:r w:rsidRPr="00DE09A6">
        <w:rPr>
          <w:b/>
        </w:rPr>
        <w:lastRenderedPageBreak/>
        <w:t>B. Caregivers (N = 32)</w:t>
      </w:r>
    </w:p>
    <w:p w14:paraId="1DAF54A0" w14:textId="77777777" w:rsidR="00F3015A" w:rsidRPr="00DE09A6" w:rsidRDefault="00F3015A" w:rsidP="00F3015A">
      <w:pPr>
        <w:pStyle w:val="InsertFigure"/>
      </w:pPr>
      <w:r w:rsidRPr="00DE09A6">
        <w:rPr>
          <w:noProof/>
        </w:rPr>
        <w:drawing>
          <wp:inline distT="0" distB="0" distL="0" distR="0" wp14:anchorId="7AB65522" wp14:editId="3FECF5A8">
            <wp:extent cx="5486400" cy="538480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6"/>
                    <a:stretch>
                      <a:fillRect/>
                    </a:stretch>
                  </pic:blipFill>
                  <pic:spPr>
                    <a:xfrm>
                      <a:off x="0" y="0"/>
                      <a:ext cx="5486400" cy="5384800"/>
                    </a:xfrm>
                    <a:prstGeom prst="rect">
                      <a:avLst/>
                    </a:prstGeom>
                  </pic:spPr>
                </pic:pic>
              </a:graphicData>
            </a:graphic>
          </wp:inline>
        </w:drawing>
      </w:r>
    </w:p>
    <w:p w14:paraId="6A4E3BB7" w14:textId="77777777" w:rsidR="00F3015A" w:rsidRPr="00DE09A6" w:rsidRDefault="00F3015A" w:rsidP="00F3015A">
      <w:pPr>
        <w:pStyle w:val="tabfignote"/>
      </w:pPr>
      <w:r w:rsidRPr="00DE09A6">
        <w:t>GI = gastrointestinal; IV = intravenous.</w:t>
      </w:r>
    </w:p>
    <w:p w14:paraId="5655C128" w14:textId="77777777" w:rsidR="00F3015A" w:rsidRPr="006F039E" w:rsidRDefault="00F3015A" w:rsidP="00F3015A">
      <w:pPr>
        <w:pStyle w:val="tabfignote"/>
        <w:rPr>
          <w:sz w:val="20"/>
        </w:rPr>
      </w:pPr>
      <w:r w:rsidRPr="006F039E">
        <w:rPr>
          <w:sz w:val="20"/>
        </w:rPr>
        <w:t>Note: The vertical distance between preference weights represents the relative importance of moving from one level of an attribute to another level of the same attribute. The vertical bars surrounding each mean preference weight denote the 95% confidence interval of the point estimate.</w:t>
      </w:r>
    </w:p>
    <w:p w14:paraId="32E00807" w14:textId="77777777" w:rsidR="00F3015A" w:rsidRPr="00DE09A6" w:rsidRDefault="00F3015A" w:rsidP="00F3015A">
      <w:pPr>
        <w:pStyle w:val="tabfignote"/>
      </w:pPr>
    </w:p>
    <w:p w14:paraId="57A0CEFB" w14:textId="77777777" w:rsidR="00F3015A" w:rsidRPr="007002DA" w:rsidRDefault="00F3015A" w:rsidP="00F3015A">
      <w:pPr>
        <w:pStyle w:val="tabfignote"/>
      </w:pPr>
    </w:p>
    <w:p w14:paraId="0B0A4FD7" w14:textId="77777777" w:rsidR="00406E2E" w:rsidRDefault="00406E2E"/>
    <w:sectPr w:rsidR="00406E2E" w:rsidSect="006F039E">
      <w:footnotePr>
        <w:numRestart w:val="eachPage"/>
      </w:footnotePr>
      <w:pgSz w:w="12240" w:h="15840" w:code="1"/>
      <w:pgMar w:top="720" w:right="720" w:bottom="720" w:left="720" w:header="1080" w:footer="720" w:gutter="0"/>
      <w:cols w:space="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312"/>
    <w:multiLevelType w:val="hybridMultilevel"/>
    <w:tmpl w:val="F2C0408C"/>
    <w:lvl w:ilvl="0" w:tplc="B78ABAF6">
      <w:start w:val="1"/>
      <w:numFmt w:val="decimal"/>
      <w:pStyle w:val="TableTitle"/>
      <w:lvlText w:val="Table %1."/>
      <w:lvlJc w:val="left"/>
      <w:pPr>
        <w:ind w:left="4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D2BEC"/>
    <w:multiLevelType w:val="hybridMultilevel"/>
    <w:tmpl w:val="2B1C2836"/>
    <w:lvl w:ilvl="0" w:tplc="FFA281C4">
      <w:start w:val="1"/>
      <w:numFmt w:val="decimal"/>
      <w:pStyle w:val="FigureTitle"/>
      <w:lvlText w:val="Figure %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5A"/>
    <w:rsid w:val="00001772"/>
    <w:rsid w:val="001A0CF3"/>
    <w:rsid w:val="003E7FF9"/>
    <w:rsid w:val="003F7F52"/>
    <w:rsid w:val="00406E2E"/>
    <w:rsid w:val="006F039E"/>
    <w:rsid w:val="0094131B"/>
    <w:rsid w:val="00D347A5"/>
    <w:rsid w:val="00F3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7631"/>
  <w15:chartTrackingRefBased/>
  <w15:docId w15:val="{1647EBFD-BBE2-4167-A82E-272ED7FB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15A"/>
    <w:pPr>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1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F3015A"/>
    <w:pPr>
      <w:spacing w:before="40" w:after="40" w:line="360" w:lineRule="auto"/>
    </w:pPr>
    <w:rPr>
      <w:rFonts w:ascii="Arial" w:eastAsia="Times New Roman" w:hAnsi="Arial" w:cs="Times New Roman"/>
      <w:sz w:val="20"/>
      <w:szCs w:val="20"/>
    </w:rPr>
  </w:style>
  <w:style w:type="character" w:customStyle="1" w:styleId="TabletextChar">
    <w:name w:val="Table text Char"/>
    <w:basedOn w:val="DefaultParagraphFont"/>
    <w:link w:val="Tabletext"/>
    <w:locked/>
    <w:rsid w:val="00F3015A"/>
    <w:rPr>
      <w:rFonts w:ascii="Arial" w:eastAsia="Times New Roman" w:hAnsi="Arial" w:cs="Times New Roman"/>
      <w:sz w:val="20"/>
      <w:szCs w:val="20"/>
    </w:rPr>
  </w:style>
  <w:style w:type="paragraph" w:customStyle="1" w:styleId="Tableheadings">
    <w:name w:val="Table headings"/>
    <w:basedOn w:val="Normal"/>
    <w:rsid w:val="00F3015A"/>
    <w:pPr>
      <w:spacing w:before="40"/>
      <w:jc w:val="center"/>
    </w:pPr>
    <w:rPr>
      <w:rFonts w:ascii="Arial" w:hAnsi="Arial"/>
      <w:b/>
      <w:sz w:val="20"/>
    </w:rPr>
  </w:style>
  <w:style w:type="paragraph" w:customStyle="1" w:styleId="InsertFigure">
    <w:name w:val="Insert Figure"/>
    <w:basedOn w:val="Normal"/>
    <w:uiPriority w:val="99"/>
    <w:qFormat/>
    <w:rsid w:val="00F3015A"/>
    <w:pPr>
      <w:spacing w:before="120" w:after="120" w:line="320" w:lineRule="atLeast"/>
    </w:pPr>
    <w:rPr>
      <w:rFonts w:ascii="Arial" w:hAnsi="Arial"/>
      <w:sz w:val="22"/>
    </w:rPr>
  </w:style>
  <w:style w:type="paragraph" w:customStyle="1" w:styleId="tabfignote">
    <w:name w:val="tab/fig note"/>
    <w:link w:val="tabfignoteChar"/>
    <w:qFormat/>
    <w:rsid w:val="00F3015A"/>
    <w:pPr>
      <w:keepLines/>
      <w:spacing w:before="120" w:after="0" w:line="360" w:lineRule="auto"/>
    </w:pPr>
    <w:rPr>
      <w:rFonts w:ascii="Arial" w:eastAsia="Times New Roman" w:hAnsi="Arial" w:cs="Times New Roman"/>
      <w:sz w:val="18"/>
      <w:szCs w:val="20"/>
    </w:rPr>
  </w:style>
  <w:style w:type="character" w:customStyle="1" w:styleId="tabfignoteChar">
    <w:name w:val="tab/fig note Char"/>
    <w:link w:val="tabfignote"/>
    <w:rsid w:val="00F3015A"/>
    <w:rPr>
      <w:rFonts w:ascii="Arial" w:eastAsia="Times New Roman" w:hAnsi="Arial" w:cs="Times New Roman"/>
      <w:sz w:val="18"/>
      <w:szCs w:val="20"/>
    </w:rPr>
  </w:style>
  <w:style w:type="paragraph" w:customStyle="1" w:styleId="TableTitle">
    <w:name w:val="Table Title"/>
    <w:basedOn w:val="Normal"/>
    <w:link w:val="TableTitleChar"/>
    <w:rsid w:val="00F3015A"/>
    <w:pPr>
      <w:keepNext/>
      <w:numPr>
        <w:numId w:val="2"/>
      </w:numPr>
      <w:spacing w:before="320" w:after="120"/>
      <w:ind w:left="1440" w:hanging="1440"/>
      <w:outlineLvl w:val="1"/>
    </w:pPr>
    <w:rPr>
      <w:rFonts w:ascii="Arial" w:hAnsi="Arial"/>
      <w:b/>
      <w:sz w:val="22"/>
    </w:rPr>
  </w:style>
  <w:style w:type="character" w:customStyle="1" w:styleId="TableTitleChar">
    <w:name w:val="Table Title Char"/>
    <w:basedOn w:val="DefaultParagraphFont"/>
    <w:link w:val="TableTitle"/>
    <w:locked/>
    <w:rsid w:val="00F3015A"/>
    <w:rPr>
      <w:rFonts w:ascii="Arial" w:eastAsia="Times New Roman" w:hAnsi="Arial" w:cs="Times New Roman"/>
      <w:b/>
      <w:szCs w:val="20"/>
    </w:rPr>
  </w:style>
  <w:style w:type="paragraph" w:customStyle="1" w:styleId="FigureTitle">
    <w:name w:val="Figure Title"/>
    <w:basedOn w:val="TableTitle"/>
    <w:rsid w:val="00F3015A"/>
    <w:pPr>
      <w:numPr>
        <w:numId w:val="1"/>
      </w:numPr>
      <w:tabs>
        <w:tab w:val="num" w:pos="360"/>
        <w:tab w:val="num" w:pos="765"/>
      </w:tabs>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Auclair</dc:creator>
  <cp:keywords/>
  <dc:description/>
  <cp:lastModifiedBy>Daniel Auclair</cp:lastModifiedBy>
  <cp:revision>7</cp:revision>
  <dcterms:created xsi:type="dcterms:W3CDTF">2022-01-16T21:22:00Z</dcterms:created>
  <dcterms:modified xsi:type="dcterms:W3CDTF">2022-01-17T18:01:00Z</dcterms:modified>
</cp:coreProperties>
</file>