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1E216" w14:textId="2F373BB6" w:rsidR="00331218" w:rsidRPr="00511936" w:rsidRDefault="00331218" w:rsidP="00F523E8">
      <w:pPr>
        <w:spacing w:line="360" w:lineRule="auto"/>
        <w:rPr>
          <w:rFonts w:ascii="Times New Roman" w:hAnsi="Times New Roman" w:cs="Times New Roman"/>
          <w:b/>
          <w:color w:val="000000"/>
          <w:sz w:val="28"/>
          <w:szCs w:val="28"/>
          <w:lang w:val="en-US"/>
        </w:rPr>
      </w:pPr>
      <w:r w:rsidRPr="00511936">
        <w:rPr>
          <w:rFonts w:ascii="Times New Roman" w:hAnsi="Times New Roman" w:cs="Times New Roman"/>
          <w:b/>
          <w:color w:val="000000"/>
          <w:sz w:val="28"/>
          <w:szCs w:val="28"/>
          <w:lang w:val="en-US"/>
        </w:rPr>
        <w:t>Supplementary M</w:t>
      </w:r>
      <w:r w:rsidR="00806843" w:rsidRPr="00511936">
        <w:rPr>
          <w:rFonts w:ascii="Times New Roman" w:hAnsi="Times New Roman" w:cs="Times New Roman"/>
          <w:b/>
          <w:color w:val="000000"/>
          <w:sz w:val="28"/>
          <w:szCs w:val="28"/>
          <w:lang w:val="en-US"/>
        </w:rPr>
        <w:t>ater</w:t>
      </w:r>
      <w:r w:rsidR="00CF3C9A" w:rsidRPr="00511936">
        <w:rPr>
          <w:rFonts w:ascii="Times New Roman" w:hAnsi="Times New Roman" w:cs="Times New Roman"/>
          <w:b/>
          <w:color w:val="000000"/>
          <w:sz w:val="28"/>
          <w:szCs w:val="28"/>
          <w:lang w:val="en-US"/>
        </w:rPr>
        <w:t>ial</w:t>
      </w:r>
    </w:p>
    <w:p w14:paraId="166C1588" w14:textId="714D013C" w:rsidR="00806843" w:rsidRPr="00511936" w:rsidRDefault="00806843" w:rsidP="00F523E8">
      <w:pPr>
        <w:spacing w:line="360" w:lineRule="auto"/>
        <w:rPr>
          <w:rFonts w:ascii="Times New Roman" w:hAnsi="Times New Roman" w:cs="Times New Roman"/>
          <w:b/>
          <w:color w:val="000000"/>
          <w:lang w:val="en-US"/>
        </w:rPr>
      </w:pPr>
    </w:p>
    <w:p w14:paraId="323548C9" w14:textId="7BC0B96D" w:rsidR="00806843" w:rsidRPr="00511936" w:rsidRDefault="00806843" w:rsidP="00F523E8">
      <w:pPr>
        <w:spacing w:line="360" w:lineRule="auto"/>
        <w:rPr>
          <w:rFonts w:ascii="Times New Roman" w:hAnsi="Times New Roman" w:cs="Times New Roman"/>
          <w:b/>
          <w:color w:val="000000"/>
          <w:sz w:val="24"/>
          <w:szCs w:val="24"/>
          <w:lang w:val="en-US"/>
        </w:rPr>
      </w:pPr>
      <w:r w:rsidRPr="00511936">
        <w:rPr>
          <w:rFonts w:ascii="Times New Roman" w:hAnsi="Times New Roman" w:cs="Times New Roman"/>
          <w:b/>
          <w:color w:val="000000"/>
          <w:lang w:val="en-US"/>
        </w:rPr>
        <w:t xml:space="preserve">Description of the Danish registries. </w:t>
      </w:r>
    </w:p>
    <w:p w14:paraId="73CB52A3" w14:textId="77777777" w:rsidR="00331218" w:rsidRPr="00511936" w:rsidRDefault="00331218" w:rsidP="00331218">
      <w:pPr>
        <w:spacing w:line="360" w:lineRule="auto"/>
        <w:rPr>
          <w:rFonts w:ascii="Times New Roman" w:hAnsi="Times New Roman" w:cs="Times New Roman"/>
          <w:bCs/>
          <w:color w:val="000000"/>
          <w:lang w:val="en-US"/>
        </w:rPr>
      </w:pPr>
      <w:r w:rsidRPr="00511936">
        <w:rPr>
          <w:rFonts w:ascii="Times New Roman" w:hAnsi="Times New Roman" w:cs="Times New Roman"/>
          <w:color w:val="000000"/>
          <w:lang w:val="en-US"/>
        </w:rPr>
        <w:t xml:space="preserve">The present study was based on </w:t>
      </w:r>
      <w:r w:rsidRPr="00511936">
        <w:rPr>
          <w:rFonts w:ascii="Times New Roman" w:hAnsi="Times New Roman" w:cs="Times New Roman"/>
          <w:bCs/>
          <w:color w:val="000000"/>
          <w:lang w:val="en-US"/>
        </w:rPr>
        <w:t>routinely collected nationwide Danish registry data. Denmark has a state-funded healthcare system ensuring free access to healthcare for all residents.</w:t>
      </w:r>
      <w:r w:rsidRPr="00511936">
        <w:rPr>
          <w:rFonts w:ascii="Times New Roman" w:hAnsi="Times New Roman" w:cs="Times New Roman"/>
          <w:bCs/>
          <w:color w:val="000000"/>
          <w:lang w:val="en-US"/>
        </w:rPr>
        <w:fldChar w:fldCharType="begin"/>
      </w:r>
      <w:r w:rsidRPr="00511936">
        <w:rPr>
          <w:rFonts w:ascii="Times New Roman" w:hAnsi="Times New Roman" w:cs="Times New Roman"/>
          <w:bCs/>
          <w:color w:val="000000"/>
          <w:lang w:val="en-US"/>
        </w:rPr>
        <w:instrText xml:space="preserve"> ADDIN ZOTERO_ITEM CSL_CITATION {"citationID":"6CDMCLJ1","properties":{"formattedCitation":"\\super 1\\nosupersub{}","plainCitation":"1","noteIndex":0},"citationItems":[{"id":52,"uris":["http://zotero.org/users/6800791/items/T53SCHJH"],"uri":["http://zotero.org/users/6800791/items/T53SCHJH"],"itemData":{"id":52,"type":"article-journal","abstract":"Denmark has a large network of population-based medical databases, which routinely collect high-quality data as a by-product of health care provision. The Danish medical databases include administrative, health, and clinical quality databases. Understanding the full research potential of these data sources requires insight into the underlying health care system. This review describes key elements of the Danish health care system from planning and delivery to record generation. First, it presents the history of the health care system, its overall organization and financing. Second, it details delivery of primary, hospital, psychiatric, and elderly care. Third, the path from a health care contact to a database record is followed. Finally, an overview of the available data sources is presented. This review discusses the data quality of each type of medical database and describes the relative technical ease and cost-effectiveness of exact individual-level linkage among them. It is shown, from an epidemiological point of view, how Denmark’s population represents an open dynamic cohort with complete long-term follow-up, censored only at emigration or death. It is concluded that Denmark’s constellation of universal health care, long-standing routine registration of most health and life events, and the possibility of exact individual-level data linkage provides unlimited possibilities for epidemiological research.","container-title":"Clinical Epidemiology","DOI":"10.2147/CLEP.S179083","ISSN":"1179-1349","journalAbbreviation":"Clin Epidemiol","note":"PMID: 31372058\nPMCID: PMC6634267","page":"563-591","source":"PubMed Central","title":"The Danish health care system and epidemiological research: from health care contacts to database records","title-short":"The Danish health care system and epidemiological research","volume":"11","author":[{"family":"Schmidt","given":"Morten"},{"family":"Schmidt","given":"Sigrun Alba Johannesdottir"},{"family":"Adelborg","given":"Kasper"},{"family":"Sundbøll","given":"Jens"},{"family":"Laugesen","given":"Kristina"},{"family":"Ehrenstein","given":"Vera"},{"family":"Sørensen","given":"Henrik Toft"}],"issued":{"date-parts":[["2019",7,12]]}}}],"schema":"https://github.com/citation-style-language/schema/raw/master/csl-citation.json"} </w:instrText>
      </w:r>
      <w:r w:rsidRPr="00511936">
        <w:rPr>
          <w:rFonts w:ascii="Times New Roman" w:hAnsi="Times New Roman" w:cs="Times New Roman"/>
          <w:bCs/>
          <w:color w:val="000000"/>
          <w:lang w:val="en-US"/>
        </w:rPr>
        <w:fldChar w:fldCharType="separate"/>
      </w:r>
      <w:r w:rsidRPr="00511936">
        <w:rPr>
          <w:rFonts w:ascii="Times New Roman" w:hAnsi="Times New Roman" w:cs="Times New Roman"/>
          <w:color w:val="000000"/>
          <w:szCs w:val="24"/>
          <w:vertAlign w:val="superscript"/>
          <w:lang w:val="en-US"/>
        </w:rPr>
        <w:t>1</w:t>
      </w:r>
      <w:r w:rsidRPr="00511936">
        <w:rPr>
          <w:rFonts w:ascii="Times New Roman" w:hAnsi="Times New Roman" w:cs="Times New Roman"/>
          <w:bCs/>
          <w:color w:val="000000"/>
          <w:lang w:val="en-US"/>
        </w:rPr>
        <w:fldChar w:fldCharType="end"/>
      </w:r>
      <w:r w:rsidRPr="00511936">
        <w:rPr>
          <w:rFonts w:ascii="Times New Roman" w:hAnsi="Times New Roman" w:cs="Times New Roman"/>
          <w:bCs/>
          <w:color w:val="000000"/>
          <w:lang w:val="en-US"/>
        </w:rPr>
        <w:t xml:space="preserve"> We used the following data sources:</w:t>
      </w:r>
    </w:p>
    <w:p w14:paraId="5A2E1F97" w14:textId="77777777" w:rsidR="00331218" w:rsidRPr="00511936" w:rsidRDefault="00331218" w:rsidP="00331218">
      <w:pPr>
        <w:pStyle w:val="ListParagraph"/>
        <w:numPr>
          <w:ilvl w:val="0"/>
          <w:numId w:val="1"/>
        </w:numPr>
        <w:spacing w:line="360" w:lineRule="auto"/>
        <w:rPr>
          <w:rFonts w:ascii="Times New Roman" w:hAnsi="Times New Roman" w:cs="Times New Roman"/>
          <w:bCs/>
          <w:color w:val="000000"/>
          <w:lang w:val="en-US"/>
        </w:rPr>
      </w:pPr>
      <w:r w:rsidRPr="00511936">
        <w:rPr>
          <w:rFonts w:ascii="Times New Roman" w:hAnsi="Times New Roman" w:cs="Times New Roman"/>
          <w:bCs/>
          <w:color w:val="000000"/>
          <w:lang w:val="en-US"/>
        </w:rPr>
        <w:t>The Danish National Patient Registry contains complete nationwide information on hospital inpatient admissions since 1977 and hospital outpatient clinic and emergency contacts since 1995.</w:t>
      </w:r>
      <w:r w:rsidRPr="00511936">
        <w:rPr>
          <w:rFonts w:ascii="Times New Roman" w:hAnsi="Times New Roman" w:cs="Times New Roman"/>
          <w:bCs/>
          <w:color w:val="000000"/>
          <w:lang w:val="en-US"/>
        </w:rPr>
        <w:fldChar w:fldCharType="begin"/>
      </w:r>
      <w:r w:rsidRPr="00511936">
        <w:rPr>
          <w:rFonts w:ascii="Times New Roman" w:hAnsi="Times New Roman" w:cs="Times New Roman"/>
          <w:bCs/>
          <w:color w:val="000000"/>
          <w:lang w:val="en-US"/>
        </w:rPr>
        <w:instrText xml:space="preserve"> ADDIN ZOTERO_ITEM CSL_CITATION {"citationID":"9NDKYStf","properties":{"formattedCitation":"\\super 2\\nosupersub{}","plainCitation":"2","noteIndex":0},"citationItems":[{"id":46,"uris":["http://zotero.org/users/6800791/items/IXSRS3JK"],"uri":["http://zotero.org/users/6800791/items/IXSRS3JK"],"itemData":{"id":46,"type":"article-journal","abstract":"Background\nThe Danish National Patient Registry (DNPR) is one of the world’s oldest nationwide hospital registries and is used extensively for research. Many studies have validated algorithms for identifying health events in the DNPR, but the reports are fragmented and no overview exists.\n\nObjectives\nTo review the content, data quality, and research potential of the DNPR.\n\nMethods\nWe examined the setting, history, aims, content, and classification systems of the DNPR. We searched PubMed and the Danish Medical Journal to create a bibliography of validation studies. We included also studies that were referenced in retrieved papers or known to us beforehand. Methodological considerations related to DNPR data were reviewed.\n\nResults\nDuring 1977–2012, the DNPR registered 8,085,603 persons, accounting for 7,268,857 inpatient, 5,953,405 outpatient, and 5,097,300 emergency department contacts. The DNPR provides nationwide longitudinal registration of detailed administrative and clinical data. It has recorded information on all patients discharged from Danish nonpsychiatric hospitals since 1977 and on psychiatric inpatients and emergency department and outpatient specialty clinic contacts since 1995. For each patient contact, one primary and optional secondary diagnoses are recorded according to the International Classification of Diseases. The DNPR provides a data source to identify diseases, examinations, certain in-hospital medical treatments, and surgical procedures. Long-term temporal trends in hospitalization and treatment rates can be studied. The positive predictive values of diseases and treatments vary widely (&lt;15%–100%). The DNPR data are linkable at the patient level with data from other Danish administrative registries, clinical registries, randomized controlled trials, population surveys, and epidemiologic field studies – enabling researchers to reconstruct individual life and health trajectories for an entire population.\n\nConclusion\nThe DNPR is a valuable tool for epidemiological research. However, both its strengths and limitations must be considered when interpreting research results, and continuous validation of its clinical data is essential.","container-title":"Clinical Epidemiology","DOI":"10.2147/CLEP.S91125","ISSN":"1179-1349","journalAbbreviation":"Clin Epidemiol","note":"PMID: 26604824\nPMCID: PMC4655913","page":"449-490","source":"PubMed Central","title":"The Danish National Patient Registry: a review of content, data quality, and research potential","title-short":"The Danish National Patient Registry","volume":"7","author":[{"family":"Schmidt","given":"Morten"},{"family":"Schmidt","given":"Sigrun Alba Johannesdottir"},{"family":"Sandegaard","given":"Jakob Lynge"},{"family":"Ehrenstein","given":"Vera"},{"family":"Pedersen","given":"Lars"},{"family":"Sørensen","given":"Henrik Toft"}],"issued":{"date-parts":[["2015",11,17]]}}}],"schema":"https://github.com/citation-style-language/schema/raw/master/csl-citation.json"} </w:instrText>
      </w:r>
      <w:r w:rsidRPr="00511936">
        <w:rPr>
          <w:rFonts w:ascii="Times New Roman" w:hAnsi="Times New Roman" w:cs="Times New Roman"/>
          <w:bCs/>
          <w:color w:val="000000"/>
          <w:lang w:val="en-US"/>
        </w:rPr>
        <w:fldChar w:fldCharType="separate"/>
      </w:r>
      <w:r w:rsidRPr="00511936">
        <w:rPr>
          <w:rFonts w:ascii="Times New Roman" w:hAnsi="Times New Roman" w:cs="Times New Roman"/>
          <w:color w:val="000000"/>
          <w:szCs w:val="24"/>
          <w:vertAlign w:val="superscript"/>
          <w:lang w:val="en-US"/>
        </w:rPr>
        <w:t>2</w:t>
      </w:r>
      <w:r w:rsidRPr="00511936">
        <w:rPr>
          <w:rFonts w:ascii="Times New Roman" w:hAnsi="Times New Roman" w:cs="Times New Roman"/>
          <w:bCs/>
          <w:color w:val="000000"/>
          <w:lang w:val="en-US"/>
        </w:rPr>
        <w:fldChar w:fldCharType="end"/>
      </w:r>
      <w:r w:rsidRPr="00511936">
        <w:rPr>
          <w:rFonts w:ascii="Times New Roman" w:hAnsi="Times New Roman" w:cs="Times New Roman"/>
          <w:bCs/>
          <w:color w:val="000000"/>
          <w:lang w:val="en-US"/>
        </w:rPr>
        <w:t xml:space="preserve"> Each hospital discharge or outpatient visit is recorded with one primary diagnosis and one or more secondary diagnoses coded according to the </w:t>
      </w:r>
      <w:r w:rsidRPr="00511936">
        <w:rPr>
          <w:rFonts w:ascii="Times New Roman" w:hAnsi="Times New Roman" w:cs="Times New Roman"/>
          <w:bCs/>
          <w:i/>
          <w:color w:val="000000"/>
          <w:lang w:val="en-US"/>
        </w:rPr>
        <w:t>International Classification of Diseases</w:t>
      </w:r>
      <w:r w:rsidRPr="00511936">
        <w:rPr>
          <w:rFonts w:ascii="Times New Roman" w:hAnsi="Times New Roman" w:cs="Times New Roman"/>
          <w:color w:val="000000"/>
          <w:lang w:val="en-US"/>
        </w:rPr>
        <w:t>,</w:t>
      </w:r>
      <w:r w:rsidRPr="00511936">
        <w:rPr>
          <w:rFonts w:ascii="Times New Roman" w:hAnsi="Times New Roman" w:cs="Times New Roman"/>
          <w:bCs/>
          <w:color w:val="000000"/>
          <w:lang w:val="en-US"/>
        </w:rPr>
        <w:t xml:space="preserve"> </w:t>
      </w:r>
      <w:r w:rsidRPr="00511936">
        <w:rPr>
          <w:rFonts w:ascii="Times New Roman" w:hAnsi="Times New Roman" w:cs="Times New Roman"/>
          <w:bCs/>
          <w:i/>
          <w:color w:val="000000"/>
          <w:lang w:val="en-US"/>
        </w:rPr>
        <w:t>Eighth Revision</w:t>
      </w:r>
      <w:r w:rsidRPr="00511936">
        <w:rPr>
          <w:rFonts w:ascii="Times New Roman" w:hAnsi="Times New Roman" w:cs="Times New Roman"/>
          <w:bCs/>
          <w:color w:val="000000"/>
          <w:lang w:val="en-US"/>
        </w:rPr>
        <w:t xml:space="preserve"> between 1977 and 1993 and </w:t>
      </w:r>
      <w:r w:rsidRPr="00511936">
        <w:rPr>
          <w:rFonts w:ascii="Times New Roman" w:hAnsi="Times New Roman" w:cs="Times New Roman"/>
          <w:bCs/>
          <w:i/>
          <w:color w:val="000000"/>
          <w:lang w:val="en-US"/>
        </w:rPr>
        <w:t>Tenth Revision</w:t>
      </w:r>
      <w:r w:rsidRPr="00511936">
        <w:rPr>
          <w:rFonts w:ascii="Times New Roman" w:hAnsi="Times New Roman" w:cs="Times New Roman"/>
          <w:bCs/>
          <w:color w:val="000000"/>
          <w:lang w:val="en-US"/>
        </w:rPr>
        <w:t xml:space="preserve"> thereafter. We used the Patient Registry to identify the patients with pulmonary hypertension and comorbidities included in Table 1. </w:t>
      </w:r>
    </w:p>
    <w:p w14:paraId="367EBEBF" w14:textId="77777777" w:rsidR="00331218" w:rsidRPr="00511936" w:rsidRDefault="00331218" w:rsidP="00331218">
      <w:pPr>
        <w:pStyle w:val="ListParagraph"/>
        <w:numPr>
          <w:ilvl w:val="0"/>
          <w:numId w:val="1"/>
        </w:numPr>
        <w:spacing w:line="360" w:lineRule="auto"/>
        <w:rPr>
          <w:rFonts w:ascii="Times New Roman" w:hAnsi="Times New Roman" w:cs="Times New Roman"/>
          <w:color w:val="000000"/>
          <w:lang w:val="en-US"/>
        </w:rPr>
      </w:pPr>
      <w:r w:rsidRPr="00511936">
        <w:rPr>
          <w:rFonts w:ascii="Times New Roman" w:hAnsi="Times New Roman" w:cs="Times New Roman"/>
          <w:bCs/>
          <w:color w:val="000000"/>
          <w:lang w:val="en-US"/>
        </w:rPr>
        <w:t xml:space="preserve">The Danish Cancer Registry </w:t>
      </w:r>
      <w:r w:rsidRPr="00511936">
        <w:rPr>
          <w:rFonts w:ascii="Times New Roman" w:hAnsi="Times New Roman" w:cs="Times New Roman"/>
          <w:color w:val="000000"/>
          <w:lang w:val="en-US"/>
        </w:rPr>
        <w:t>has recorded all incident cases of malignant neoplasms in Denmark since 1943 (mandatory since 1987), including information on morphology, histology, and cancer stage at time of diagnosis.</w:t>
      </w:r>
      <w:r w:rsidRPr="00511936">
        <w:rPr>
          <w:rFonts w:ascii="Times New Roman" w:hAnsi="Times New Roman" w:cs="Times New Roman"/>
          <w:color w:val="000000"/>
          <w:lang w:val="en-US"/>
        </w:rPr>
        <w:fldChar w:fldCharType="begin"/>
      </w:r>
      <w:r w:rsidRPr="00511936">
        <w:rPr>
          <w:rFonts w:ascii="Times New Roman" w:hAnsi="Times New Roman" w:cs="Times New Roman"/>
          <w:color w:val="000000"/>
          <w:lang w:val="en-US"/>
        </w:rPr>
        <w:instrText xml:space="preserve"> ADDIN ZOTERO_ITEM CSL_CITATION {"citationID":"v17qLsYO","properties":{"formattedCitation":"\\super 3\\nosupersub{}","plainCitation":"3","noteIndex":0},"citationItems":[{"id":7766,"uris":["http://zotero.org/users/6800791/items/6PM3Y77Z"],"uri":["http://zotero.org/users/6800791/items/6PM3Y77Z"],"itemData":{"id":7766,"type":"article-journal","abstract":"INTRODUCTION: The Danish Cancer Registry was founded in 1942.\nCONTENT: The Cancer Registry contains data on the incidence of cancer in the Danish population since 1943.\nVALIDITY AND COVERAGE: Validity of the Cancer Registry is secured by the application of manual quality control routines in the daily production of the Cancer Registry, the application of the automated cancer logic, and the use of multiple notifications from different data sources, which also secures a high degree of completeness.\nCONCLUSION: In 2008 the Cancer Registry finished a process of modernisation where reporting became electronic through integration with the patient administrative systems and manual coding was partly replaced by an automatic coding logic.","container-title":"Scandinavian Journal of Public Health","DOI":"10.1177/1403494810393562","ISSN":"1651-1905","issue":"7 Suppl","journalAbbreviation":"Scand J Public Health","language":"eng","note":"PMID: 21775350","page":"42-45","source":"PubMed","title":"The Danish Cancer Registry","volume":"39","author":[{"family":"Gjerstorff","given":"Marianne Lundkjær"}],"issued":{"date-parts":[["2011",7]]}}}],"schema":"https://github.com/citation-style-language/schema/raw/master/csl-citation.json"} </w:instrText>
      </w:r>
      <w:r w:rsidRPr="00511936">
        <w:rPr>
          <w:rFonts w:ascii="Times New Roman" w:hAnsi="Times New Roman" w:cs="Times New Roman"/>
          <w:color w:val="000000"/>
          <w:lang w:val="en-US"/>
        </w:rPr>
        <w:fldChar w:fldCharType="separate"/>
      </w:r>
      <w:r w:rsidRPr="00511936">
        <w:rPr>
          <w:rFonts w:ascii="Times New Roman" w:hAnsi="Times New Roman" w:cs="Times New Roman"/>
          <w:color w:val="000000"/>
          <w:szCs w:val="24"/>
          <w:vertAlign w:val="superscript"/>
          <w:lang w:val="en-US"/>
        </w:rPr>
        <w:t>3</w:t>
      </w:r>
      <w:r w:rsidRPr="00511936">
        <w:rPr>
          <w:rFonts w:ascii="Times New Roman" w:hAnsi="Times New Roman" w:cs="Times New Roman"/>
          <w:color w:val="000000"/>
          <w:lang w:val="en-US"/>
        </w:rPr>
        <w:fldChar w:fldCharType="end"/>
      </w:r>
      <w:r w:rsidRPr="00511936">
        <w:rPr>
          <w:rFonts w:ascii="Times New Roman" w:eastAsia="Calibri" w:hAnsi="Times New Roman" w:cs="Times New Roman"/>
          <w:color w:val="000000"/>
          <w:lang w:val="en-US"/>
        </w:rPr>
        <w:t xml:space="preserve"> Diagnoses in the Cancer Registry generally have high validity, with 95%–98% completeness and accuracy of recorded diagnoses. For example, </w:t>
      </w:r>
      <w:r w:rsidRPr="00511936">
        <w:rPr>
          <w:rFonts w:ascii="Times New Roman" w:hAnsi="Times New Roman" w:cs="Times New Roman"/>
          <w:color w:val="000000"/>
          <w:lang w:val="en-US"/>
        </w:rPr>
        <w:t>it has been shown that only 3.6% of lung cancers and 1.2% of breast cancers have a missing or incorrect diagnosis code.</w:t>
      </w:r>
      <w:r w:rsidRPr="00511936">
        <w:rPr>
          <w:rFonts w:ascii="Times New Roman" w:eastAsia="Calibri" w:hAnsi="Times New Roman" w:cs="Times New Roman"/>
          <w:color w:val="000000"/>
          <w:lang w:val="en-US"/>
        </w:rPr>
        <w:t xml:space="preserve"> Cancer cases are coded according to the </w:t>
      </w:r>
      <w:r w:rsidRPr="00511936">
        <w:rPr>
          <w:rFonts w:ascii="Times New Roman" w:hAnsi="Times New Roman" w:cs="Times New Roman"/>
          <w:bCs/>
          <w:i/>
          <w:color w:val="000000"/>
          <w:lang w:val="en-US"/>
        </w:rPr>
        <w:t>International Classification of Diseases, Tenth Revision</w:t>
      </w:r>
      <w:r w:rsidRPr="00511936">
        <w:rPr>
          <w:rFonts w:ascii="Times New Roman" w:hAnsi="Times New Roman" w:cs="Times New Roman"/>
          <w:bCs/>
          <w:color w:val="000000"/>
          <w:lang w:val="en-US"/>
        </w:rPr>
        <w:t>.</w:t>
      </w:r>
      <w:r w:rsidRPr="00511936">
        <w:rPr>
          <w:rFonts w:ascii="Times New Roman" w:hAnsi="Times New Roman" w:cs="Times New Roman"/>
          <w:color w:val="000000"/>
          <w:lang w:val="en-US"/>
        </w:rPr>
        <w:t xml:space="preserve"> We used this Registry to identify all incident cancers recorded after a pulmonary hypertension diagnosis. We considered all cancers, as well as site-specific cancers, grouped according to the annual cancer report published by the Danish Health Data Authority. Table S1 specifies the site-specific cancers and their corresponding diagnostic codes. </w:t>
      </w:r>
    </w:p>
    <w:p w14:paraId="37686587" w14:textId="77777777" w:rsidR="00331218" w:rsidRPr="00511936" w:rsidRDefault="00331218" w:rsidP="00331218">
      <w:pPr>
        <w:pStyle w:val="ListParagraph"/>
        <w:numPr>
          <w:ilvl w:val="0"/>
          <w:numId w:val="1"/>
        </w:num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 xml:space="preserve">The Danish Civil Registration System, established in 1968, is </w:t>
      </w:r>
      <w:r w:rsidRPr="00511936">
        <w:rPr>
          <w:rFonts w:ascii="Times New Roman" w:hAnsi="Times New Roman" w:cs="Times New Roman"/>
          <w:bCs/>
          <w:color w:val="000000"/>
          <w:lang w:val="en-US"/>
        </w:rPr>
        <w:t>updated daily concerning changes in vital status and migration for the entire Danish population.</w:t>
      </w:r>
      <w:r w:rsidRPr="00511936">
        <w:rPr>
          <w:rFonts w:ascii="Times New Roman" w:hAnsi="Times New Roman" w:cs="Times New Roman"/>
          <w:bCs/>
          <w:color w:val="000000"/>
          <w:lang w:val="en-US"/>
        </w:rPr>
        <w:fldChar w:fldCharType="begin"/>
      </w:r>
      <w:r w:rsidRPr="00511936">
        <w:rPr>
          <w:rFonts w:ascii="Times New Roman" w:hAnsi="Times New Roman" w:cs="Times New Roman"/>
          <w:bCs/>
          <w:color w:val="000000"/>
          <w:lang w:val="en-US"/>
        </w:rPr>
        <w:instrText xml:space="preserve"> ADDIN ZOTERO_ITEM CSL_CITATION {"citationID":"BSycfeFd","properties":{"formattedCitation":"\\super 4\\nosupersub{}","plainCitation":"4","noteIndex":0},"citationItems":[{"id":70,"uris":["http://zotero.org/users/6800791/items/FKXG85KZ"],"uri":["http://zotero.org/users/6800791/items/FKXG85KZ"],"itemData":{"id":70,"type":"article-journal","abstract":"The methodological advances in epidemiology have facilitated the use of the Danish Civil Registration System (CRS) in ways not previously described systematically. We reviewed the CRS and its use as a research tool in epidemiology. We obtained information from the Danish Law on Civil Registration and the Central Office of Civil Registration, and used existing literature to provide illustrative examples of its use. The CRS is an administrative register established on April 2, 1968. It contains individual-level information on all persons residing in Denmark (and Greenland as of May 1, 1972). By January 2014, the CRS had cumulatively registered 9.5 million individuals and more than 400 million person-years of follow-up. A unique ten-digit Civil Personal Register number assigned to all persons in the CRS allows for technically easy, cost-effective, and unambiguous individual-level record linkage of Danish registers. Daily updated information on migration and vital status allows for nationwide cohort studies with virtually complete long-term follow-up on emigration and death. The CRS facilitates sampling of general population comparison cohorts, controls in case-control studies, family cohorts, and target groups in population surveys. The data in the CRS are virtually complete, have high accuracy, and can be retrieved for research purposes while protecting the anonymity of Danish residents. In conclusion, the CRS is a key tool for epidemiological research in Denmark.","container-title":"European Journal of Epidemiology","DOI":"10.1007/s10654-014-9930-3","ISSN":"1573-7284","issue":"8","journalAbbreviation":"Eur. J. Epidemiol.","language":"eng","note":"PMID: 24965263","page":"541-549","source":"PubMed","title":"The Danish Civil Registration System as a tool in epidemiology","volume":"29","author":[{"family":"Schmidt","given":"Morten"},{"family":"Pedersen","given":"Lars"},{"family":"Sørensen","given":"Henrik Toft"}],"issued":{"date-parts":[["2014",8]]}}}],"schema":"https://github.com/citation-style-language/schema/raw/master/csl-citation.json"} </w:instrText>
      </w:r>
      <w:r w:rsidRPr="00511936">
        <w:rPr>
          <w:rFonts w:ascii="Times New Roman" w:hAnsi="Times New Roman" w:cs="Times New Roman"/>
          <w:bCs/>
          <w:color w:val="000000"/>
          <w:lang w:val="en-US"/>
        </w:rPr>
        <w:fldChar w:fldCharType="separate"/>
      </w:r>
      <w:r w:rsidRPr="00511936">
        <w:rPr>
          <w:rFonts w:ascii="Times New Roman" w:hAnsi="Times New Roman" w:cs="Times New Roman"/>
          <w:color w:val="000000"/>
          <w:szCs w:val="24"/>
          <w:vertAlign w:val="superscript"/>
          <w:lang w:val="en-US"/>
        </w:rPr>
        <w:t>4</w:t>
      </w:r>
      <w:r w:rsidRPr="00511936">
        <w:rPr>
          <w:rFonts w:ascii="Times New Roman" w:hAnsi="Times New Roman" w:cs="Times New Roman"/>
          <w:bCs/>
          <w:color w:val="000000"/>
          <w:lang w:val="en-US"/>
        </w:rPr>
        <w:fldChar w:fldCharType="end"/>
      </w:r>
      <w:r w:rsidRPr="00511936">
        <w:rPr>
          <w:rFonts w:ascii="Times New Roman" w:hAnsi="Times New Roman" w:cs="Times New Roman"/>
          <w:bCs/>
          <w:color w:val="000000"/>
          <w:lang w:val="en-US"/>
        </w:rPr>
        <w:t xml:space="preserve"> A unique 10-digit personal identifier is assigned to all residents at birth or upon immigration, which enables accurate and unambiguous linkage across all data sources at the individual level.</w:t>
      </w:r>
    </w:p>
    <w:p w14:paraId="3B0BB21A" w14:textId="77777777" w:rsidR="00331218" w:rsidRPr="00511936" w:rsidRDefault="00331218" w:rsidP="00331218">
      <w:pPr>
        <w:spacing w:line="360" w:lineRule="auto"/>
        <w:rPr>
          <w:rFonts w:ascii="Times New Roman" w:hAnsi="Times New Roman" w:cs="Times New Roman"/>
          <w:color w:val="000000"/>
          <w:lang w:val="en-US"/>
        </w:rPr>
      </w:pPr>
    </w:p>
    <w:p w14:paraId="4ABC62EA" w14:textId="77777777" w:rsidR="00331218" w:rsidRPr="00511936" w:rsidRDefault="00331218" w:rsidP="00331218">
      <w:pPr>
        <w:rPr>
          <w:rFonts w:ascii="Times New Roman" w:hAnsi="Times New Roman" w:cs="Times New Roman"/>
          <w:b/>
          <w:color w:val="000000"/>
          <w:lang w:val="en-US"/>
        </w:rPr>
      </w:pPr>
      <w:r w:rsidRPr="00511936">
        <w:rPr>
          <w:rFonts w:ascii="Times New Roman" w:hAnsi="Times New Roman" w:cs="Times New Roman"/>
          <w:b/>
          <w:color w:val="000000"/>
          <w:lang w:val="en-US"/>
        </w:rPr>
        <w:br w:type="page"/>
      </w:r>
    </w:p>
    <w:p w14:paraId="382B922F" w14:textId="77777777" w:rsidR="00331218" w:rsidRPr="00511936" w:rsidRDefault="00331218" w:rsidP="00331218">
      <w:pPr>
        <w:spacing w:line="360" w:lineRule="auto"/>
        <w:rPr>
          <w:rFonts w:ascii="Times New Roman" w:hAnsi="Times New Roman" w:cs="Times New Roman"/>
          <w:b/>
          <w:color w:val="000000"/>
          <w:lang w:val="en-US"/>
        </w:rPr>
      </w:pPr>
      <w:r w:rsidRPr="00511936">
        <w:rPr>
          <w:rFonts w:ascii="Times New Roman" w:hAnsi="Times New Roman" w:cs="Times New Roman"/>
          <w:b/>
          <w:color w:val="000000"/>
          <w:lang w:val="en-US"/>
        </w:rPr>
        <w:lastRenderedPageBreak/>
        <w:t>References</w:t>
      </w:r>
    </w:p>
    <w:p w14:paraId="7A93F37B" w14:textId="77777777" w:rsidR="00331218" w:rsidRPr="00511936" w:rsidRDefault="00331218" w:rsidP="00331218">
      <w:pPr>
        <w:pStyle w:val="Bibliography"/>
        <w:tabs>
          <w:tab w:val="left" w:pos="567"/>
        </w:tabs>
        <w:spacing w:line="360" w:lineRule="auto"/>
        <w:ind w:left="567" w:hanging="567"/>
        <w:rPr>
          <w:rFonts w:ascii="Times New Roman" w:hAnsi="Times New Roman" w:cs="Times New Roman"/>
          <w:color w:val="000000"/>
          <w:lang w:val="en-US"/>
        </w:rPr>
      </w:pPr>
      <w:r w:rsidRPr="00511936">
        <w:rPr>
          <w:color w:val="000000"/>
          <w:lang w:val="en-US"/>
        </w:rPr>
        <w:fldChar w:fldCharType="begin"/>
      </w:r>
      <w:r w:rsidRPr="00511936">
        <w:rPr>
          <w:color w:val="000000"/>
          <w:lang w:val="en-US"/>
        </w:rPr>
        <w:instrText xml:space="preserve"> ADDIN ZOTERO_BIBL {"uncited":[],"omitted":[],"custom":[]} CSL_BIBLIOGRAPHY </w:instrText>
      </w:r>
      <w:r w:rsidRPr="00511936">
        <w:rPr>
          <w:color w:val="000000"/>
          <w:lang w:val="en-US"/>
        </w:rPr>
        <w:fldChar w:fldCharType="separate"/>
      </w:r>
      <w:r w:rsidRPr="00511936">
        <w:rPr>
          <w:rFonts w:ascii="Times New Roman" w:hAnsi="Times New Roman" w:cs="Times New Roman"/>
          <w:color w:val="000000"/>
          <w:lang w:val="en-US"/>
        </w:rPr>
        <w:t xml:space="preserve">1. </w:t>
      </w:r>
      <w:r w:rsidRPr="00511936">
        <w:rPr>
          <w:rFonts w:ascii="Times New Roman" w:hAnsi="Times New Roman" w:cs="Times New Roman"/>
          <w:color w:val="000000"/>
          <w:lang w:val="en-US"/>
        </w:rPr>
        <w:tab/>
        <w:t xml:space="preserve">Schmidt M, Schmidt SAJ, Adelborg K, et al. The Danish health care system and epidemiological research: from health care contacts to database records. </w:t>
      </w:r>
      <w:r w:rsidRPr="00511936">
        <w:rPr>
          <w:rFonts w:ascii="Times New Roman" w:hAnsi="Times New Roman" w:cs="Times New Roman"/>
          <w:i/>
          <w:iCs/>
          <w:color w:val="000000"/>
          <w:lang w:val="en-US"/>
        </w:rPr>
        <w:t>Clin Epidemiol</w:t>
      </w:r>
      <w:r w:rsidR="00736C63" w:rsidRPr="00511936">
        <w:rPr>
          <w:rFonts w:ascii="Times New Roman" w:hAnsi="Times New Roman" w:cs="Times New Roman"/>
          <w:i/>
          <w:iCs/>
          <w:color w:val="000000"/>
          <w:lang w:val="en-US"/>
        </w:rPr>
        <w:t>.</w:t>
      </w:r>
      <w:r w:rsidRPr="00511936">
        <w:rPr>
          <w:rFonts w:ascii="Times New Roman" w:hAnsi="Times New Roman" w:cs="Times New Roman"/>
          <w:color w:val="000000"/>
          <w:lang w:val="en-US"/>
        </w:rPr>
        <w:t xml:space="preserve"> 2019;11:563-591. </w:t>
      </w:r>
    </w:p>
    <w:p w14:paraId="18F0B0CB" w14:textId="77777777" w:rsidR="00331218" w:rsidRPr="00511936" w:rsidRDefault="00331218" w:rsidP="00331218">
      <w:pPr>
        <w:pStyle w:val="Bibliography"/>
        <w:tabs>
          <w:tab w:val="left" w:pos="567"/>
        </w:tabs>
        <w:spacing w:line="360" w:lineRule="auto"/>
        <w:ind w:left="567" w:hanging="567"/>
        <w:rPr>
          <w:rFonts w:ascii="Times New Roman" w:hAnsi="Times New Roman" w:cs="Times New Roman"/>
          <w:color w:val="000000"/>
          <w:lang w:val="en-US"/>
        </w:rPr>
      </w:pPr>
      <w:r w:rsidRPr="00511936">
        <w:rPr>
          <w:rFonts w:ascii="Times New Roman" w:hAnsi="Times New Roman" w:cs="Times New Roman"/>
          <w:color w:val="000000"/>
          <w:lang w:val="en-US"/>
        </w:rPr>
        <w:t xml:space="preserve">2. </w:t>
      </w:r>
      <w:r w:rsidRPr="00511936">
        <w:rPr>
          <w:rFonts w:ascii="Times New Roman" w:hAnsi="Times New Roman" w:cs="Times New Roman"/>
          <w:color w:val="000000"/>
          <w:lang w:val="en-US"/>
        </w:rPr>
        <w:tab/>
        <w:t xml:space="preserve">Schmidt M, Schmidt SAJ, Sandegaard JL, Ehrenstein V, Pedersen L, Sørensen HT. The Danish National Patient Registry: a review of content, data quality, and research potential. </w:t>
      </w:r>
      <w:r w:rsidRPr="00511936">
        <w:rPr>
          <w:rFonts w:ascii="Times New Roman" w:hAnsi="Times New Roman" w:cs="Times New Roman"/>
          <w:i/>
          <w:iCs/>
          <w:color w:val="000000"/>
          <w:lang w:val="en-US"/>
        </w:rPr>
        <w:t>Clin Epidemiol</w:t>
      </w:r>
      <w:r w:rsidR="00736C63" w:rsidRPr="00511936">
        <w:rPr>
          <w:rFonts w:ascii="Times New Roman" w:hAnsi="Times New Roman" w:cs="Times New Roman"/>
          <w:i/>
          <w:iCs/>
          <w:color w:val="000000"/>
          <w:lang w:val="en-US"/>
        </w:rPr>
        <w:t>.</w:t>
      </w:r>
      <w:r w:rsidRPr="00511936">
        <w:rPr>
          <w:rFonts w:ascii="Times New Roman" w:hAnsi="Times New Roman" w:cs="Times New Roman"/>
          <w:color w:val="000000"/>
          <w:lang w:val="en-US"/>
        </w:rPr>
        <w:t xml:space="preserve"> 2015;7:449-490. </w:t>
      </w:r>
    </w:p>
    <w:p w14:paraId="64BB2001" w14:textId="77777777" w:rsidR="00331218" w:rsidRPr="00511936" w:rsidRDefault="00331218" w:rsidP="00331218">
      <w:pPr>
        <w:pStyle w:val="Bibliography"/>
        <w:tabs>
          <w:tab w:val="left" w:pos="567"/>
        </w:tabs>
        <w:spacing w:line="360" w:lineRule="auto"/>
        <w:ind w:left="567" w:hanging="567"/>
        <w:rPr>
          <w:rFonts w:ascii="Times New Roman" w:hAnsi="Times New Roman" w:cs="Times New Roman"/>
          <w:color w:val="000000"/>
          <w:lang w:val="en-US"/>
        </w:rPr>
      </w:pPr>
      <w:r w:rsidRPr="00511936">
        <w:rPr>
          <w:rFonts w:ascii="Times New Roman" w:hAnsi="Times New Roman" w:cs="Times New Roman"/>
          <w:color w:val="000000"/>
          <w:lang w:val="en-US"/>
        </w:rPr>
        <w:t xml:space="preserve">3. </w:t>
      </w:r>
      <w:r w:rsidRPr="00511936">
        <w:rPr>
          <w:rFonts w:ascii="Times New Roman" w:hAnsi="Times New Roman" w:cs="Times New Roman"/>
          <w:color w:val="000000"/>
          <w:lang w:val="en-US"/>
        </w:rPr>
        <w:tab/>
        <w:t xml:space="preserve">Gjerstorff ML. The Danish Cancer Registry. </w:t>
      </w:r>
      <w:r w:rsidRPr="00511936">
        <w:rPr>
          <w:rFonts w:ascii="Times New Roman" w:hAnsi="Times New Roman" w:cs="Times New Roman"/>
          <w:i/>
          <w:iCs/>
          <w:color w:val="000000"/>
          <w:lang w:val="en-US"/>
        </w:rPr>
        <w:t>Scand J Public Health</w:t>
      </w:r>
      <w:r w:rsidR="00736C63" w:rsidRPr="00511936">
        <w:rPr>
          <w:rFonts w:ascii="Times New Roman" w:hAnsi="Times New Roman" w:cs="Times New Roman"/>
          <w:i/>
          <w:iCs/>
          <w:color w:val="000000"/>
          <w:lang w:val="en-US"/>
        </w:rPr>
        <w:t>.</w:t>
      </w:r>
      <w:r w:rsidRPr="00511936">
        <w:rPr>
          <w:rFonts w:ascii="Times New Roman" w:hAnsi="Times New Roman" w:cs="Times New Roman"/>
          <w:color w:val="000000"/>
          <w:lang w:val="en-US"/>
        </w:rPr>
        <w:t xml:space="preserve"> 2011;39(7 Suppl):42-45. </w:t>
      </w:r>
    </w:p>
    <w:p w14:paraId="79C7B268" w14:textId="77777777" w:rsidR="00331218" w:rsidRPr="00511936" w:rsidRDefault="00331218" w:rsidP="00331218">
      <w:pPr>
        <w:pStyle w:val="Bibliography"/>
        <w:tabs>
          <w:tab w:val="left" w:pos="567"/>
        </w:tabs>
        <w:spacing w:line="360" w:lineRule="auto"/>
        <w:ind w:left="567" w:hanging="567"/>
        <w:rPr>
          <w:rFonts w:ascii="Times New Roman" w:hAnsi="Times New Roman" w:cs="Times New Roman"/>
          <w:color w:val="000000"/>
          <w:lang w:val="en-US"/>
        </w:rPr>
      </w:pPr>
      <w:r w:rsidRPr="00511936">
        <w:rPr>
          <w:rFonts w:ascii="Times New Roman" w:hAnsi="Times New Roman" w:cs="Times New Roman"/>
          <w:color w:val="000000"/>
          <w:lang w:val="en-US"/>
        </w:rPr>
        <w:t xml:space="preserve">4. </w:t>
      </w:r>
      <w:r w:rsidRPr="00511936">
        <w:rPr>
          <w:rFonts w:ascii="Times New Roman" w:hAnsi="Times New Roman" w:cs="Times New Roman"/>
          <w:color w:val="000000"/>
          <w:lang w:val="en-US"/>
        </w:rPr>
        <w:tab/>
        <w:t xml:space="preserve">Schmidt M, Pedersen L, Sørensen HT. The Danish Civil Registration System as a tool in epidemiology. </w:t>
      </w:r>
      <w:r w:rsidRPr="00511936">
        <w:rPr>
          <w:rFonts w:ascii="Times New Roman" w:hAnsi="Times New Roman" w:cs="Times New Roman"/>
          <w:i/>
          <w:iCs/>
          <w:color w:val="000000"/>
          <w:lang w:val="en-US"/>
        </w:rPr>
        <w:t>Eur J Epidemiol</w:t>
      </w:r>
      <w:r w:rsidR="00736C63" w:rsidRPr="00511936">
        <w:rPr>
          <w:rFonts w:ascii="Times New Roman" w:hAnsi="Times New Roman" w:cs="Times New Roman"/>
          <w:i/>
          <w:iCs/>
          <w:color w:val="000000"/>
          <w:lang w:val="en-US"/>
        </w:rPr>
        <w:t>.</w:t>
      </w:r>
      <w:r w:rsidRPr="00511936">
        <w:rPr>
          <w:rFonts w:ascii="Times New Roman" w:hAnsi="Times New Roman" w:cs="Times New Roman"/>
          <w:color w:val="000000"/>
          <w:lang w:val="en-US"/>
        </w:rPr>
        <w:t xml:space="preserve"> 2014;29:541-54</w:t>
      </w:r>
      <w:r w:rsidR="001861D7" w:rsidRPr="00511936">
        <w:rPr>
          <w:rFonts w:ascii="Times New Roman" w:hAnsi="Times New Roman" w:cs="Times New Roman"/>
          <w:color w:val="000000"/>
          <w:lang w:val="en-US"/>
        </w:rPr>
        <w:t xml:space="preserve">9. </w:t>
      </w:r>
    </w:p>
    <w:p w14:paraId="7D143D22" w14:textId="77777777" w:rsidR="00331218" w:rsidRPr="00511936" w:rsidRDefault="00331218" w:rsidP="00331218">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fldChar w:fldCharType="end"/>
      </w:r>
      <w:r w:rsidRPr="00511936">
        <w:rPr>
          <w:rFonts w:ascii="Times New Roman" w:hAnsi="Times New Roman" w:cs="Times New Roman"/>
          <w:color w:val="000000"/>
          <w:lang w:val="en-US"/>
        </w:rPr>
        <w:br w:type="page"/>
      </w:r>
    </w:p>
    <w:p w14:paraId="0C7A3D36" w14:textId="2B967226" w:rsidR="00331218" w:rsidRPr="00511936" w:rsidRDefault="00331218" w:rsidP="00331218">
      <w:pPr>
        <w:spacing w:after="0" w:line="360" w:lineRule="auto"/>
        <w:rPr>
          <w:rFonts w:ascii="Times New Roman" w:hAnsi="Times New Roman" w:cs="Times New Roman"/>
          <w:b/>
          <w:color w:val="000000"/>
          <w:lang w:val="en-US"/>
        </w:rPr>
      </w:pPr>
      <w:r w:rsidRPr="00511936">
        <w:rPr>
          <w:rFonts w:ascii="Times New Roman" w:hAnsi="Times New Roman" w:cs="Times New Roman"/>
          <w:b/>
          <w:color w:val="000000"/>
          <w:lang w:val="en-US"/>
        </w:rPr>
        <w:lastRenderedPageBreak/>
        <w:t>Table S</w:t>
      </w:r>
      <w:r w:rsidR="0048771D" w:rsidRPr="00511936">
        <w:rPr>
          <w:rFonts w:ascii="Times New Roman" w:hAnsi="Times New Roman" w:cs="Times New Roman"/>
          <w:b/>
          <w:color w:val="000000"/>
          <w:lang w:val="en-US"/>
        </w:rPr>
        <w:t>1</w:t>
      </w:r>
      <w:r w:rsidRPr="00511936">
        <w:rPr>
          <w:rFonts w:ascii="Times New Roman" w:hAnsi="Times New Roman" w:cs="Times New Roman"/>
          <w:b/>
          <w:i/>
          <w:color w:val="000000"/>
          <w:lang w:val="en-US"/>
        </w:rPr>
        <w:t>. International Classification of Diseases</w:t>
      </w:r>
      <w:r w:rsidRPr="00511936">
        <w:rPr>
          <w:rFonts w:ascii="Times New Roman" w:hAnsi="Times New Roman" w:cs="Times New Roman"/>
          <w:b/>
          <w:color w:val="000000"/>
          <w:lang w:val="en-US"/>
        </w:rPr>
        <w:t xml:space="preserve"> (ICD) codes and surgical procedure codes.</w:t>
      </w:r>
    </w:p>
    <w:tbl>
      <w:tblPr>
        <w:tblStyle w:val="TableGrid"/>
        <w:tblW w:w="9634" w:type="dxa"/>
        <w:tblBorders>
          <w:left w:val="none" w:sz="0" w:space="0" w:color="auto"/>
          <w:right w:val="none" w:sz="0" w:space="0" w:color="auto"/>
          <w:insideV w:val="none" w:sz="0" w:space="0" w:color="auto"/>
        </w:tblBorders>
        <w:tblLook w:val="04A0" w:firstRow="1" w:lastRow="0" w:firstColumn="1" w:lastColumn="0" w:noHBand="0" w:noVBand="1"/>
      </w:tblPr>
      <w:tblGrid>
        <w:gridCol w:w="2720"/>
        <w:gridCol w:w="2095"/>
        <w:gridCol w:w="2126"/>
        <w:gridCol w:w="289"/>
        <w:gridCol w:w="2404"/>
      </w:tblGrid>
      <w:tr w:rsidR="00331218" w:rsidRPr="00511936" w14:paraId="558548CD" w14:textId="77777777" w:rsidTr="00231BC3">
        <w:tc>
          <w:tcPr>
            <w:tcW w:w="2720" w:type="dxa"/>
          </w:tcPr>
          <w:p w14:paraId="488AFDD5" w14:textId="77777777" w:rsidR="00331218" w:rsidRPr="00511936" w:rsidRDefault="00331218" w:rsidP="00231BC3">
            <w:pPr>
              <w:spacing w:line="360" w:lineRule="auto"/>
              <w:rPr>
                <w:rFonts w:ascii="Times New Roman" w:hAnsi="Times New Roman" w:cs="Times New Roman"/>
                <w:color w:val="000000"/>
                <w:lang w:val="en-US"/>
              </w:rPr>
            </w:pPr>
          </w:p>
        </w:tc>
        <w:tc>
          <w:tcPr>
            <w:tcW w:w="2095" w:type="dxa"/>
          </w:tcPr>
          <w:p w14:paraId="1738BD95" w14:textId="77777777" w:rsidR="00331218" w:rsidRPr="00511936" w:rsidRDefault="00331218" w:rsidP="00231BC3">
            <w:pPr>
              <w:spacing w:line="360" w:lineRule="auto"/>
              <w:jc w:val="center"/>
              <w:rPr>
                <w:rFonts w:ascii="Times New Roman" w:hAnsi="Times New Roman" w:cs="Times New Roman"/>
                <w:b/>
                <w:color w:val="000000"/>
                <w:lang w:val="en-US"/>
              </w:rPr>
            </w:pPr>
            <w:r w:rsidRPr="00511936">
              <w:rPr>
                <w:rFonts w:ascii="Times New Roman" w:hAnsi="Times New Roman" w:cs="Times New Roman"/>
                <w:b/>
                <w:color w:val="000000"/>
                <w:lang w:val="en-US"/>
              </w:rPr>
              <w:t>ICD-8</w:t>
            </w:r>
          </w:p>
          <w:p w14:paraId="76CDB180" w14:textId="77777777" w:rsidR="00331218" w:rsidRPr="00511936" w:rsidRDefault="00331218" w:rsidP="00231BC3">
            <w:pPr>
              <w:spacing w:line="360" w:lineRule="auto"/>
              <w:jc w:val="center"/>
              <w:rPr>
                <w:rFonts w:ascii="Times New Roman" w:hAnsi="Times New Roman" w:cs="Times New Roman"/>
                <w:b/>
                <w:color w:val="000000"/>
                <w:lang w:val="en-US"/>
              </w:rPr>
            </w:pPr>
          </w:p>
        </w:tc>
        <w:tc>
          <w:tcPr>
            <w:tcW w:w="2126" w:type="dxa"/>
          </w:tcPr>
          <w:p w14:paraId="4C1F7A6E" w14:textId="77777777" w:rsidR="00331218" w:rsidRPr="00511936" w:rsidRDefault="00331218" w:rsidP="00231BC3">
            <w:pPr>
              <w:spacing w:line="360" w:lineRule="auto"/>
              <w:jc w:val="center"/>
              <w:rPr>
                <w:rFonts w:ascii="Times New Roman" w:hAnsi="Times New Roman" w:cs="Times New Roman"/>
                <w:b/>
                <w:color w:val="000000"/>
                <w:lang w:val="en-US"/>
              </w:rPr>
            </w:pPr>
            <w:r w:rsidRPr="00511936">
              <w:rPr>
                <w:rFonts w:ascii="Times New Roman" w:hAnsi="Times New Roman" w:cs="Times New Roman"/>
                <w:b/>
                <w:color w:val="000000"/>
                <w:lang w:val="en-US"/>
              </w:rPr>
              <w:t>ICD-10</w:t>
            </w:r>
          </w:p>
        </w:tc>
        <w:tc>
          <w:tcPr>
            <w:tcW w:w="2693" w:type="dxa"/>
            <w:gridSpan w:val="2"/>
          </w:tcPr>
          <w:p w14:paraId="6EA89C69" w14:textId="77777777" w:rsidR="00331218" w:rsidRPr="00511936" w:rsidRDefault="00331218" w:rsidP="00231BC3">
            <w:pPr>
              <w:spacing w:line="360" w:lineRule="auto"/>
              <w:jc w:val="center"/>
              <w:rPr>
                <w:rFonts w:ascii="Times New Roman" w:hAnsi="Times New Roman" w:cs="Times New Roman"/>
                <w:b/>
                <w:color w:val="000000"/>
                <w:lang w:val="en-US"/>
              </w:rPr>
            </w:pPr>
            <w:r w:rsidRPr="00511936">
              <w:rPr>
                <w:rFonts w:ascii="Times New Roman" w:hAnsi="Times New Roman" w:cs="Times New Roman"/>
                <w:b/>
                <w:color w:val="000000"/>
                <w:lang w:val="en-US"/>
              </w:rPr>
              <w:t>Surgical procedure codes*</w:t>
            </w:r>
          </w:p>
        </w:tc>
      </w:tr>
      <w:tr w:rsidR="00331218" w:rsidRPr="00511936" w14:paraId="619F664E" w14:textId="77777777" w:rsidTr="00231BC3">
        <w:tc>
          <w:tcPr>
            <w:tcW w:w="2720" w:type="dxa"/>
          </w:tcPr>
          <w:p w14:paraId="7546C699"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Pulmonary hypertension</w:t>
            </w:r>
          </w:p>
        </w:tc>
        <w:tc>
          <w:tcPr>
            <w:tcW w:w="2095" w:type="dxa"/>
          </w:tcPr>
          <w:p w14:paraId="373DCB87" w14:textId="77777777" w:rsidR="00331218" w:rsidRPr="00511936" w:rsidRDefault="00331218" w:rsidP="00231BC3">
            <w:pPr>
              <w:spacing w:line="360" w:lineRule="auto"/>
              <w:jc w:val="center"/>
              <w:rPr>
                <w:rFonts w:ascii="Times New Roman" w:hAnsi="Times New Roman" w:cs="Times New Roman"/>
                <w:color w:val="000000"/>
                <w:lang w:val="en-US"/>
              </w:rPr>
            </w:pPr>
          </w:p>
        </w:tc>
        <w:tc>
          <w:tcPr>
            <w:tcW w:w="2415" w:type="dxa"/>
            <w:gridSpan w:val="2"/>
          </w:tcPr>
          <w:p w14:paraId="58B5BBE7"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I27.0</w:t>
            </w:r>
          </w:p>
        </w:tc>
        <w:tc>
          <w:tcPr>
            <w:tcW w:w="2404" w:type="dxa"/>
          </w:tcPr>
          <w:p w14:paraId="4EF68028" w14:textId="77777777" w:rsidR="00331218" w:rsidRPr="00511936" w:rsidRDefault="00331218" w:rsidP="00231BC3">
            <w:pPr>
              <w:spacing w:line="360" w:lineRule="auto"/>
              <w:jc w:val="center"/>
              <w:rPr>
                <w:rFonts w:ascii="Times New Roman" w:hAnsi="Times New Roman" w:cs="Times New Roman"/>
                <w:color w:val="000000"/>
                <w:lang w:val="en-US"/>
              </w:rPr>
            </w:pPr>
          </w:p>
        </w:tc>
      </w:tr>
      <w:tr w:rsidR="00331218" w:rsidRPr="00511936" w14:paraId="0CA525A1" w14:textId="77777777" w:rsidTr="00231BC3">
        <w:tc>
          <w:tcPr>
            <w:tcW w:w="2720" w:type="dxa"/>
          </w:tcPr>
          <w:p w14:paraId="3B24AE21"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Chronic thromboembolic pulmonary hypertension</w:t>
            </w:r>
          </w:p>
        </w:tc>
        <w:tc>
          <w:tcPr>
            <w:tcW w:w="2095" w:type="dxa"/>
          </w:tcPr>
          <w:p w14:paraId="09390221" w14:textId="77777777" w:rsidR="00331218" w:rsidRPr="00511936" w:rsidRDefault="00331218" w:rsidP="00231BC3">
            <w:pPr>
              <w:spacing w:line="360" w:lineRule="auto"/>
              <w:jc w:val="center"/>
              <w:rPr>
                <w:rFonts w:ascii="Times New Roman" w:hAnsi="Times New Roman" w:cs="Times New Roman"/>
                <w:color w:val="000000"/>
                <w:lang w:val="en-US"/>
              </w:rPr>
            </w:pPr>
          </w:p>
        </w:tc>
        <w:tc>
          <w:tcPr>
            <w:tcW w:w="2126" w:type="dxa"/>
          </w:tcPr>
          <w:p w14:paraId="6B13732B"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eastAsia="Calibri" w:hAnsi="Times New Roman" w:cs="Times New Roman"/>
                <w:color w:val="000000"/>
                <w:lang w:val="en-US"/>
              </w:rPr>
              <w:t>I27.2</w:t>
            </w:r>
          </w:p>
        </w:tc>
        <w:tc>
          <w:tcPr>
            <w:tcW w:w="2693" w:type="dxa"/>
            <w:gridSpan w:val="2"/>
          </w:tcPr>
          <w:p w14:paraId="643627E3" w14:textId="77777777" w:rsidR="00331218" w:rsidRPr="00511936" w:rsidRDefault="00331218" w:rsidP="00231BC3">
            <w:pPr>
              <w:spacing w:line="360" w:lineRule="auto"/>
              <w:jc w:val="center"/>
              <w:rPr>
                <w:rFonts w:ascii="Times New Roman" w:hAnsi="Times New Roman" w:cs="Times New Roman"/>
                <w:color w:val="000000"/>
                <w:lang w:val="en-US"/>
              </w:rPr>
            </w:pPr>
          </w:p>
        </w:tc>
      </w:tr>
      <w:tr w:rsidR="00331218" w:rsidRPr="00511936" w14:paraId="4CFDA4DA" w14:textId="77777777" w:rsidTr="00231BC3">
        <w:tc>
          <w:tcPr>
            <w:tcW w:w="2720" w:type="dxa"/>
          </w:tcPr>
          <w:p w14:paraId="36A15620" w14:textId="77777777" w:rsidR="00331218" w:rsidRPr="00511936" w:rsidRDefault="00331218" w:rsidP="00231BC3">
            <w:pPr>
              <w:spacing w:line="360" w:lineRule="auto"/>
              <w:rPr>
                <w:rFonts w:ascii="Times New Roman" w:hAnsi="Times New Roman" w:cs="Times New Roman"/>
                <w:i/>
                <w:color w:val="000000"/>
                <w:lang w:val="en-US"/>
              </w:rPr>
            </w:pPr>
            <w:r w:rsidRPr="00511936">
              <w:rPr>
                <w:rFonts w:ascii="Times New Roman" w:hAnsi="Times New Roman" w:cs="Times New Roman"/>
                <w:i/>
                <w:color w:val="000000"/>
                <w:lang w:val="en-US"/>
              </w:rPr>
              <w:t>Comorbidities</w:t>
            </w:r>
          </w:p>
        </w:tc>
        <w:tc>
          <w:tcPr>
            <w:tcW w:w="2095" w:type="dxa"/>
          </w:tcPr>
          <w:p w14:paraId="6671CBC9" w14:textId="77777777" w:rsidR="00331218" w:rsidRPr="00511936" w:rsidRDefault="00331218" w:rsidP="00231BC3">
            <w:pPr>
              <w:spacing w:line="360" w:lineRule="auto"/>
              <w:jc w:val="center"/>
              <w:rPr>
                <w:rFonts w:ascii="Times New Roman" w:hAnsi="Times New Roman" w:cs="Times New Roman"/>
                <w:color w:val="000000"/>
                <w:lang w:val="en-US"/>
              </w:rPr>
            </w:pPr>
          </w:p>
        </w:tc>
        <w:tc>
          <w:tcPr>
            <w:tcW w:w="2126" w:type="dxa"/>
          </w:tcPr>
          <w:p w14:paraId="36A3C6C5" w14:textId="77777777" w:rsidR="00331218" w:rsidRPr="00511936" w:rsidRDefault="00331218" w:rsidP="00231BC3">
            <w:pPr>
              <w:spacing w:line="360" w:lineRule="auto"/>
              <w:jc w:val="center"/>
              <w:rPr>
                <w:rFonts w:ascii="Times New Roman" w:hAnsi="Times New Roman" w:cs="Times New Roman"/>
                <w:color w:val="000000"/>
                <w:lang w:val="en-US"/>
              </w:rPr>
            </w:pPr>
          </w:p>
        </w:tc>
        <w:tc>
          <w:tcPr>
            <w:tcW w:w="2693" w:type="dxa"/>
            <w:gridSpan w:val="2"/>
          </w:tcPr>
          <w:p w14:paraId="440D4ADC" w14:textId="77777777" w:rsidR="00331218" w:rsidRPr="00511936" w:rsidRDefault="00331218" w:rsidP="00231BC3">
            <w:pPr>
              <w:spacing w:line="360" w:lineRule="auto"/>
              <w:jc w:val="center"/>
              <w:rPr>
                <w:rFonts w:ascii="Times New Roman" w:hAnsi="Times New Roman" w:cs="Times New Roman"/>
                <w:color w:val="000000"/>
                <w:lang w:val="en-US"/>
              </w:rPr>
            </w:pPr>
          </w:p>
        </w:tc>
      </w:tr>
      <w:tr w:rsidR="00331218" w:rsidRPr="00511936" w14:paraId="6DD5A78D" w14:textId="77777777" w:rsidTr="00231BC3">
        <w:tc>
          <w:tcPr>
            <w:tcW w:w="2720" w:type="dxa"/>
          </w:tcPr>
          <w:p w14:paraId="39AA0B40"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Hypothyroidism</w:t>
            </w:r>
          </w:p>
        </w:tc>
        <w:tc>
          <w:tcPr>
            <w:tcW w:w="2095" w:type="dxa"/>
          </w:tcPr>
          <w:p w14:paraId="4B7E57BD"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244</w:t>
            </w:r>
          </w:p>
          <w:p w14:paraId="48F8BE0F" w14:textId="77777777" w:rsidR="00331218" w:rsidRPr="00511936" w:rsidRDefault="00331218" w:rsidP="00231BC3">
            <w:pPr>
              <w:spacing w:line="360" w:lineRule="auto"/>
              <w:rPr>
                <w:rFonts w:ascii="Times New Roman" w:hAnsi="Times New Roman" w:cs="Times New Roman"/>
                <w:color w:val="000000"/>
                <w:lang w:val="en-US"/>
              </w:rPr>
            </w:pPr>
          </w:p>
        </w:tc>
        <w:tc>
          <w:tcPr>
            <w:tcW w:w="2126" w:type="dxa"/>
          </w:tcPr>
          <w:p w14:paraId="09A01B78"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E03; E89.0</w:t>
            </w:r>
          </w:p>
        </w:tc>
        <w:tc>
          <w:tcPr>
            <w:tcW w:w="2693" w:type="dxa"/>
            <w:gridSpan w:val="2"/>
          </w:tcPr>
          <w:p w14:paraId="5E4A9226" w14:textId="77777777" w:rsidR="00331218" w:rsidRPr="00511936" w:rsidRDefault="00331218" w:rsidP="00231BC3">
            <w:pPr>
              <w:spacing w:line="360" w:lineRule="auto"/>
              <w:jc w:val="center"/>
              <w:rPr>
                <w:rFonts w:ascii="Times New Roman" w:hAnsi="Times New Roman" w:cs="Times New Roman"/>
                <w:color w:val="000000"/>
                <w:lang w:val="en-US"/>
              </w:rPr>
            </w:pPr>
          </w:p>
        </w:tc>
      </w:tr>
      <w:tr w:rsidR="00331218" w:rsidRPr="00511936" w14:paraId="4F727C5C" w14:textId="77777777" w:rsidTr="00231BC3">
        <w:tc>
          <w:tcPr>
            <w:tcW w:w="2720" w:type="dxa"/>
          </w:tcPr>
          <w:p w14:paraId="3889ADB5"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Hyperthyroidism</w:t>
            </w:r>
          </w:p>
        </w:tc>
        <w:tc>
          <w:tcPr>
            <w:tcW w:w="2095" w:type="dxa"/>
          </w:tcPr>
          <w:p w14:paraId="14D9B85F"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 xml:space="preserve">242 </w:t>
            </w:r>
          </w:p>
          <w:p w14:paraId="7F82D027" w14:textId="77777777" w:rsidR="00331218" w:rsidRPr="00511936" w:rsidRDefault="00331218" w:rsidP="00231BC3">
            <w:pPr>
              <w:spacing w:line="360" w:lineRule="auto"/>
              <w:rPr>
                <w:rFonts w:ascii="Times New Roman" w:hAnsi="Times New Roman" w:cs="Times New Roman"/>
                <w:color w:val="000000"/>
                <w:lang w:val="en-US"/>
              </w:rPr>
            </w:pPr>
          </w:p>
        </w:tc>
        <w:tc>
          <w:tcPr>
            <w:tcW w:w="2126" w:type="dxa"/>
          </w:tcPr>
          <w:p w14:paraId="5878587C"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E05</w:t>
            </w:r>
          </w:p>
          <w:p w14:paraId="1BE771AE" w14:textId="77777777" w:rsidR="00331218" w:rsidRPr="00511936" w:rsidRDefault="00331218" w:rsidP="00231BC3">
            <w:pPr>
              <w:spacing w:line="360" w:lineRule="auto"/>
              <w:rPr>
                <w:rFonts w:ascii="Times New Roman" w:hAnsi="Times New Roman" w:cs="Times New Roman"/>
                <w:color w:val="000000"/>
                <w:lang w:val="en-US"/>
              </w:rPr>
            </w:pPr>
          </w:p>
        </w:tc>
        <w:tc>
          <w:tcPr>
            <w:tcW w:w="2693" w:type="dxa"/>
            <w:gridSpan w:val="2"/>
          </w:tcPr>
          <w:p w14:paraId="1900D184" w14:textId="77777777" w:rsidR="00331218" w:rsidRPr="00511936" w:rsidRDefault="00331218" w:rsidP="00231BC3">
            <w:pPr>
              <w:spacing w:line="360" w:lineRule="auto"/>
              <w:jc w:val="center"/>
              <w:rPr>
                <w:rFonts w:ascii="Times New Roman" w:hAnsi="Times New Roman" w:cs="Times New Roman"/>
                <w:color w:val="000000"/>
                <w:lang w:val="en-US"/>
              </w:rPr>
            </w:pPr>
          </w:p>
        </w:tc>
      </w:tr>
      <w:tr w:rsidR="00331218" w:rsidRPr="00511936" w14:paraId="00435A00" w14:textId="77777777" w:rsidTr="00231BC3">
        <w:tc>
          <w:tcPr>
            <w:tcW w:w="2720" w:type="dxa"/>
          </w:tcPr>
          <w:p w14:paraId="7619B33B"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Venous thromboembolism</w:t>
            </w:r>
          </w:p>
        </w:tc>
        <w:tc>
          <w:tcPr>
            <w:tcW w:w="2095" w:type="dxa"/>
          </w:tcPr>
          <w:p w14:paraId="52FDC828"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bCs/>
                <w:color w:val="000000"/>
                <w:lang w:val="en-US"/>
              </w:rPr>
              <w:t>450.99; 451.00; 671.01; 671.02</w:t>
            </w:r>
          </w:p>
        </w:tc>
        <w:tc>
          <w:tcPr>
            <w:tcW w:w="2126" w:type="dxa"/>
          </w:tcPr>
          <w:p w14:paraId="6CF48BC2"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bCs/>
                <w:color w:val="000000"/>
                <w:lang w:val="en-US"/>
              </w:rPr>
              <w:t>I26; I80.1-3;O22.3: O87.1</w:t>
            </w:r>
          </w:p>
        </w:tc>
        <w:tc>
          <w:tcPr>
            <w:tcW w:w="2693" w:type="dxa"/>
            <w:gridSpan w:val="2"/>
          </w:tcPr>
          <w:p w14:paraId="7CA27A86" w14:textId="77777777" w:rsidR="00331218" w:rsidRPr="00511936" w:rsidRDefault="00331218" w:rsidP="00231BC3">
            <w:pPr>
              <w:spacing w:line="360" w:lineRule="auto"/>
              <w:jc w:val="center"/>
              <w:rPr>
                <w:rFonts w:ascii="Times New Roman" w:hAnsi="Times New Roman" w:cs="Times New Roman"/>
                <w:color w:val="000000"/>
                <w:lang w:val="en-US"/>
              </w:rPr>
            </w:pPr>
          </w:p>
        </w:tc>
      </w:tr>
      <w:tr w:rsidR="00331218" w:rsidRPr="00511936" w14:paraId="01A77AB4" w14:textId="77777777" w:rsidTr="00231BC3">
        <w:tc>
          <w:tcPr>
            <w:tcW w:w="2720" w:type="dxa"/>
          </w:tcPr>
          <w:p w14:paraId="32E05418"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Pulmonary embolism +/- deep venous thromboembolism</w:t>
            </w:r>
          </w:p>
        </w:tc>
        <w:tc>
          <w:tcPr>
            <w:tcW w:w="2095" w:type="dxa"/>
          </w:tcPr>
          <w:p w14:paraId="6306E8FF"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bCs/>
                <w:color w:val="000000"/>
                <w:lang w:val="en-US"/>
              </w:rPr>
              <w:t>450.99</w:t>
            </w:r>
          </w:p>
        </w:tc>
        <w:tc>
          <w:tcPr>
            <w:tcW w:w="2126" w:type="dxa"/>
          </w:tcPr>
          <w:p w14:paraId="1B25636B"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bCs/>
                <w:color w:val="000000"/>
                <w:lang w:val="en-US"/>
              </w:rPr>
              <w:t>I26</w:t>
            </w:r>
          </w:p>
        </w:tc>
        <w:tc>
          <w:tcPr>
            <w:tcW w:w="2693" w:type="dxa"/>
            <w:gridSpan w:val="2"/>
          </w:tcPr>
          <w:p w14:paraId="0463BF1D" w14:textId="77777777" w:rsidR="00331218" w:rsidRPr="00511936" w:rsidRDefault="00331218" w:rsidP="00231BC3">
            <w:pPr>
              <w:spacing w:line="360" w:lineRule="auto"/>
              <w:jc w:val="center"/>
              <w:rPr>
                <w:rFonts w:ascii="Times New Roman" w:hAnsi="Times New Roman" w:cs="Times New Roman"/>
                <w:color w:val="000000"/>
                <w:lang w:val="en-US"/>
              </w:rPr>
            </w:pPr>
          </w:p>
        </w:tc>
      </w:tr>
      <w:tr w:rsidR="00331218" w:rsidRPr="00511936" w14:paraId="4F75C278" w14:textId="77777777" w:rsidTr="00231BC3">
        <w:tc>
          <w:tcPr>
            <w:tcW w:w="2720" w:type="dxa"/>
          </w:tcPr>
          <w:p w14:paraId="111B0397"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Deep venous thrombosis</w:t>
            </w:r>
          </w:p>
        </w:tc>
        <w:tc>
          <w:tcPr>
            <w:tcW w:w="2095" w:type="dxa"/>
          </w:tcPr>
          <w:p w14:paraId="5465742C"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451.00; 671.01; 671.02 but no 450.99 any time before index date</w:t>
            </w:r>
          </w:p>
        </w:tc>
        <w:tc>
          <w:tcPr>
            <w:tcW w:w="2126" w:type="dxa"/>
          </w:tcPr>
          <w:p w14:paraId="5326A9CA"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I80.1-3; O22.3; O87.1 but no I26 any time before index date</w:t>
            </w:r>
          </w:p>
        </w:tc>
        <w:tc>
          <w:tcPr>
            <w:tcW w:w="2693" w:type="dxa"/>
            <w:gridSpan w:val="2"/>
          </w:tcPr>
          <w:p w14:paraId="0D4C9ED3" w14:textId="77777777" w:rsidR="00331218" w:rsidRPr="00511936" w:rsidRDefault="00331218" w:rsidP="00231BC3">
            <w:pPr>
              <w:spacing w:line="360" w:lineRule="auto"/>
              <w:jc w:val="center"/>
              <w:rPr>
                <w:rFonts w:ascii="Times New Roman" w:hAnsi="Times New Roman" w:cs="Times New Roman"/>
                <w:color w:val="000000"/>
                <w:lang w:val="en-US"/>
              </w:rPr>
            </w:pPr>
          </w:p>
        </w:tc>
      </w:tr>
      <w:tr w:rsidR="00331218" w:rsidRPr="00511936" w14:paraId="5D6422AF" w14:textId="77777777" w:rsidTr="00231BC3">
        <w:tc>
          <w:tcPr>
            <w:tcW w:w="2720" w:type="dxa"/>
          </w:tcPr>
          <w:p w14:paraId="73B249CF"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Chronic obstructive pulmonary disease</w:t>
            </w:r>
          </w:p>
        </w:tc>
        <w:tc>
          <w:tcPr>
            <w:tcW w:w="2095" w:type="dxa"/>
          </w:tcPr>
          <w:p w14:paraId="19C690B3"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490–493</w:t>
            </w:r>
          </w:p>
        </w:tc>
        <w:tc>
          <w:tcPr>
            <w:tcW w:w="2126" w:type="dxa"/>
          </w:tcPr>
          <w:p w14:paraId="71A9D84C"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J42-46</w:t>
            </w:r>
          </w:p>
        </w:tc>
        <w:tc>
          <w:tcPr>
            <w:tcW w:w="2693" w:type="dxa"/>
            <w:gridSpan w:val="2"/>
          </w:tcPr>
          <w:p w14:paraId="1BDBE16F" w14:textId="77777777" w:rsidR="00331218" w:rsidRPr="00511936" w:rsidRDefault="00331218" w:rsidP="00231BC3">
            <w:pPr>
              <w:spacing w:line="360" w:lineRule="auto"/>
              <w:jc w:val="center"/>
              <w:rPr>
                <w:rFonts w:ascii="Times New Roman" w:hAnsi="Times New Roman" w:cs="Times New Roman"/>
                <w:color w:val="000000"/>
                <w:lang w:val="en-US"/>
              </w:rPr>
            </w:pPr>
          </w:p>
        </w:tc>
      </w:tr>
      <w:tr w:rsidR="00331218" w:rsidRPr="00511936" w14:paraId="278F8F03" w14:textId="77777777" w:rsidTr="00231BC3">
        <w:tc>
          <w:tcPr>
            <w:tcW w:w="2720" w:type="dxa"/>
          </w:tcPr>
          <w:p w14:paraId="659378BA"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Interstitial lung disease</w:t>
            </w:r>
          </w:p>
        </w:tc>
        <w:tc>
          <w:tcPr>
            <w:tcW w:w="2095" w:type="dxa"/>
          </w:tcPr>
          <w:p w14:paraId="658B59A6"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515, 516, 517, 135</w:t>
            </w:r>
          </w:p>
        </w:tc>
        <w:tc>
          <w:tcPr>
            <w:tcW w:w="2126" w:type="dxa"/>
          </w:tcPr>
          <w:p w14:paraId="2DFB2C98"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 xml:space="preserve">J60-65, J67, J68 (except J68.2), J69, J70 (except J70.8, J70.9), J82, </w:t>
            </w:r>
          </w:p>
          <w:p w14:paraId="17EA7D4A"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J84, J99, D76.0, D86.0, D86.2</w:t>
            </w:r>
          </w:p>
        </w:tc>
        <w:tc>
          <w:tcPr>
            <w:tcW w:w="2693" w:type="dxa"/>
            <w:gridSpan w:val="2"/>
          </w:tcPr>
          <w:p w14:paraId="19D550F5" w14:textId="77777777" w:rsidR="00331218" w:rsidRPr="00511936" w:rsidRDefault="00331218" w:rsidP="00231BC3">
            <w:pPr>
              <w:spacing w:line="360" w:lineRule="auto"/>
              <w:rPr>
                <w:rFonts w:ascii="Times New Roman" w:hAnsi="Times New Roman" w:cs="Times New Roman"/>
                <w:color w:val="000000"/>
                <w:lang w:val="en-US"/>
              </w:rPr>
            </w:pPr>
          </w:p>
        </w:tc>
      </w:tr>
      <w:tr w:rsidR="00331218" w:rsidRPr="00511936" w14:paraId="53304951" w14:textId="77777777" w:rsidTr="00231BC3">
        <w:tc>
          <w:tcPr>
            <w:tcW w:w="2720" w:type="dxa"/>
          </w:tcPr>
          <w:p w14:paraId="496E2EEB"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HIV</w:t>
            </w:r>
          </w:p>
        </w:tc>
        <w:tc>
          <w:tcPr>
            <w:tcW w:w="2095" w:type="dxa"/>
          </w:tcPr>
          <w:p w14:paraId="230ADC7E"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bCs/>
                <w:color w:val="000000"/>
                <w:lang w:val="en-US"/>
              </w:rPr>
              <w:t>079.83</w:t>
            </w:r>
          </w:p>
        </w:tc>
        <w:tc>
          <w:tcPr>
            <w:tcW w:w="2126" w:type="dxa"/>
          </w:tcPr>
          <w:p w14:paraId="72B98F8F"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bCs/>
                <w:color w:val="000000"/>
                <w:lang w:val="en-US"/>
              </w:rPr>
              <w:t>B20-B24</w:t>
            </w:r>
          </w:p>
        </w:tc>
        <w:tc>
          <w:tcPr>
            <w:tcW w:w="2693" w:type="dxa"/>
            <w:gridSpan w:val="2"/>
          </w:tcPr>
          <w:p w14:paraId="53C54D38" w14:textId="77777777" w:rsidR="00331218" w:rsidRPr="00511936" w:rsidRDefault="00331218" w:rsidP="00231BC3">
            <w:pPr>
              <w:spacing w:line="360" w:lineRule="auto"/>
              <w:rPr>
                <w:rFonts w:ascii="Times New Roman" w:hAnsi="Times New Roman" w:cs="Times New Roman"/>
                <w:bCs/>
                <w:color w:val="000000"/>
                <w:lang w:val="en-US"/>
              </w:rPr>
            </w:pPr>
          </w:p>
        </w:tc>
      </w:tr>
      <w:tr w:rsidR="00331218" w:rsidRPr="00511936" w14:paraId="196938EB" w14:textId="77777777" w:rsidTr="00231BC3">
        <w:tc>
          <w:tcPr>
            <w:tcW w:w="2720" w:type="dxa"/>
          </w:tcPr>
          <w:p w14:paraId="7E797872"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 xml:space="preserve">Portal hypertension </w:t>
            </w:r>
          </w:p>
        </w:tc>
        <w:tc>
          <w:tcPr>
            <w:tcW w:w="2095" w:type="dxa"/>
          </w:tcPr>
          <w:p w14:paraId="150EAD52"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456.00, 456.01</w:t>
            </w:r>
          </w:p>
        </w:tc>
        <w:tc>
          <w:tcPr>
            <w:tcW w:w="2126" w:type="dxa"/>
          </w:tcPr>
          <w:p w14:paraId="6F1BD8A9"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K76.6</w:t>
            </w:r>
          </w:p>
        </w:tc>
        <w:tc>
          <w:tcPr>
            <w:tcW w:w="2693" w:type="dxa"/>
            <w:gridSpan w:val="2"/>
          </w:tcPr>
          <w:p w14:paraId="1A53BC3D" w14:textId="77777777" w:rsidR="00331218" w:rsidRPr="00511936" w:rsidRDefault="00331218" w:rsidP="00231BC3">
            <w:pPr>
              <w:spacing w:line="360" w:lineRule="auto"/>
              <w:rPr>
                <w:rFonts w:ascii="Times New Roman" w:hAnsi="Times New Roman" w:cs="Times New Roman"/>
                <w:color w:val="000000"/>
                <w:lang w:val="en-US"/>
              </w:rPr>
            </w:pPr>
          </w:p>
        </w:tc>
      </w:tr>
      <w:tr w:rsidR="00331218" w:rsidRPr="00511936" w14:paraId="0A0C6F3C" w14:textId="77777777" w:rsidTr="00231BC3">
        <w:tc>
          <w:tcPr>
            <w:tcW w:w="2720" w:type="dxa"/>
          </w:tcPr>
          <w:p w14:paraId="74B95128"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 xml:space="preserve">Splenectomy </w:t>
            </w:r>
          </w:p>
        </w:tc>
        <w:tc>
          <w:tcPr>
            <w:tcW w:w="2095" w:type="dxa"/>
          </w:tcPr>
          <w:p w14:paraId="046B57CE" w14:textId="77777777" w:rsidR="00331218" w:rsidRPr="00511936" w:rsidRDefault="00331218" w:rsidP="00231BC3">
            <w:pPr>
              <w:spacing w:line="360" w:lineRule="auto"/>
              <w:rPr>
                <w:rFonts w:ascii="Times New Roman" w:hAnsi="Times New Roman" w:cs="Times New Roman"/>
                <w:color w:val="000000"/>
                <w:lang w:val="en-US"/>
              </w:rPr>
            </w:pPr>
          </w:p>
        </w:tc>
        <w:tc>
          <w:tcPr>
            <w:tcW w:w="2126" w:type="dxa"/>
          </w:tcPr>
          <w:p w14:paraId="25143F72" w14:textId="77777777" w:rsidR="00331218" w:rsidRPr="00511936" w:rsidRDefault="00331218" w:rsidP="00231BC3">
            <w:pPr>
              <w:spacing w:line="360" w:lineRule="auto"/>
              <w:rPr>
                <w:rFonts w:ascii="Times New Roman" w:hAnsi="Times New Roman" w:cs="Times New Roman"/>
                <w:color w:val="000000"/>
                <w:lang w:val="en-US"/>
              </w:rPr>
            </w:pPr>
          </w:p>
        </w:tc>
        <w:tc>
          <w:tcPr>
            <w:tcW w:w="2693" w:type="dxa"/>
            <w:gridSpan w:val="2"/>
          </w:tcPr>
          <w:p w14:paraId="14D2C871"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48900-48910</w:t>
            </w:r>
          </w:p>
          <w:p w14:paraId="75604A39"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KJMA</w:t>
            </w:r>
          </w:p>
        </w:tc>
      </w:tr>
      <w:tr w:rsidR="00331218" w:rsidRPr="00511936" w14:paraId="4BD9AD8D" w14:textId="77777777" w:rsidTr="00231BC3">
        <w:tc>
          <w:tcPr>
            <w:tcW w:w="2720" w:type="dxa"/>
          </w:tcPr>
          <w:p w14:paraId="1A141476"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 xml:space="preserve">Connective tissue disorders </w:t>
            </w:r>
          </w:p>
        </w:tc>
        <w:tc>
          <w:tcPr>
            <w:tcW w:w="2095" w:type="dxa"/>
          </w:tcPr>
          <w:p w14:paraId="0F61A72C"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bCs/>
                <w:color w:val="000000"/>
                <w:lang w:val="en-US"/>
              </w:rPr>
              <w:t>712; 716; 734; 446; 135.99</w:t>
            </w:r>
          </w:p>
        </w:tc>
        <w:tc>
          <w:tcPr>
            <w:tcW w:w="2126" w:type="dxa"/>
          </w:tcPr>
          <w:p w14:paraId="3056EE38"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bCs/>
                <w:color w:val="000000"/>
                <w:lang w:val="en-US"/>
              </w:rPr>
              <w:t xml:space="preserve">M05; M06; M08; M09; D86; </w:t>
            </w:r>
            <w:r w:rsidRPr="00511936">
              <w:rPr>
                <w:rFonts w:ascii="Times New Roman" w:eastAsia="Calibri" w:hAnsi="Times New Roman" w:cs="Times New Roman"/>
                <w:bCs/>
                <w:color w:val="000000"/>
                <w:lang w:val="en-US"/>
              </w:rPr>
              <w:t xml:space="preserve">M30; </w:t>
            </w:r>
            <w:r w:rsidRPr="00511936">
              <w:rPr>
                <w:rFonts w:ascii="Times New Roman" w:eastAsia="Calibri" w:hAnsi="Times New Roman" w:cs="Times New Roman"/>
                <w:bCs/>
                <w:color w:val="000000"/>
                <w:lang w:val="en-US"/>
              </w:rPr>
              <w:lastRenderedPageBreak/>
              <w:t>M31; M32; M33; M34; M35; M36</w:t>
            </w:r>
          </w:p>
        </w:tc>
        <w:tc>
          <w:tcPr>
            <w:tcW w:w="2693" w:type="dxa"/>
            <w:gridSpan w:val="2"/>
          </w:tcPr>
          <w:p w14:paraId="11FDACC5" w14:textId="77777777" w:rsidR="00331218" w:rsidRPr="00511936" w:rsidRDefault="00331218" w:rsidP="00231BC3">
            <w:pPr>
              <w:spacing w:line="360" w:lineRule="auto"/>
              <w:rPr>
                <w:rFonts w:ascii="Times New Roman" w:hAnsi="Times New Roman" w:cs="Times New Roman"/>
                <w:bCs/>
                <w:color w:val="000000"/>
                <w:lang w:val="en-US"/>
              </w:rPr>
            </w:pPr>
          </w:p>
        </w:tc>
      </w:tr>
      <w:tr w:rsidR="00331218" w:rsidRPr="00511936" w14:paraId="75AAEB6F" w14:textId="77777777" w:rsidTr="00231BC3">
        <w:tc>
          <w:tcPr>
            <w:tcW w:w="2720" w:type="dxa"/>
          </w:tcPr>
          <w:p w14:paraId="78E3C599"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 xml:space="preserve">Heart failure </w:t>
            </w:r>
          </w:p>
        </w:tc>
        <w:tc>
          <w:tcPr>
            <w:tcW w:w="2095" w:type="dxa"/>
          </w:tcPr>
          <w:p w14:paraId="55207471"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427.09; 427.10; 427.11; 427.19; 428.99; 782.49</w:t>
            </w:r>
          </w:p>
        </w:tc>
        <w:tc>
          <w:tcPr>
            <w:tcW w:w="2126" w:type="dxa"/>
          </w:tcPr>
          <w:p w14:paraId="5920089D"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I50; I11.0; I13.0; I13.2</w:t>
            </w:r>
          </w:p>
        </w:tc>
        <w:tc>
          <w:tcPr>
            <w:tcW w:w="2693" w:type="dxa"/>
            <w:gridSpan w:val="2"/>
          </w:tcPr>
          <w:p w14:paraId="3CF748A6" w14:textId="77777777" w:rsidR="00331218" w:rsidRPr="00511936" w:rsidRDefault="00331218" w:rsidP="00231BC3">
            <w:pPr>
              <w:spacing w:line="360" w:lineRule="auto"/>
              <w:rPr>
                <w:rFonts w:ascii="Times New Roman" w:hAnsi="Times New Roman" w:cs="Times New Roman"/>
                <w:color w:val="000000"/>
                <w:lang w:val="en-US"/>
              </w:rPr>
            </w:pPr>
          </w:p>
        </w:tc>
      </w:tr>
      <w:tr w:rsidR="00331218" w:rsidRPr="00511936" w14:paraId="7CE9860F" w14:textId="77777777" w:rsidTr="00231BC3">
        <w:tc>
          <w:tcPr>
            <w:tcW w:w="2720" w:type="dxa"/>
          </w:tcPr>
          <w:p w14:paraId="3916E714" w14:textId="77777777" w:rsidR="00331218" w:rsidRPr="00511936" w:rsidRDefault="00331218" w:rsidP="00231BC3">
            <w:pPr>
              <w:spacing w:line="360" w:lineRule="auto"/>
              <w:rPr>
                <w:rFonts w:ascii="Times New Roman" w:hAnsi="Times New Roman" w:cs="Times New Roman"/>
                <w:i/>
                <w:color w:val="000000"/>
                <w:lang w:val="en-US"/>
              </w:rPr>
            </w:pPr>
            <w:r w:rsidRPr="00511936">
              <w:rPr>
                <w:rFonts w:ascii="Times New Roman" w:hAnsi="Times New Roman" w:cs="Times New Roman"/>
                <w:color w:val="000000"/>
                <w:lang w:val="en-US"/>
              </w:rPr>
              <w:t>All cancers</w:t>
            </w:r>
          </w:p>
        </w:tc>
        <w:tc>
          <w:tcPr>
            <w:tcW w:w="2095" w:type="dxa"/>
          </w:tcPr>
          <w:p w14:paraId="3EABB784" w14:textId="77777777" w:rsidR="00331218" w:rsidRPr="00511936" w:rsidRDefault="00331218" w:rsidP="00231BC3">
            <w:pPr>
              <w:spacing w:line="360" w:lineRule="auto"/>
              <w:jc w:val="center"/>
              <w:rPr>
                <w:rFonts w:ascii="Times New Roman" w:hAnsi="Times New Roman" w:cs="Times New Roman"/>
                <w:color w:val="000000"/>
                <w:lang w:val="en-US"/>
              </w:rPr>
            </w:pPr>
          </w:p>
        </w:tc>
        <w:tc>
          <w:tcPr>
            <w:tcW w:w="2126" w:type="dxa"/>
          </w:tcPr>
          <w:p w14:paraId="5CAC2735"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 xml:space="preserve">C00-C96 </w:t>
            </w:r>
            <w:r w:rsidRPr="00511936">
              <w:rPr>
                <w:b/>
                <w:bCs/>
                <w:color w:val="000000"/>
                <w:sz w:val="18"/>
                <w:szCs w:val="18"/>
                <w:lang w:val="en-US"/>
              </w:rPr>
              <w:t xml:space="preserve"> </w:t>
            </w:r>
          </w:p>
        </w:tc>
        <w:tc>
          <w:tcPr>
            <w:tcW w:w="2693" w:type="dxa"/>
            <w:gridSpan w:val="2"/>
          </w:tcPr>
          <w:p w14:paraId="5368F771" w14:textId="77777777" w:rsidR="00331218" w:rsidRPr="00511936" w:rsidRDefault="00331218" w:rsidP="00231BC3">
            <w:pPr>
              <w:spacing w:line="360" w:lineRule="auto"/>
              <w:jc w:val="center"/>
              <w:rPr>
                <w:rFonts w:ascii="Times New Roman" w:hAnsi="Times New Roman" w:cs="Times New Roman"/>
                <w:color w:val="000000"/>
                <w:lang w:val="en-US"/>
              </w:rPr>
            </w:pPr>
          </w:p>
        </w:tc>
      </w:tr>
      <w:tr w:rsidR="00331218" w:rsidRPr="00511936" w14:paraId="3E4063A6" w14:textId="77777777" w:rsidTr="00231BC3">
        <w:tc>
          <w:tcPr>
            <w:tcW w:w="2720" w:type="dxa"/>
          </w:tcPr>
          <w:p w14:paraId="25C8EFC0" w14:textId="77777777" w:rsidR="00331218" w:rsidRPr="00511936" w:rsidRDefault="00331218" w:rsidP="00231BC3">
            <w:pPr>
              <w:spacing w:line="360" w:lineRule="auto"/>
              <w:rPr>
                <w:rFonts w:ascii="Times New Roman" w:hAnsi="Times New Roman" w:cs="Times New Roman"/>
                <w:i/>
                <w:color w:val="000000"/>
                <w:lang w:val="en-US"/>
              </w:rPr>
            </w:pPr>
            <w:r w:rsidRPr="00511936">
              <w:rPr>
                <w:rFonts w:ascii="Times New Roman" w:hAnsi="Times New Roman" w:cs="Times New Roman"/>
                <w:color w:val="000000"/>
                <w:lang w:val="en-US"/>
              </w:rPr>
              <w:t>Stomach</w:t>
            </w:r>
          </w:p>
        </w:tc>
        <w:tc>
          <w:tcPr>
            <w:tcW w:w="2095" w:type="dxa"/>
          </w:tcPr>
          <w:p w14:paraId="28A26DCC" w14:textId="77777777" w:rsidR="00331218" w:rsidRPr="00511936" w:rsidRDefault="00331218" w:rsidP="00231BC3">
            <w:pPr>
              <w:spacing w:line="360" w:lineRule="auto"/>
              <w:jc w:val="center"/>
              <w:rPr>
                <w:rFonts w:ascii="Times New Roman" w:hAnsi="Times New Roman" w:cs="Times New Roman"/>
                <w:color w:val="000000"/>
                <w:lang w:val="en-US"/>
              </w:rPr>
            </w:pPr>
          </w:p>
        </w:tc>
        <w:tc>
          <w:tcPr>
            <w:tcW w:w="2126" w:type="dxa"/>
          </w:tcPr>
          <w:p w14:paraId="7A5AE4CD"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C16</w:t>
            </w:r>
          </w:p>
        </w:tc>
        <w:tc>
          <w:tcPr>
            <w:tcW w:w="2693" w:type="dxa"/>
            <w:gridSpan w:val="2"/>
          </w:tcPr>
          <w:p w14:paraId="0C08876F" w14:textId="77777777" w:rsidR="00331218" w:rsidRPr="00511936" w:rsidRDefault="00331218" w:rsidP="00231BC3">
            <w:pPr>
              <w:spacing w:line="360" w:lineRule="auto"/>
              <w:jc w:val="center"/>
              <w:rPr>
                <w:rFonts w:ascii="Times New Roman" w:hAnsi="Times New Roman" w:cs="Times New Roman"/>
                <w:color w:val="000000"/>
                <w:lang w:val="en-US"/>
              </w:rPr>
            </w:pPr>
          </w:p>
        </w:tc>
      </w:tr>
      <w:tr w:rsidR="00331218" w:rsidRPr="00511936" w14:paraId="5D900D3C" w14:textId="77777777" w:rsidTr="00231BC3">
        <w:tc>
          <w:tcPr>
            <w:tcW w:w="2720" w:type="dxa"/>
          </w:tcPr>
          <w:p w14:paraId="473BA53B" w14:textId="77777777" w:rsidR="00331218" w:rsidRPr="00511936" w:rsidRDefault="00331218" w:rsidP="00231BC3">
            <w:pPr>
              <w:spacing w:line="360" w:lineRule="auto"/>
              <w:rPr>
                <w:rFonts w:ascii="Times New Roman" w:hAnsi="Times New Roman" w:cs="Times New Roman"/>
                <w:i/>
                <w:color w:val="000000"/>
                <w:lang w:val="en-US"/>
              </w:rPr>
            </w:pPr>
            <w:r w:rsidRPr="00511936">
              <w:rPr>
                <w:rFonts w:ascii="Times New Roman" w:hAnsi="Times New Roman" w:cs="Times New Roman"/>
                <w:color w:val="000000"/>
                <w:lang w:val="en-US"/>
              </w:rPr>
              <w:t>Colorectal cancer</w:t>
            </w:r>
          </w:p>
        </w:tc>
        <w:tc>
          <w:tcPr>
            <w:tcW w:w="2095" w:type="dxa"/>
          </w:tcPr>
          <w:p w14:paraId="563E9EAD" w14:textId="77777777" w:rsidR="00331218" w:rsidRPr="00511936" w:rsidRDefault="00331218" w:rsidP="00231BC3">
            <w:pPr>
              <w:spacing w:line="360" w:lineRule="auto"/>
              <w:jc w:val="center"/>
              <w:rPr>
                <w:rFonts w:ascii="Times New Roman" w:hAnsi="Times New Roman" w:cs="Times New Roman"/>
                <w:color w:val="000000"/>
                <w:lang w:val="en-US"/>
              </w:rPr>
            </w:pPr>
          </w:p>
        </w:tc>
        <w:tc>
          <w:tcPr>
            <w:tcW w:w="2126" w:type="dxa"/>
          </w:tcPr>
          <w:p w14:paraId="3B5A2F4F"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C18-C20</w:t>
            </w:r>
          </w:p>
        </w:tc>
        <w:tc>
          <w:tcPr>
            <w:tcW w:w="2693" w:type="dxa"/>
            <w:gridSpan w:val="2"/>
          </w:tcPr>
          <w:p w14:paraId="0DD5C916" w14:textId="77777777" w:rsidR="00331218" w:rsidRPr="00511936" w:rsidRDefault="00331218" w:rsidP="00231BC3">
            <w:pPr>
              <w:spacing w:line="360" w:lineRule="auto"/>
              <w:jc w:val="center"/>
              <w:rPr>
                <w:rFonts w:ascii="Times New Roman" w:hAnsi="Times New Roman" w:cs="Times New Roman"/>
                <w:color w:val="000000"/>
                <w:lang w:val="en-US"/>
              </w:rPr>
            </w:pPr>
          </w:p>
        </w:tc>
      </w:tr>
      <w:tr w:rsidR="00331218" w:rsidRPr="00511936" w14:paraId="33D1A016" w14:textId="77777777" w:rsidTr="00231BC3">
        <w:tc>
          <w:tcPr>
            <w:tcW w:w="2720" w:type="dxa"/>
          </w:tcPr>
          <w:p w14:paraId="7A589222" w14:textId="77777777" w:rsidR="00331218" w:rsidRPr="00511936" w:rsidRDefault="00331218" w:rsidP="00231BC3">
            <w:pPr>
              <w:spacing w:line="360" w:lineRule="auto"/>
              <w:rPr>
                <w:rFonts w:ascii="Times New Roman" w:hAnsi="Times New Roman" w:cs="Times New Roman"/>
                <w:i/>
                <w:color w:val="000000"/>
                <w:lang w:val="en-US"/>
              </w:rPr>
            </w:pPr>
            <w:r w:rsidRPr="00511936">
              <w:rPr>
                <w:rFonts w:ascii="Times New Roman" w:hAnsi="Times New Roman" w:cs="Times New Roman"/>
                <w:color w:val="000000"/>
                <w:lang w:val="en-US"/>
              </w:rPr>
              <w:t>Liver</w:t>
            </w:r>
          </w:p>
        </w:tc>
        <w:tc>
          <w:tcPr>
            <w:tcW w:w="2095" w:type="dxa"/>
          </w:tcPr>
          <w:p w14:paraId="32EB0C4D" w14:textId="77777777" w:rsidR="00331218" w:rsidRPr="00511936" w:rsidRDefault="00331218" w:rsidP="00231BC3">
            <w:pPr>
              <w:spacing w:line="360" w:lineRule="auto"/>
              <w:jc w:val="center"/>
              <w:rPr>
                <w:rFonts w:ascii="Times New Roman" w:hAnsi="Times New Roman" w:cs="Times New Roman"/>
                <w:color w:val="000000"/>
                <w:lang w:val="en-US"/>
              </w:rPr>
            </w:pPr>
          </w:p>
        </w:tc>
        <w:tc>
          <w:tcPr>
            <w:tcW w:w="2126" w:type="dxa"/>
          </w:tcPr>
          <w:p w14:paraId="7E43B9D0"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C22</w:t>
            </w:r>
          </w:p>
        </w:tc>
        <w:tc>
          <w:tcPr>
            <w:tcW w:w="2693" w:type="dxa"/>
            <w:gridSpan w:val="2"/>
          </w:tcPr>
          <w:p w14:paraId="073C6A96" w14:textId="77777777" w:rsidR="00331218" w:rsidRPr="00511936" w:rsidRDefault="00331218" w:rsidP="00231BC3">
            <w:pPr>
              <w:spacing w:line="360" w:lineRule="auto"/>
              <w:jc w:val="center"/>
              <w:rPr>
                <w:rFonts w:ascii="Times New Roman" w:hAnsi="Times New Roman" w:cs="Times New Roman"/>
                <w:color w:val="000000"/>
                <w:lang w:val="en-US"/>
              </w:rPr>
            </w:pPr>
          </w:p>
        </w:tc>
      </w:tr>
      <w:tr w:rsidR="00331218" w:rsidRPr="00511936" w14:paraId="7196956E" w14:textId="77777777" w:rsidTr="00231BC3">
        <w:tc>
          <w:tcPr>
            <w:tcW w:w="2720" w:type="dxa"/>
          </w:tcPr>
          <w:p w14:paraId="0BF72A30" w14:textId="77777777" w:rsidR="00331218" w:rsidRPr="00511936" w:rsidRDefault="00331218" w:rsidP="00231BC3">
            <w:pPr>
              <w:spacing w:line="360" w:lineRule="auto"/>
              <w:rPr>
                <w:rFonts w:ascii="Times New Roman" w:hAnsi="Times New Roman" w:cs="Times New Roman"/>
                <w:i/>
                <w:color w:val="000000"/>
                <w:lang w:val="en-US"/>
              </w:rPr>
            </w:pPr>
            <w:r w:rsidRPr="00511936">
              <w:rPr>
                <w:rFonts w:ascii="Times New Roman" w:hAnsi="Times New Roman" w:cs="Times New Roman"/>
                <w:color w:val="000000"/>
                <w:lang w:val="en-US"/>
              </w:rPr>
              <w:t>Pancreas</w:t>
            </w:r>
          </w:p>
        </w:tc>
        <w:tc>
          <w:tcPr>
            <w:tcW w:w="2095" w:type="dxa"/>
          </w:tcPr>
          <w:p w14:paraId="241A1DC6" w14:textId="77777777" w:rsidR="00331218" w:rsidRPr="00511936" w:rsidRDefault="00331218" w:rsidP="00231BC3">
            <w:pPr>
              <w:spacing w:line="360" w:lineRule="auto"/>
              <w:jc w:val="center"/>
              <w:rPr>
                <w:rFonts w:ascii="Times New Roman" w:hAnsi="Times New Roman" w:cs="Times New Roman"/>
                <w:color w:val="000000"/>
                <w:lang w:val="en-US"/>
              </w:rPr>
            </w:pPr>
          </w:p>
        </w:tc>
        <w:tc>
          <w:tcPr>
            <w:tcW w:w="2126" w:type="dxa"/>
          </w:tcPr>
          <w:p w14:paraId="18F50076"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C25</w:t>
            </w:r>
          </w:p>
        </w:tc>
        <w:tc>
          <w:tcPr>
            <w:tcW w:w="2693" w:type="dxa"/>
            <w:gridSpan w:val="2"/>
          </w:tcPr>
          <w:p w14:paraId="0A1F65F1" w14:textId="77777777" w:rsidR="00331218" w:rsidRPr="00511936" w:rsidRDefault="00331218" w:rsidP="00231BC3">
            <w:pPr>
              <w:spacing w:line="360" w:lineRule="auto"/>
              <w:jc w:val="center"/>
              <w:rPr>
                <w:rFonts w:ascii="Times New Roman" w:hAnsi="Times New Roman" w:cs="Times New Roman"/>
                <w:color w:val="000000"/>
                <w:lang w:val="en-US"/>
              </w:rPr>
            </w:pPr>
          </w:p>
        </w:tc>
      </w:tr>
      <w:tr w:rsidR="00331218" w:rsidRPr="00511936" w14:paraId="77B37A87" w14:textId="77777777" w:rsidTr="00231BC3">
        <w:tc>
          <w:tcPr>
            <w:tcW w:w="2720" w:type="dxa"/>
          </w:tcPr>
          <w:p w14:paraId="38EF96B8" w14:textId="77777777" w:rsidR="00331218" w:rsidRPr="00511936" w:rsidRDefault="00331218" w:rsidP="00231BC3">
            <w:pPr>
              <w:spacing w:line="360" w:lineRule="auto"/>
              <w:rPr>
                <w:rFonts w:ascii="Times New Roman" w:hAnsi="Times New Roman" w:cs="Times New Roman"/>
                <w:i/>
                <w:color w:val="000000"/>
                <w:lang w:val="en-US"/>
              </w:rPr>
            </w:pPr>
            <w:r w:rsidRPr="00511936">
              <w:rPr>
                <w:rFonts w:ascii="Times New Roman" w:hAnsi="Times New Roman" w:cs="Times New Roman"/>
                <w:color w:val="000000"/>
                <w:lang w:val="en-US"/>
              </w:rPr>
              <w:t>Lung, bronchia and trachea</w:t>
            </w:r>
          </w:p>
        </w:tc>
        <w:tc>
          <w:tcPr>
            <w:tcW w:w="2095" w:type="dxa"/>
          </w:tcPr>
          <w:p w14:paraId="5A75F120" w14:textId="77777777" w:rsidR="00331218" w:rsidRPr="00511936" w:rsidRDefault="00331218" w:rsidP="00231BC3">
            <w:pPr>
              <w:spacing w:line="360" w:lineRule="auto"/>
              <w:jc w:val="center"/>
              <w:rPr>
                <w:rFonts w:ascii="Times New Roman" w:hAnsi="Times New Roman" w:cs="Times New Roman"/>
                <w:color w:val="000000"/>
                <w:lang w:val="en-US"/>
              </w:rPr>
            </w:pPr>
          </w:p>
        </w:tc>
        <w:tc>
          <w:tcPr>
            <w:tcW w:w="2126" w:type="dxa"/>
          </w:tcPr>
          <w:p w14:paraId="79B0421F"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C33-C34</w:t>
            </w:r>
          </w:p>
        </w:tc>
        <w:tc>
          <w:tcPr>
            <w:tcW w:w="2693" w:type="dxa"/>
            <w:gridSpan w:val="2"/>
          </w:tcPr>
          <w:p w14:paraId="79E595DF" w14:textId="77777777" w:rsidR="00331218" w:rsidRPr="00511936" w:rsidRDefault="00331218" w:rsidP="00231BC3">
            <w:pPr>
              <w:spacing w:line="360" w:lineRule="auto"/>
              <w:jc w:val="center"/>
              <w:rPr>
                <w:rFonts w:ascii="Times New Roman" w:hAnsi="Times New Roman" w:cs="Times New Roman"/>
                <w:color w:val="000000"/>
                <w:lang w:val="en-US"/>
              </w:rPr>
            </w:pPr>
          </w:p>
        </w:tc>
      </w:tr>
      <w:tr w:rsidR="00331218" w:rsidRPr="00511936" w14:paraId="1996A1A7" w14:textId="77777777" w:rsidTr="00231BC3">
        <w:tc>
          <w:tcPr>
            <w:tcW w:w="2720" w:type="dxa"/>
          </w:tcPr>
          <w:p w14:paraId="3B708A40" w14:textId="77777777" w:rsidR="00331218" w:rsidRPr="00511936" w:rsidRDefault="00331218" w:rsidP="00231BC3">
            <w:pPr>
              <w:spacing w:line="360" w:lineRule="auto"/>
              <w:rPr>
                <w:rFonts w:ascii="Times New Roman" w:hAnsi="Times New Roman" w:cs="Times New Roman"/>
                <w:i/>
                <w:color w:val="000000"/>
                <w:lang w:val="en-US"/>
              </w:rPr>
            </w:pPr>
            <w:r w:rsidRPr="00511936">
              <w:rPr>
                <w:rFonts w:ascii="Times New Roman" w:hAnsi="Times New Roman" w:cs="Times New Roman"/>
                <w:color w:val="000000"/>
                <w:lang w:val="en-US"/>
              </w:rPr>
              <w:t>Malignant melanoma</w:t>
            </w:r>
          </w:p>
        </w:tc>
        <w:tc>
          <w:tcPr>
            <w:tcW w:w="2095" w:type="dxa"/>
          </w:tcPr>
          <w:p w14:paraId="677480CE" w14:textId="77777777" w:rsidR="00331218" w:rsidRPr="00511936" w:rsidRDefault="00331218" w:rsidP="00231BC3">
            <w:pPr>
              <w:spacing w:line="360" w:lineRule="auto"/>
              <w:jc w:val="center"/>
              <w:rPr>
                <w:rFonts w:ascii="Times New Roman" w:hAnsi="Times New Roman" w:cs="Times New Roman"/>
                <w:color w:val="000000"/>
                <w:lang w:val="en-US"/>
              </w:rPr>
            </w:pPr>
          </w:p>
        </w:tc>
        <w:tc>
          <w:tcPr>
            <w:tcW w:w="2126" w:type="dxa"/>
          </w:tcPr>
          <w:p w14:paraId="7B7E4A94"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C43</w:t>
            </w:r>
          </w:p>
        </w:tc>
        <w:tc>
          <w:tcPr>
            <w:tcW w:w="2693" w:type="dxa"/>
            <w:gridSpan w:val="2"/>
          </w:tcPr>
          <w:p w14:paraId="3700179D" w14:textId="77777777" w:rsidR="00331218" w:rsidRPr="00511936" w:rsidRDefault="00331218" w:rsidP="00231BC3">
            <w:pPr>
              <w:spacing w:line="360" w:lineRule="auto"/>
              <w:jc w:val="center"/>
              <w:rPr>
                <w:rFonts w:ascii="Times New Roman" w:hAnsi="Times New Roman" w:cs="Times New Roman"/>
                <w:color w:val="000000"/>
                <w:lang w:val="en-US"/>
              </w:rPr>
            </w:pPr>
          </w:p>
        </w:tc>
      </w:tr>
      <w:tr w:rsidR="00331218" w:rsidRPr="00511936" w14:paraId="5656A9F1" w14:textId="77777777" w:rsidTr="00231BC3">
        <w:tc>
          <w:tcPr>
            <w:tcW w:w="2720" w:type="dxa"/>
          </w:tcPr>
          <w:p w14:paraId="42C43F50" w14:textId="77777777" w:rsidR="00331218" w:rsidRPr="00511936" w:rsidRDefault="00331218" w:rsidP="00231BC3">
            <w:pPr>
              <w:spacing w:line="360" w:lineRule="auto"/>
              <w:rPr>
                <w:rFonts w:ascii="Times New Roman" w:hAnsi="Times New Roman" w:cs="Times New Roman"/>
                <w:i/>
                <w:color w:val="000000"/>
                <w:lang w:val="en-US"/>
              </w:rPr>
            </w:pPr>
            <w:r w:rsidRPr="00511936">
              <w:rPr>
                <w:rFonts w:ascii="Times New Roman" w:hAnsi="Times New Roman" w:cs="Times New Roman"/>
                <w:color w:val="000000"/>
                <w:lang w:val="en-US"/>
              </w:rPr>
              <w:t>Other skin cancer (excl. BCC)</w:t>
            </w:r>
          </w:p>
        </w:tc>
        <w:tc>
          <w:tcPr>
            <w:tcW w:w="2095" w:type="dxa"/>
          </w:tcPr>
          <w:p w14:paraId="7DBDAA03" w14:textId="77777777" w:rsidR="00331218" w:rsidRPr="00511936" w:rsidRDefault="00331218" w:rsidP="00231BC3">
            <w:pPr>
              <w:spacing w:line="360" w:lineRule="auto"/>
              <w:jc w:val="center"/>
              <w:rPr>
                <w:rFonts w:ascii="Times New Roman" w:hAnsi="Times New Roman" w:cs="Times New Roman"/>
                <w:color w:val="000000"/>
                <w:lang w:val="en-US"/>
              </w:rPr>
            </w:pPr>
          </w:p>
        </w:tc>
        <w:tc>
          <w:tcPr>
            <w:tcW w:w="2126" w:type="dxa"/>
          </w:tcPr>
          <w:p w14:paraId="70304001"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C44 (excluding morphology 809)</w:t>
            </w:r>
          </w:p>
        </w:tc>
        <w:tc>
          <w:tcPr>
            <w:tcW w:w="2693" w:type="dxa"/>
            <w:gridSpan w:val="2"/>
          </w:tcPr>
          <w:p w14:paraId="06145D94" w14:textId="77777777" w:rsidR="00331218" w:rsidRPr="00511936" w:rsidRDefault="00331218" w:rsidP="00231BC3">
            <w:pPr>
              <w:spacing w:line="360" w:lineRule="auto"/>
              <w:jc w:val="center"/>
              <w:rPr>
                <w:rFonts w:ascii="Times New Roman" w:hAnsi="Times New Roman" w:cs="Times New Roman"/>
                <w:color w:val="000000"/>
                <w:lang w:val="en-US"/>
              </w:rPr>
            </w:pPr>
          </w:p>
        </w:tc>
      </w:tr>
      <w:tr w:rsidR="00331218" w:rsidRPr="00511936" w14:paraId="43280CC7" w14:textId="77777777" w:rsidTr="00231BC3">
        <w:tc>
          <w:tcPr>
            <w:tcW w:w="2720" w:type="dxa"/>
          </w:tcPr>
          <w:p w14:paraId="55C25EB6" w14:textId="77777777" w:rsidR="00331218" w:rsidRPr="00511936" w:rsidRDefault="00331218" w:rsidP="00231BC3">
            <w:pPr>
              <w:spacing w:line="360" w:lineRule="auto"/>
              <w:rPr>
                <w:rFonts w:ascii="Times New Roman" w:hAnsi="Times New Roman" w:cs="Times New Roman"/>
                <w:i/>
                <w:color w:val="000000"/>
                <w:lang w:val="en-US"/>
              </w:rPr>
            </w:pPr>
            <w:r w:rsidRPr="00511936">
              <w:rPr>
                <w:rFonts w:ascii="Times New Roman" w:hAnsi="Times New Roman" w:cs="Times New Roman"/>
                <w:color w:val="000000"/>
                <w:lang w:val="en-US"/>
              </w:rPr>
              <w:t>Breast</w:t>
            </w:r>
          </w:p>
        </w:tc>
        <w:tc>
          <w:tcPr>
            <w:tcW w:w="2095" w:type="dxa"/>
          </w:tcPr>
          <w:p w14:paraId="1CB855FE" w14:textId="77777777" w:rsidR="00331218" w:rsidRPr="00511936" w:rsidRDefault="00331218" w:rsidP="00231BC3">
            <w:pPr>
              <w:spacing w:line="360" w:lineRule="auto"/>
              <w:jc w:val="center"/>
              <w:rPr>
                <w:rFonts w:ascii="Times New Roman" w:hAnsi="Times New Roman" w:cs="Times New Roman"/>
                <w:color w:val="000000"/>
                <w:lang w:val="en-US"/>
              </w:rPr>
            </w:pPr>
          </w:p>
        </w:tc>
        <w:tc>
          <w:tcPr>
            <w:tcW w:w="2126" w:type="dxa"/>
          </w:tcPr>
          <w:p w14:paraId="66C7BDFF"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C50</w:t>
            </w:r>
          </w:p>
        </w:tc>
        <w:tc>
          <w:tcPr>
            <w:tcW w:w="2693" w:type="dxa"/>
            <w:gridSpan w:val="2"/>
          </w:tcPr>
          <w:p w14:paraId="17D0DFD8" w14:textId="77777777" w:rsidR="00331218" w:rsidRPr="00511936" w:rsidRDefault="00331218" w:rsidP="00231BC3">
            <w:pPr>
              <w:spacing w:line="360" w:lineRule="auto"/>
              <w:jc w:val="center"/>
              <w:rPr>
                <w:rFonts w:ascii="Times New Roman" w:hAnsi="Times New Roman" w:cs="Times New Roman"/>
                <w:color w:val="000000"/>
                <w:lang w:val="en-US"/>
              </w:rPr>
            </w:pPr>
          </w:p>
        </w:tc>
      </w:tr>
      <w:tr w:rsidR="00331218" w:rsidRPr="00511936" w14:paraId="53CA943E" w14:textId="77777777" w:rsidTr="00231BC3">
        <w:tc>
          <w:tcPr>
            <w:tcW w:w="2720" w:type="dxa"/>
          </w:tcPr>
          <w:p w14:paraId="727F07AE" w14:textId="77777777" w:rsidR="00331218" w:rsidRPr="00511936" w:rsidRDefault="00331218" w:rsidP="00231BC3">
            <w:pPr>
              <w:spacing w:line="360" w:lineRule="auto"/>
              <w:rPr>
                <w:rFonts w:ascii="Times New Roman" w:hAnsi="Times New Roman" w:cs="Times New Roman"/>
                <w:i/>
                <w:color w:val="000000"/>
                <w:lang w:val="en-US"/>
              </w:rPr>
            </w:pPr>
            <w:r w:rsidRPr="00511936">
              <w:rPr>
                <w:rFonts w:ascii="Times New Roman" w:hAnsi="Times New Roman" w:cs="Times New Roman"/>
                <w:color w:val="000000"/>
                <w:lang w:val="en-US"/>
              </w:rPr>
              <w:t>Uterus</w:t>
            </w:r>
          </w:p>
        </w:tc>
        <w:tc>
          <w:tcPr>
            <w:tcW w:w="2095" w:type="dxa"/>
          </w:tcPr>
          <w:p w14:paraId="0E5692CD" w14:textId="77777777" w:rsidR="00331218" w:rsidRPr="00511936" w:rsidRDefault="00331218" w:rsidP="00231BC3">
            <w:pPr>
              <w:spacing w:line="360" w:lineRule="auto"/>
              <w:jc w:val="center"/>
              <w:rPr>
                <w:rFonts w:ascii="Times New Roman" w:hAnsi="Times New Roman" w:cs="Times New Roman"/>
                <w:color w:val="000000"/>
                <w:lang w:val="en-US"/>
              </w:rPr>
            </w:pPr>
          </w:p>
        </w:tc>
        <w:tc>
          <w:tcPr>
            <w:tcW w:w="2126" w:type="dxa"/>
          </w:tcPr>
          <w:p w14:paraId="2A4A8E3A"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C54-C55</w:t>
            </w:r>
          </w:p>
        </w:tc>
        <w:tc>
          <w:tcPr>
            <w:tcW w:w="2693" w:type="dxa"/>
            <w:gridSpan w:val="2"/>
          </w:tcPr>
          <w:p w14:paraId="093F130D" w14:textId="77777777" w:rsidR="00331218" w:rsidRPr="00511936" w:rsidRDefault="00331218" w:rsidP="00231BC3">
            <w:pPr>
              <w:spacing w:line="360" w:lineRule="auto"/>
              <w:jc w:val="center"/>
              <w:rPr>
                <w:rFonts w:ascii="Times New Roman" w:hAnsi="Times New Roman" w:cs="Times New Roman"/>
                <w:color w:val="000000"/>
                <w:lang w:val="en-US"/>
              </w:rPr>
            </w:pPr>
          </w:p>
        </w:tc>
      </w:tr>
      <w:tr w:rsidR="00331218" w:rsidRPr="00511936" w14:paraId="30C8C040" w14:textId="77777777" w:rsidTr="00231BC3">
        <w:tc>
          <w:tcPr>
            <w:tcW w:w="2720" w:type="dxa"/>
          </w:tcPr>
          <w:p w14:paraId="1DA5E30C" w14:textId="77777777" w:rsidR="00331218" w:rsidRPr="00511936" w:rsidRDefault="00331218" w:rsidP="00231BC3">
            <w:pPr>
              <w:spacing w:line="360" w:lineRule="auto"/>
              <w:rPr>
                <w:rFonts w:ascii="Times New Roman" w:hAnsi="Times New Roman" w:cs="Times New Roman"/>
                <w:i/>
                <w:color w:val="000000"/>
                <w:lang w:val="en-US"/>
              </w:rPr>
            </w:pPr>
            <w:r w:rsidRPr="00511936">
              <w:rPr>
                <w:rFonts w:ascii="Times New Roman" w:hAnsi="Times New Roman" w:cs="Times New Roman"/>
                <w:color w:val="000000"/>
                <w:lang w:val="en-US"/>
              </w:rPr>
              <w:t>Prostate</w:t>
            </w:r>
          </w:p>
        </w:tc>
        <w:tc>
          <w:tcPr>
            <w:tcW w:w="2095" w:type="dxa"/>
          </w:tcPr>
          <w:p w14:paraId="0003F2A5" w14:textId="77777777" w:rsidR="00331218" w:rsidRPr="00511936" w:rsidRDefault="00331218" w:rsidP="00231BC3">
            <w:pPr>
              <w:spacing w:line="360" w:lineRule="auto"/>
              <w:jc w:val="center"/>
              <w:rPr>
                <w:rFonts w:ascii="Times New Roman" w:hAnsi="Times New Roman" w:cs="Times New Roman"/>
                <w:color w:val="000000"/>
                <w:lang w:val="en-US"/>
              </w:rPr>
            </w:pPr>
          </w:p>
        </w:tc>
        <w:tc>
          <w:tcPr>
            <w:tcW w:w="2126" w:type="dxa"/>
          </w:tcPr>
          <w:p w14:paraId="328048A8"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C61</w:t>
            </w:r>
          </w:p>
        </w:tc>
        <w:tc>
          <w:tcPr>
            <w:tcW w:w="2693" w:type="dxa"/>
            <w:gridSpan w:val="2"/>
          </w:tcPr>
          <w:p w14:paraId="7E702F05" w14:textId="77777777" w:rsidR="00331218" w:rsidRPr="00511936" w:rsidRDefault="00331218" w:rsidP="00231BC3">
            <w:pPr>
              <w:spacing w:line="360" w:lineRule="auto"/>
              <w:jc w:val="center"/>
              <w:rPr>
                <w:rFonts w:ascii="Times New Roman" w:hAnsi="Times New Roman" w:cs="Times New Roman"/>
                <w:color w:val="000000"/>
                <w:lang w:val="en-US"/>
              </w:rPr>
            </w:pPr>
          </w:p>
        </w:tc>
      </w:tr>
      <w:tr w:rsidR="00331218" w:rsidRPr="00511936" w14:paraId="6685C7A0" w14:textId="77777777" w:rsidTr="00231BC3">
        <w:tc>
          <w:tcPr>
            <w:tcW w:w="2720" w:type="dxa"/>
          </w:tcPr>
          <w:p w14:paraId="20842900" w14:textId="77777777" w:rsidR="00331218" w:rsidRPr="00511936" w:rsidRDefault="00331218" w:rsidP="00231BC3">
            <w:pPr>
              <w:spacing w:line="360" w:lineRule="auto"/>
              <w:rPr>
                <w:rFonts w:ascii="Times New Roman" w:hAnsi="Times New Roman" w:cs="Times New Roman"/>
                <w:i/>
                <w:color w:val="000000"/>
                <w:lang w:val="en-US"/>
              </w:rPr>
            </w:pPr>
            <w:r w:rsidRPr="00511936">
              <w:rPr>
                <w:rFonts w:ascii="Times New Roman" w:hAnsi="Times New Roman" w:cs="Times New Roman"/>
                <w:color w:val="000000"/>
                <w:lang w:val="en-US"/>
              </w:rPr>
              <w:t>Kidney</w:t>
            </w:r>
          </w:p>
        </w:tc>
        <w:tc>
          <w:tcPr>
            <w:tcW w:w="2095" w:type="dxa"/>
          </w:tcPr>
          <w:p w14:paraId="09259F00" w14:textId="77777777" w:rsidR="00331218" w:rsidRPr="00511936" w:rsidRDefault="00331218" w:rsidP="00231BC3">
            <w:pPr>
              <w:spacing w:line="360" w:lineRule="auto"/>
              <w:jc w:val="center"/>
              <w:rPr>
                <w:rFonts w:ascii="Times New Roman" w:hAnsi="Times New Roman" w:cs="Times New Roman"/>
                <w:color w:val="000000"/>
                <w:lang w:val="en-US"/>
              </w:rPr>
            </w:pPr>
          </w:p>
        </w:tc>
        <w:tc>
          <w:tcPr>
            <w:tcW w:w="2126" w:type="dxa"/>
          </w:tcPr>
          <w:p w14:paraId="035166BF"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C64</w:t>
            </w:r>
          </w:p>
        </w:tc>
        <w:tc>
          <w:tcPr>
            <w:tcW w:w="2693" w:type="dxa"/>
            <w:gridSpan w:val="2"/>
          </w:tcPr>
          <w:p w14:paraId="64DF5326" w14:textId="77777777" w:rsidR="00331218" w:rsidRPr="00511936" w:rsidRDefault="00331218" w:rsidP="00231BC3">
            <w:pPr>
              <w:spacing w:line="360" w:lineRule="auto"/>
              <w:jc w:val="center"/>
              <w:rPr>
                <w:rFonts w:ascii="Times New Roman" w:hAnsi="Times New Roman" w:cs="Times New Roman"/>
                <w:color w:val="000000"/>
                <w:lang w:val="en-US"/>
              </w:rPr>
            </w:pPr>
          </w:p>
        </w:tc>
      </w:tr>
      <w:tr w:rsidR="00331218" w:rsidRPr="00511936" w14:paraId="0D14F1F6" w14:textId="77777777" w:rsidTr="00231BC3">
        <w:tc>
          <w:tcPr>
            <w:tcW w:w="2720" w:type="dxa"/>
          </w:tcPr>
          <w:p w14:paraId="35482868" w14:textId="77777777" w:rsidR="00331218" w:rsidRPr="00511936" w:rsidRDefault="00331218" w:rsidP="00231BC3">
            <w:pPr>
              <w:spacing w:line="360" w:lineRule="auto"/>
              <w:rPr>
                <w:rFonts w:ascii="Times New Roman" w:hAnsi="Times New Roman" w:cs="Times New Roman"/>
                <w:i/>
                <w:color w:val="000000"/>
                <w:lang w:val="en-US"/>
              </w:rPr>
            </w:pPr>
            <w:r w:rsidRPr="00511936">
              <w:rPr>
                <w:rFonts w:ascii="Times New Roman" w:hAnsi="Times New Roman" w:cs="Times New Roman"/>
                <w:color w:val="000000"/>
                <w:lang w:val="en-US"/>
              </w:rPr>
              <w:t>Urinary bladder</w:t>
            </w:r>
          </w:p>
        </w:tc>
        <w:tc>
          <w:tcPr>
            <w:tcW w:w="2095" w:type="dxa"/>
          </w:tcPr>
          <w:p w14:paraId="2C42EB1C" w14:textId="77777777" w:rsidR="00331218" w:rsidRPr="00511936" w:rsidRDefault="00331218" w:rsidP="00231BC3">
            <w:pPr>
              <w:spacing w:line="360" w:lineRule="auto"/>
              <w:jc w:val="center"/>
              <w:rPr>
                <w:rFonts w:ascii="Times New Roman" w:hAnsi="Times New Roman" w:cs="Times New Roman"/>
                <w:color w:val="000000"/>
                <w:lang w:val="en-US"/>
              </w:rPr>
            </w:pPr>
          </w:p>
        </w:tc>
        <w:tc>
          <w:tcPr>
            <w:tcW w:w="2126" w:type="dxa"/>
          </w:tcPr>
          <w:p w14:paraId="1E425609"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 xml:space="preserve">C67, D090, D095, D303, D414 </w:t>
            </w:r>
          </w:p>
          <w:p w14:paraId="71EB47F8"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(D codes are restricted to morphology 812-813)</w:t>
            </w:r>
          </w:p>
        </w:tc>
        <w:tc>
          <w:tcPr>
            <w:tcW w:w="2693" w:type="dxa"/>
            <w:gridSpan w:val="2"/>
          </w:tcPr>
          <w:p w14:paraId="6A34F7D7" w14:textId="77777777" w:rsidR="00331218" w:rsidRPr="00511936" w:rsidRDefault="00331218" w:rsidP="00231BC3">
            <w:pPr>
              <w:spacing w:line="360" w:lineRule="auto"/>
              <w:jc w:val="center"/>
              <w:rPr>
                <w:rFonts w:ascii="Times New Roman" w:hAnsi="Times New Roman" w:cs="Times New Roman"/>
                <w:color w:val="000000"/>
                <w:lang w:val="en-US"/>
              </w:rPr>
            </w:pPr>
          </w:p>
        </w:tc>
      </w:tr>
      <w:tr w:rsidR="00331218" w:rsidRPr="00511936" w14:paraId="2236EEDE" w14:textId="77777777" w:rsidTr="00231BC3">
        <w:tc>
          <w:tcPr>
            <w:tcW w:w="2720" w:type="dxa"/>
          </w:tcPr>
          <w:p w14:paraId="779331B2" w14:textId="77777777" w:rsidR="00331218" w:rsidRPr="00511936" w:rsidRDefault="00331218" w:rsidP="00231BC3">
            <w:pPr>
              <w:spacing w:line="360" w:lineRule="auto"/>
              <w:rPr>
                <w:rFonts w:ascii="Times New Roman" w:hAnsi="Times New Roman" w:cs="Times New Roman"/>
                <w:i/>
                <w:color w:val="000000"/>
                <w:lang w:val="en-US"/>
              </w:rPr>
            </w:pPr>
            <w:r w:rsidRPr="00511936">
              <w:rPr>
                <w:rFonts w:ascii="Times New Roman" w:hAnsi="Times New Roman" w:cs="Times New Roman"/>
                <w:color w:val="000000"/>
                <w:lang w:val="en-US"/>
              </w:rPr>
              <w:t xml:space="preserve">Non-Hodgkin’s lymphoma </w:t>
            </w:r>
          </w:p>
        </w:tc>
        <w:tc>
          <w:tcPr>
            <w:tcW w:w="2095" w:type="dxa"/>
          </w:tcPr>
          <w:p w14:paraId="64E676DE" w14:textId="77777777" w:rsidR="00331218" w:rsidRPr="00511936" w:rsidRDefault="00331218" w:rsidP="00231BC3">
            <w:pPr>
              <w:spacing w:line="360" w:lineRule="auto"/>
              <w:jc w:val="center"/>
              <w:rPr>
                <w:rFonts w:ascii="Times New Roman" w:hAnsi="Times New Roman" w:cs="Times New Roman"/>
                <w:color w:val="000000"/>
                <w:lang w:val="en-US"/>
              </w:rPr>
            </w:pPr>
          </w:p>
        </w:tc>
        <w:tc>
          <w:tcPr>
            <w:tcW w:w="2126" w:type="dxa"/>
          </w:tcPr>
          <w:p w14:paraId="786B1091"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C82-C86, C90</w:t>
            </w:r>
          </w:p>
        </w:tc>
        <w:tc>
          <w:tcPr>
            <w:tcW w:w="2693" w:type="dxa"/>
            <w:gridSpan w:val="2"/>
          </w:tcPr>
          <w:p w14:paraId="3E67766C" w14:textId="77777777" w:rsidR="00331218" w:rsidRPr="00511936" w:rsidRDefault="00331218" w:rsidP="00231BC3">
            <w:pPr>
              <w:spacing w:line="360" w:lineRule="auto"/>
              <w:jc w:val="center"/>
              <w:rPr>
                <w:rFonts w:ascii="Times New Roman" w:hAnsi="Times New Roman" w:cs="Times New Roman"/>
                <w:color w:val="000000"/>
                <w:lang w:val="en-US"/>
              </w:rPr>
            </w:pPr>
          </w:p>
        </w:tc>
      </w:tr>
      <w:tr w:rsidR="00331218" w:rsidRPr="00511936" w14:paraId="275703DE" w14:textId="77777777" w:rsidTr="00231BC3">
        <w:tc>
          <w:tcPr>
            <w:tcW w:w="2720" w:type="dxa"/>
          </w:tcPr>
          <w:p w14:paraId="30768820" w14:textId="77777777" w:rsidR="00331218" w:rsidRPr="00511936" w:rsidRDefault="00331218" w:rsidP="00231BC3">
            <w:pPr>
              <w:spacing w:line="360" w:lineRule="auto"/>
              <w:rPr>
                <w:rFonts w:ascii="Times New Roman" w:hAnsi="Times New Roman" w:cs="Times New Roman"/>
                <w:i/>
                <w:color w:val="000000"/>
                <w:lang w:val="en-US"/>
              </w:rPr>
            </w:pPr>
            <w:r w:rsidRPr="00511936">
              <w:rPr>
                <w:rFonts w:ascii="Times New Roman" w:hAnsi="Times New Roman" w:cs="Times New Roman"/>
                <w:color w:val="000000"/>
                <w:lang w:val="en-US"/>
              </w:rPr>
              <w:t>Metastases and non-specified cancer in the lymph nodes</w:t>
            </w:r>
          </w:p>
        </w:tc>
        <w:tc>
          <w:tcPr>
            <w:tcW w:w="2095" w:type="dxa"/>
          </w:tcPr>
          <w:p w14:paraId="4E51066C" w14:textId="77777777" w:rsidR="00331218" w:rsidRPr="00511936" w:rsidRDefault="00331218" w:rsidP="00231BC3">
            <w:pPr>
              <w:spacing w:line="360" w:lineRule="auto"/>
              <w:jc w:val="center"/>
              <w:rPr>
                <w:rFonts w:ascii="Times New Roman" w:hAnsi="Times New Roman" w:cs="Times New Roman"/>
                <w:color w:val="000000"/>
                <w:lang w:val="en-US"/>
              </w:rPr>
            </w:pPr>
          </w:p>
        </w:tc>
        <w:tc>
          <w:tcPr>
            <w:tcW w:w="2126" w:type="dxa"/>
          </w:tcPr>
          <w:p w14:paraId="15702C10"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C77-C79</w:t>
            </w:r>
          </w:p>
        </w:tc>
        <w:tc>
          <w:tcPr>
            <w:tcW w:w="2693" w:type="dxa"/>
            <w:gridSpan w:val="2"/>
          </w:tcPr>
          <w:p w14:paraId="0B571897" w14:textId="77777777" w:rsidR="00331218" w:rsidRPr="00511936" w:rsidRDefault="00331218" w:rsidP="00231BC3">
            <w:pPr>
              <w:spacing w:line="360" w:lineRule="auto"/>
              <w:jc w:val="center"/>
              <w:rPr>
                <w:rFonts w:ascii="Times New Roman" w:hAnsi="Times New Roman" w:cs="Times New Roman"/>
                <w:color w:val="000000"/>
                <w:lang w:val="en-US"/>
              </w:rPr>
            </w:pPr>
          </w:p>
        </w:tc>
      </w:tr>
      <w:tr w:rsidR="00331218" w:rsidRPr="00511936" w14:paraId="37A34345" w14:textId="77777777" w:rsidTr="00231BC3">
        <w:tc>
          <w:tcPr>
            <w:tcW w:w="2720" w:type="dxa"/>
          </w:tcPr>
          <w:p w14:paraId="503C192A" w14:textId="77777777" w:rsidR="00331218" w:rsidRPr="00511936" w:rsidRDefault="00331218" w:rsidP="00231BC3">
            <w:pPr>
              <w:spacing w:line="360" w:lineRule="auto"/>
              <w:rPr>
                <w:rFonts w:ascii="Times New Roman" w:hAnsi="Times New Roman" w:cs="Times New Roman"/>
                <w:i/>
                <w:color w:val="000000"/>
                <w:lang w:val="en-US"/>
              </w:rPr>
            </w:pPr>
            <w:r w:rsidRPr="00511936">
              <w:rPr>
                <w:rFonts w:ascii="Times New Roman" w:hAnsi="Times New Roman" w:cs="Times New Roman"/>
                <w:color w:val="000000"/>
                <w:lang w:val="en-US"/>
              </w:rPr>
              <w:t>Basal cell carcinoma</w:t>
            </w:r>
          </w:p>
        </w:tc>
        <w:tc>
          <w:tcPr>
            <w:tcW w:w="2095" w:type="dxa"/>
          </w:tcPr>
          <w:p w14:paraId="2C9E3EF8" w14:textId="77777777" w:rsidR="00331218" w:rsidRPr="00511936" w:rsidRDefault="00331218" w:rsidP="00231BC3">
            <w:pPr>
              <w:spacing w:line="360" w:lineRule="auto"/>
              <w:jc w:val="center"/>
              <w:rPr>
                <w:rFonts w:ascii="Times New Roman" w:hAnsi="Times New Roman" w:cs="Times New Roman"/>
                <w:color w:val="000000"/>
                <w:lang w:val="en-US"/>
              </w:rPr>
            </w:pPr>
          </w:p>
        </w:tc>
        <w:tc>
          <w:tcPr>
            <w:tcW w:w="2126" w:type="dxa"/>
          </w:tcPr>
          <w:p w14:paraId="4DE27A59"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C44 (restricted to morphology 809)</w:t>
            </w:r>
          </w:p>
        </w:tc>
        <w:tc>
          <w:tcPr>
            <w:tcW w:w="2693" w:type="dxa"/>
            <w:gridSpan w:val="2"/>
          </w:tcPr>
          <w:p w14:paraId="047C8266" w14:textId="77777777" w:rsidR="00331218" w:rsidRPr="00511936" w:rsidRDefault="00331218" w:rsidP="00231BC3">
            <w:pPr>
              <w:spacing w:line="360" w:lineRule="auto"/>
              <w:jc w:val="center"/>
              <w:rPr>
                <w:rFonts w:ascii="Times New Roman" w:hAnsi="Times New Roman" w:cs="Times New Roman"/>
                <w:color w:val="000000"/>
                <w:lang w:val="en-US"/>
              </w:rPr>
            </w:pPr>
          </w:p>
        </w:tc>
      </w:tr>
      <w:tr w:rsidR="00331218" w:rsidRPr="00511936" w14:paraId="67D9BF14" w14:textId="77777777" w:rsidTr="00231BC3">
        <w:tc>
          <w:tcPr>
            <w:tcW w:w="2720" w:type="dxa"/>
          </w:tcPr>
          <w:p w14:paraId="0D587B19" w14:textId="77777777" w:rsidR="00331218" w:rsidRPr="00511936" w:rsidRDefault="00331218" w:rsidP="00231BC3">
            <w:pPr>
              <w:spacing w:line="360" w:lineRule="auto"/>
              <w:rPr>
                <w:rFonts w:ascii="Times New Roman" w:hAnsi="Times New Roman" w:cs="Times New Roman"/>
                <w:i/>
                <w:color w:val="000000"/>
                <w:lang w:val="en-US"/>
              </w:rPr>
            </w:pPr>
            <w:r w:rsidRPr="00511936">
              <w:rPr>
                <w:rFonts w:ascii="Times New Roman" w:hAnsi="Times New Roman" w:cs="Times New Roman"/>
                <w:color w:val="000000"/>
                <w:lang w:val="en-US"/>
              </w:rPr>
              <w:t>Other sites</w:t>
            </w:r>
          </w:p>
        </w:tc>
        <w:tc>
          <w:tcPr>
            <w:tcW w:w="2095" w:type="dxa"/>
          </w:tcPr>
          <w:p w14:paraId="16771712" w14:textId="77777777" w:rsidR="00331218" w:rsidRPr="00511936" w:rsidRDefault="00331218" w:rsidP="00231BC3">
            <w:pPr>
              <w:spacing w:line="360" w:lineRule="auto"/>
              <w:jc w:val="center"/>
              <w:rPr>
                <w:rFonts w:ascii="Times New Roman" w:hAnsi="Times New Roman" w:cs="Times New Roman"/>
                <w:color w:val="000000"/>
                <w:lang w:val="en-US"/>
              </w:rPr>
            </w:pPr>
          </w:p>
        </w:tc>
        <w:tc>
          <w:tcPr>
            <w:tcW w:w="2126" w:type="dxa"/>
          </w:tcPr>
          <w:p w14:paraId="71BCCEB9" w14:textId="77777777" w:rsidR="00331218" w:rsidRPr="00511936" w:rsidRDefault="00331218" w:rsidP="00231BC3">
            <w:pPr>
              <w:spacing w:line="360" w:lineRule="auto"/>
              <w:rPr>
                <w:rFonts w:ascii="Times New Roman" w:hAnsi="Times New Roman" w:cs="Times New Roman"/>
                <w:color w:val="000000"/>
                <w:lang w:val="en-US"/>
              </w:rPr>
            </w:pPr>
            <w:r w:rsidRPr="00511936">
              <w:rPr>
                <w:rFonts w:ascii="Times New Roman" w:hAnsi="Times New Roman" w:cs="Times New Roman"/>
                <w:color w:val="000000"/>
                <w:lang w:val="en-US"/>
              </w:rPr>
              <w:t>All ICD-10 codes not listed above</w:t>
            </w:r>
          </w:p>
        </w:tc>
        <w:tc>
          <w:tcPr>
            <w:tcW w:w="2693" w:type="dxa"/>
            <w:gridSpan w:val="2"/>
          </w:tcPr>
          <w:p w14:paraId="73539075" w14:textId="77777777" w:rsidR="00331218" w:rsidRPr="00511936" w:rsidRDefault="00331218" w:rsidP="00231BC3">
            <w:pPr>
              <w:spacing w:line="360" w:lineRule="auto"/>
              <w:jc w:val="center"/>
              <w:rPr>
                <w:rFonts w:ascii="Times New Roman" w:hAnsi="Times New Roman" w:cs="Times New Roman"/>
                <w:color w:val="000000"/>
                <w:lang w:val="en-US"/>
              </w:rPr>
            </w:pPr>
          </w:p>
        </w:tc>
      </w:tr>
    </w:tbl>
    <w:p w14:paraId="278455BB" w14:textId="77777777" w:rsidR="006707D8" w:rsidRPr="00511936" w:rsidRDefault="00331218">
      <w:pPr>
        <w:rPr>
          <w:color w:val="000000"/>
          <w:lang w:val="en-US"/>
        </w:rPr>
      </w:pPr>
      <w:r w:rsidRPr="00511936">
        <w:rPr>
          <w:rFonts w:ascii="Times New Roman" w:hAnsi="Times New Roman" w:cs="Times New Roman"/>
          <w:color w:val="000000"/>
          <w:lang w:val="en-US"/>
        </w:rPr>
        <w:t>*Surgical procedure codes were assigned according to the Danish National Board of Health Classification of Surgical Procedures until 31 December 1995 and according to the Nordic Medico-Statistical Committee (NOMESCO) Classification of Surgical Procedures (NCSP) thereafter.</w:t>
      </w:r>
    </w:p>
    <w:sectPr w:rsidR="006707D8" w:rsidRPr="00511936" w:rsidSect="005B7292">
      <w:footerReference w:type="default" r:id="rId7"/>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A39BB" w14:textId="77777777" w:rsidR="00123B16" w:rsidRDefault="00123B16" w:rsidP="00A02D1A">
      <w:pPr>
        <w:spacing w:after="0" w:line="240" w:lineRule="auto"/>
      </w:pPr>
      <w:r>
        <w:separator/>
      </w:r>
    </w:p>
  </w:endnote>
  <w:endnote w:type="continuationSeparator" w:id="0">
    <w:p w14:paraId="33175016" w14:textId="77777777" w:rsidR="00123B16" w:rsidRDefault="00123B16" w:rsidP="00A02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927874"/>
      <w:docPartObj>
        <w:docPartGallery w:val="Page Numbers (Bottom of Page)"/>
        <w:docPartUnique/>
      </w:docPartObj>
    </w:sdtPr>
    <w:sdtEndPr>
      <w:rPr>
        <w:rFonts w:ascii="Times New Roman" w:hAnsi="Times New Roman" w:cs="Times New Roman"/>
      </w:rPr>
    </w:sdtEndPr>
    <w:sdtContent>
      <w:p w14:paraId="7FB24A56" w14:textId="416F1E0C" w:rsidR="00A02D1A" w:rsidRPr="00A02D1A" w:rsidRDefault="00A02D1A">
        <w:pPr>
          <w:pStyle w:val="Footer"/>
          <w:jc w:val="center"/>
          <w:rPr>
            <w:rFonts w:ascii="Times New Roman" w:hAnsi="Times New Roman" w:cs="Times New Roman"/>
          </w:rPr>
        </w:pPr>
        <w:r w:rsidRPr="00A02D1A">
          <w:rPr>
            <w:rFonts w:ascii="Times New Roman" w:hAnsi="Times New Roman" w:cs="Times New Roman"/>
          </w:rPr>
          <w:fldChar w:fldCharType="begin"/>
        </w:r>
        <w:r w:rsidRPr="00A02D1A">
          <w:rPr>
            <w:rFonts w:ascii="Times New Roman" w:hAnsi="Times New Roman" w:cs="Times New Roman"/>
          </w:rPr>
          <w:instrText>PAGE   \* MERGEFORMAT</w:instrText>
        </w:r>
        <w:r w:rsidRPr="00A02D1A">
          <w:rPr>
            <w:rFonts w:ascii="Times New Roman" w:hAnsi="Times New Roman" w:cs="Times New Roman"/>
          </w:rPr>
          <w:fldChar w:fldCharType="separate"/>
        </w:r>
        <w:r w:rsidR="00152134">
          <w:rPr>
            <w:rFonts w:ascii="Times New Roman" w:hAnsi="Times New Roman" w:cs="Times New Roman"/>
            <w:noProof/>
          </w:rPr>
          <w:t>1</w:t>
        </w:r>
        <w:r w:rsidRPr="00A02D1A">
          <w:rPr>
            <w:rFonts w:ascii="Times New Roman" w:hAnsi="Times New Roman" w:cs="Times New Roman"/>
          </w:rPr>
          <w:fldChar w:fldCharType="end"/>
        </w:r>
      </w:p>
    </w:sdtContent>
  </w:sdt>
  <w:p w14:paraId="75DACB36" w14:textId="77777777" w:rsidR="00A02D1A" w:rsidRDefault="00A02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C7D9C" w14:textId="77777777" w:rsidR="00123B16" w:rsidRDefault="00123B16" w:rsidP="00A02D1A">
      <w:pPr>
        <w:spacing w:after="0" w:line="240" w:lineRule="auto"/>
      </w:pPr>
      <w:r>
        <w:separator/>
      </w:r>
    </w:p>
  </w:footnote>
  <w:footnote w:type="continuationSeparator" w:id="0">
    <w:p w14:paraId="57CF5A5F" w14:textId="77777777" w:rsidR="00123B16" w:rsidRDefault="00123B16" w:rsidP="00A02D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B4CB9"/>
    <w:multiLevelType w:val="hybridMultilevel"/>
    <w:tmpl w:val="003C7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da-DK" w:vendorID="64" w:dllVersion="6" w:nlCheck="1" w:checkStyle="0"/>
  <w:activeWritingStyle w:appName="MSWord" w:lang="en-US" w:vendorID="64" w:dllVersion="6" w:nlCheck="1" w:checkStyle="1"/>
  <w:activeWritingStyle w:appName="MSWord" w:lang="en-US" w:vendorID="64" w:dllVersion="0" w:nlCheck="1" w:checkStyle="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331218"/>
    <w:rsid w:val="00123B16"/>
    <w:rsid w:val="00152134"/>
    <w:rsid w:val="001861D7"/>
    <w:rsid w:val="00245048"/>
    <w:rsid w:val="002E070E"/>
    <w:rsid w:val="00331218"/>
    <w:rsid w:val="00417093"/>
    <w:rsid w:val="00434BF6"/>
    <w:rsid w:val="0048771D"/>
    <w:rsid w:val="00511936"/>
    <w:rsid w:val="005A6C58"/>
    <w:rsid w:val="006405AE"/>
    <w:rsid w:val="006707D8"/>
    <w:rsid w:val="007122CB"/>
    <w:rsid w:val="00736C63"/>
    <w:rsid w:val="00806843"/>
    <w:rsid w:val="0091567F"/>
    <w:rsid w:val="00A02D1A"/>
    <w:rsid w:val="00B13FC5"/>
    <w:rsid w:val="00B62F02"/>
    <w:rsid w:val="00BC0F22"/>
    <w:rsid w:val="00CF3C9A"/>
    <w:rsid w:val="00D575A9"/>
    <w:rsid w:val="00D92780"/>
    <w:rsid w:val="00F523E8"/>
    <w:rsid w:val="00F93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79012"/>
  <w15:chartTrackingRefBased/>
  <w15:docId w15:val="{18D284F1-699D-4141-8572-9B8900F54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218"/>
    <w:rPr>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1218"/>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218"/>
    <w:pPr>
      <w:ind w:left="720"/>
      <w:contextualSpacing/>
    </w:pPr>
  </w:style>
  <w:style w:type="paragraph" w:styleId="Bibliography">
    <w:name w:val="Bibliography"/>
    <w:basedOn w:val="Normal"/>
    <w:next w:val="Normal"/>
    <w:uiPriority w:val="37"/>
    <w:semiHidden/>
    <w:unhideWhenUsed/>
    <w:rsid w:val="00331218"/>
  </w:style>
  <w:style w:type="paragraph" w:styleId="Header">
    <w:name w:val="header"/>
    <w:basedOn w:val="Normal"/>
    <w:link w:val="HeaderChar"/>
    <w:uiPriority w:val="99"/>
    <w:unhideWhenUsed/>
    <w:rsid w:val="00A02D1A"/>
    <w:pPr>
      <w:tabs>
        <w:tab w:val="center" w:pos="4986"/>
        <w:tab w:val="right" w:pos="9972"/>
      </w:tabs>
      <w:spacing w:after="0" w:line="240" w:lineRule="auto"/>
    </w:pPr>
  </w:style>
  <w:style w:type="character" w:customStyle="1" w:styleId="HeaderChar">
    <w:name w:val="Header Char"/>
    <w:basedOn w:val="DefaultParagraphFont"/>
    <w:link w:val="Header"/>
    <w:uiPriority w:val="99"/>
    <w:rsid w:val="00A02D1A"/>
    <w:rPr>
      <w:lang w:val="da-DK"/>
    </w:rPr>
  </w:style>
  <w:style w:type="paragraph" w:styleId="Footer">
    <w:name w:val="footer"/>
    <w:basedOn w:val="Normal"/>
    <w:link w:val="FooterChar"/>
    <w:uiPriority w:val="99"/>
    <w:unhideWhenUsed/>
    <w:rsid w:val="00A02D1A"/>
    <w:pPr>
      <w:tabs>
        <w:tab w:val="center" w:pos="4986"/>
        <w:tab w:val="right" w:pos="9972"/>
      </w:tabs>
      <w:spacing w:after="0" w:line="240" w:lineRule="auto"/>
    </w:pPr>
  </w:style>
  <w:style w:type="character" w:customStyle="1" w:styleId="FooterChar">
    <w:name w:val="Footer Char"/>
    <w:basedOn w:val="DefaultParagraphFont"/>
    <w:link w:val="Footer"/>
    <w:uiPriority w:val="99"/>
    <w:rsid w:val="00A02D1A"/>
    <w:rPr>
      <w:lang w:val="da-DK"/>
    </w:rPr>
  </w:style>
  <w:style w:type="character" w:styleId="CommentReference">
    <w:name w:val="annotation reference"/>
    <w:basedOn w:val="DefaultParagraphFont"/>
    <w:uiPriority w:val="99"/>
    <w:semiHidden/>
    <w:unhideWhenUsed/>
    <w:rsid w:val="00417093"/>
    <w:rPr>
      <w:sz w:val="16"/>
      <w:szCs w:val="16"/>
    </w:rPr>
  </w:style>
  <w:style w:type="paragraph" w:styleId="CommentText">
    <w:name w:val="annotation text"/>
    <w:basedOn w:val="Normal"/>
    <w:link w:val="CommentTextChar"/>
    <w:uiPriority w:val="99"/>
    <w:semiHidden/>
    <w:unhideWhenUsed/>
    <w:rsid w:val="00417093"/>
    <w:pPr>
      <w:spacing w:line="240" w:lineRule="auto"/>
    </w:pPr>
    <w:rPr>
      <w:sz w:val="20"/>
      <w:szCs w:val="20"/>
    </w:rPr>
  </w:style>
  <w:style w:type="character" w:customStyle="1" w:styleId="CommentTextChar">
    <w:name w:val="Comment Text Char"/>
    <w:basedOn w:val="DefaultParagraphFont"/>
    <w:link w:val="CommentText"/>
    <w:uiPriority w:val="99"/>
    <w:semiHidden/>
    <w:rsid w:val="00417093"/>
    <w:rPr>
      <w:sz w:val="20"/>
      <w:szCs w:val="20"/>
      <w:lang w:val="da-DK"/>
    </w:rPr>
  </w:style>
  <w:style w:type="paragraph" w:styleId="CommentSubject">
    <w:name w:val="annotation subject"/>
    <w:basedOn w:val="CommentText"/>
    <w:next w:val="CommentText"/>
    <w:link w:val="CommentSubjectChar"/>
    <w:uiPriority w:val="99"/>
    <w:semiHidden/>
    <w:unhideWhenUsed/>
    <w:rsid w:val="00417093"/>
    <w:rPr>
      <w:b/>
      <w:bCs/>
    </w:rPr>
  </w:style>
  <w:style w:type="character" w:customStyle="1" w:styleId="CommentSubjectChar">
    <w:name w:val="Comment Subject Char"/>
    <w:basedOn w:val="CommentTextChar"/>
    <w:link w:val="CommentSubject"/>
    <w:uiPriority w:val="99"/>
    <w:semiHidden/>
    <w:rsid w:val="00417093"/>
    <w:rPr>
      <w:b/>
      <w:bCs/>
      <w:sz w:val="20"/>
      <w:szCs w:val="20"/>
      <w:lang w:val="da-DK"/>
    </w:rPr>
  </w:style>
  <w:style w:type="paragraph" w:styleId="BalloonText">
    <w:name w:val="Balloon Text"/>
    <w:basedOn w:val="Normal"/>
    <w:link w:val="BalloonTextChar"/>
    <w:uiPriority w:val="99"/>
    <w:semiHidden/>
    <w:unhideWhenUsed/>
    <w:rsid w:val="004877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71D"/>
    <w:rPr>
      <w:rFonts w:ascii="Segoe UI" w:hAnsi="Segoe UI" w:cs="Segoe UI"/>
      <w:sz w:val="18"/>
      <w:szCs w:val="18"/>
      <w:lang w:val="da-DK"/>
    </w:rPr>
  </w:style>
  <w:style w:type="paragraph" w:styleId="Revision">
    <w:name w:val="Revision"/>
    <w:hidden/>
    <w:uiPriority w:val="99"/>
    <w:semiHidden/>
    <w:rsid w:val="00511936"/>
    <w:pPr>
      <w:spacing w:after="0" w:line="240" w:lineRule="auto"/>
    </w:pPr>
    <w:rPr>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2214</Words>
  <Characters>12626</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Aarhus University</Company>
  <LinksUpToDate>false</LinksUpToDate>
  <CharactersWithSpaces>14811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Kjeldahl Schlosser</dc:creator>
  <cp:keywords/>
  <dc:description/>
  <cp:lastModifiedBy>Watson, Georgia</cp:lastModifiedBy>
  <cp:revision>2</cp:revision>
  <dcterms:created xsi:type="dcterms:W3CDTF">2022-01-23T23:46:00Z</dcterms:created>
  <dcterms:modified xsi:type="dcterms:W3CDTF">2022-01-23T23:46:00Z</dcterms:modified>
</cp:coreProperties>
</file>