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4C1FC" w14:textId="77777777" w:rsidR="00B32F37" w:rsidRPr="006C179B" w:rsidRDefault="00B32F37" w:rsidP="00B32F37">
      <w:pPr>
        <w:keepNext/>
        <w:widowControl/>
        <w:spacing w:before="240" w:after="60" w:line="480" w:lineRule="auto"/>
        <w:jc w:val="left"/>
        <w:outlineLvl w:val="0"/>
        <w:rPr>
          <w:rFonts w:ascii="Arial" w:hAnsi="Arial" w:cs="Arial"/>
          <w:kern w:val="32"/>
          <w:sz w:val="20"/>
          <w:szCs w:val="20"/>
          <w:lang w:eastAsia="en-US"/>
        </w:rPr>
      </w:pPr>
      <w:r w:rsidRPr="006C179B">
        <w:rPr>
          <w:rFonts w:ascii="Arial" w:hAnsi="Arial" w:cs="Arial"/>
          <w:kern w:val="32"/>
          <w:sz w:val="20"/>
          <w:szCs w:val="20"/>
          <w:lang w:eastAsia="en-US"/>
        </w:rPr>
        <w:t xml:space="preserve">ORIGINAL RESEARCH </w:t>
      </w:r>
    </w:p>
    <w:p w14:paraId="23A2B658" w14:textId="77777777" w:rsidR="00B32F37" w:rsidRPr="006C179B" w:rsidRDefault="00B32F37" w:rsidP="00B32F37">
      <w:pPr>
        <w:keepNext/>
        <w:widowControl/>
        <w:spacing w:before="240" w:after="60" w:line="480" w:lineRule="auto"/>
        <w:jc w:val="left"/>
        <w:outlineLvl w:val="0"/>
        <w:rPr>
          <w:rFonts w:ascii="Arial" w:hAnsi="Arial" w:cs="Arial"/>
          <w:kern w:val="32"/>
          <w:sz w:val="20"/>
          <w:szCs w:val="20"/>
          <w:lang w:eastAsia="en-US"/>
        </w:rPr>
      </w:pPr>
      <w:r w:rsidRPr="006C179B">
        <w:rPr>
          <w:rFonts w:ascii="Arial" w:hAnsi="Arial" w:cs="Arial"/>
          <w:kern w:val="32"/>
          <w:sz w:val="20"/>
          <w:szCs w:val="20"/>
          <w:lang w:eastAsia="en-US"/>
        </w:rPr>
        <w:t>[</w:t>
      </w:r>
      <w:proofErr w:type="spellStart"/>
      <w:r w:rsidRPr="006C179B">
        <w:rPr>
          <w:rFonts w:ascii="Arial" w:hAnsi="Arial" w:cs="Arial"/>
          <w:kern w:val="32"/>
          <w:sz w:val="20"/>
          <w:szCs w:val="20"/>
          <w:lang w:eastAsia="en-US"/>
        </w:rPr>
        <w:t>Zhiwei</w:t>
      </w:r>
      <w:proofErr w:type="spellEnd"/>
      <w:r w:rsidRPr="006C179B">
        <w:rPr>
          <w:rFonts w:ascii="Arial" w:hAnsi="Arial" w:cs="Arial"/>
          <w:kern w:val="32"/>
          <w:sz w:val="20"/>
          <w:szCs w:val="20"/>
          <w:lang w:eastAsia="en-US"/>
        </w:rPr>
        <w:t xml:space="preserve"> Huang] et al</w:t>
      </w:r>
    </w:p>
    <w:p w14:paraId="343A009F" w14:textId="77777777" w:rsidR="00B32F37" w:rsidRDefault="00B32F37" w:rsidP="00B32F37">
      <w:pPr>
        <w:keepNext/>
        <w:widowControl/>
        <w:spacing w:before="240" w:after="60" w:line="480" w:lineRule="auto"/>
        <w:jc w:val="left"/>
        <w:outlineLvl w:val="0"/>
        <w:rPr>
          <w:rFonts w:ascii="Arial" w:hAnsi="Arial" w:cs="Arial"/>
          <w:b/>
          <w:bCs/>
          <w:kern w:val="32"/>
          <w:sz w:val="32"/>
          <w:szCs w:val="32"/>
          <w:lang w:eastAsia="en-US"/>
        </w:rPr>
      </w:pPr>
      <w:r w:rsidRPr="00FA0EF1">
        <w:rPr>
          <w:rFonts w:ascii="Arial" w:hAnsi="Arial" w:cs="Arial"/>
          <w:b/>
          <w:bCs/>
          <w:kern w:val="32"/>
          <w:sz w:val="32"/>
          <w:szCs w:val="32"/>
          <w:lang w:eastAsia="en-US"/>
        </w:rPr>
        <w:t>Protective eﬀects of chitosan-bilirubin nanoparticles against ethanol-induced gastric ulcer</w:t>
      </w:r>
    </w:p>
    <w:p w14:paraId="3036A583" w14:textId="77777777" w:rsidR="00B32F37" w:rsidRPr="006C179B" w:rsidRDefault="00B32F37" w:rsidP="00B32F37">
      <w:pPr>
        <w:snapToGrid w:val="0"/>
        <w:spacing w:before="100" w:after="100" w:line="480" w:lineRule="auto"/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</w:pPr>
      <w:bookmarkStart w:id="0" w:name="_Hlk85365903"/>
      <w:bookmarkStart w:id="1" w:name="_Hlk59103419"/>
      <w:proofErr w:type="spellStart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Zhi</w:t>
      </w: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lang w:val="en"/>
        </w:rPr>
        <w:t>w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ei</w:t>
      </w:r>
      <w:proofErr w:type="spellEnd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 Huang</w:t>
      </w:r>
      <w:bookmarkEnd w:id="0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1, 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2, 3 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†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, </w:t>
      </w:r>
      <w:proofErr w:type="spellStart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Yan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n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an</w:t>
      </w:r>
      <w:proofErr w:type="spellEnd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 Shi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2, †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, </w:t>
      </w:r>
      <w:bookmarkStart w:id="2" w:name="_Hlk84000461"/>
      <w:proofErr w:type="spellStart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Heng</w:t>
      </w: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lang w:val="en"/>
        </w:rPr>
        <w:t>c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ai</w:t>
      </w:r>
      <w:proofErr w:type="spellEnd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 Wang</w:t>
      </w:r>
      <w:bookmarkEnd w:id="2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2, †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, </w:t>
      </w:r>
      <w:proofErr w:type="spellStart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Chang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j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u</w:t>
      </w:r>
      <w:proofErr w:type="spellEnd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 Chun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3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, </w:t>
      </w:r>
      <w:bookmarkStart w:id="3" w:name="_Hlk84000664"/>
      <w:proofErr w:type="spellStart"/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Long</w:t>
      </w: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lang w:val="en"/>
        </w:rPr>
        <w:t>w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ang</w:t>
      </w:r>
      <w:proofErr w:type="spellEnd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 C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hen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1, 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4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,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 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K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ang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 W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lang w:val="en"/>
        </w:rPr>
        <w:t>ang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1, 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4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, Zhong</w:t>
      </w: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lang w:val="en"/>
        </w:rPr>
        <w:t>q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iu Lu</w:t>
      </w:r>
      <w:bookmarkEnd w:id="3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1,</w:t>
      </w:r>
      <w:r w:rsidRPr="006C179B">
        <w:rPr>
          <w:rFonts w:ascii="Arial" w:eastAsia="等线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 4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, </w:t>
      </w:r>
      <w:proofErr w:type="spellStart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Ying</w:t>
      </w: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lang w:val="en"/>
        </w:rPr>
        <w:t>z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heng</w:t>
      </w:r>
      <w:proofErr w:type="spellEnd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 Zhao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2, 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 xml:space="preserve">*, </w:t>
      </w:r>
      <w:bookmarkStart w:id="4" w:name="_Hlk82896341"/>
      <w:proofErr w:type="spellStart"/>
      <w:r w:rsidRPr="006C179B">
        <w:rPr>
          <w:rFonts w:ascii="Arial" w:eastAsia="等线" w:hAnsi="Arial" w:cs="Arial"/>
          <w:color w:val="000000"/>
          <w:sz w:val="20"/>
          <w:szCs w:val="20"/>
          <w:lang w:val="en"/>
        </w:rPr>
        <w:t>Xinze</w:t>
      </w:r>
      <w:proofErr w:type="spellEnd"/>
      <w:r w:rsidRPr="006C179B">
        <w:rPr>
          <w:rFonts w:ascii="Arial" w:eastAsia="等线" w:hAnsi="Arial" w:cs="Arial"/>
          <w:color w:val="000000"/>
          <w:sz w:val="20"/>
          <w:szCs w:val="20"/>
          <w:lang w:val="en"/>
        </w:rPr>
        <w:t xml:space="preserve"> Li</w:t>
      </w:r>
      <w:bookmarkEnd w:id="4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1, 4 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/>
        </w:rPr>
        <w:t>*</w:t>
      </w:r>
    </w:p>
    <w:bookmarkEnd w:id="1"/>
    <w:p w14:paraId="3B784C96" w14:textId="77777777" w:rsidR="00B32F37" w:rsidRPr="006C179B" w:rsidRDefault="00B32F37" w:rsidP="00B32F37">
      <w:pPr>
        <w:snapToGrid w:val="0"/>
        <w:spacing w:before="100" w:after="100" w:line="480" w:lineRule="auto"/>
        <w:rPr>
          <w:rFonts w:ascii="Arial" w:hAnsi="Arial" w:cs="Arial"/>
          <w:color w:val="000000"/>
          <w:sz w:val="20"/>
          <w:szCs w:val="20"/>
        </w:rPr>
      </w:pP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1 </w:t>
      </w:r>
      <w:r w:rsidRPr="006C179B">
        <w:rPr>
          <w:rFonts w:ascii="Arial" w:hAnsi="Arial" w:cs="Arial"/>
          <w:noProof/>
          <w:color w:val="000000"/>
          <w:sz w:val="20"/>
          <w:szCs w:val="20"/>
        </w:rPr>
        <w:t>Department of Emergency, the First Affiliated Hospital of Wenzhou Medical University, Wenzhou 325</w:t>
      </w:r>
      <w:r w:rsidRPr="006C179B">
        <w:rPr>
          <w:rFonts w:ascii="Arial" w:hAnsi="Arial" w:cs="Arial"/>
          <w:color w:val="000000"/>
          <w:sz w:val="20"/>
          <w:szCs w:val="20"/>
          <w:lang w:val="en"/>
        </w:rPr>
        <w:t>035</w:t>
      </w:r>
      <w:r w:rsidRPr="006C179B">
        <w:rPr>
          <w:rFonts w:ascii="Arial" w:hAnsi="Arial" w:cs="Arial"/>
          <w:color w:val="000000"/>
          <w:sz w:val="20"/>
          <w:szCs w:val="20"/>
        </w:rPr>
        <w:t>,</w:t>
      </w:r>
      <w:r w:rsidRPr="006C179B">
        <w:rPr>
          <w:rFonts w:ascii="Arial" w:hAnsi="Arial" w:cs="Times New Roman"/>
          <w:kern w:val="0"/>
          <w:sz w:val="20"/>
          <w:szCs w:val="24"/>
          <w:lang w:eastAsia="en-US"/>
        </w:rPr>
        <w:t xml:space="preserve"> </w:t>
      </w:r>
      <w:r w:rsidRPr="006C179B">
        <w:rPr>
          <w:rFonts w:ascii="Arial" w:hAnsi="Arial" w:cs="Arial"/>
          <w:color w:val="000000"/>
          <w:sz w:val="20"/>
          <w:szCs w:val="20"/>
        </w:rPr>
        <w:t>People’s Republic of China.</w:t>
      </w:r>
    </w:p>
    <w:p w14:paraId="111EE099" w14:textId="77777777" w:rsidR="00B32F37" w:rsidRPr="006C179B" w:rsidRDefault="00B32F37" w:rsidP="00B32F37">
      <w:pPr>
        <w:snapToGrid w:val="0"/>
        <w:spacing w:before="100" w:after="100" w:line="480" w:lineRule="auto"/>
        <w:rPr>
          <w:rFonts w:ascii="Arial" w:hAnsi="Arial" w:cs="Arial"/>
          <w:color w:val="000000"/>
          <w:sz w:val="20"/>
          <w:szCs w:val="20"/>
          <w:lang w:val="en"/>
        </w:rPr>
      </w:pP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2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 </w:t>
      </w:r>
      <w:r w:rsidRPr="006C179B">
        <w:rPr>
          <w:rFonts w:ascii="Arial" w:hAnsi="Arial" w:cs="Arial"/>
          <w:color w:val="000000"/>
          <w:sz w:val="20"/>
          <w:szCs w:val="20"/>
          <w:lang w:val="en"/>
        </w:rPr>
        <w:t>School of Pharmaceutical Sciences, Wenzhou Medical University, Wenzhou 325035, People’s Republic of China.</w:t>
      </w:r>
    </w:p>
    <w:p w14:paraId="689B19B5" w14:textId="77777777" w:rsidR="00B32F37" w:rsidRPr="006C179B" w:rsidRDefault="00B32F37" w:rsidP="00B32F37">
      <w:pPr>
        <w:snapToGrid w:val="0"/>
        <w:spacing w:before="100" w:after="100" w:line="480" w:lineRule="auto"/>
        <w:rPr>
          <w:rFonts w:ascii="Arial" w:hAnsi="Arial" w:cs="Arial"/>
          <w:color w:val="000000"/>
          <w:sz w:val="20"/>
          <w:szCs w:val="20"/>
          <w:lang w:val="en"/>
        </w:rPr>
      </w:pP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3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 </w:t>
      </w:r>
      <w:r w:rsidRPr="006C179B">
        <w:rPr>
          <w:rFonts w:ascii="Arial" w:hAnsi="Arial" w:cs="Arial"/>
          <w:color w:val="000000"/>
          <w:sz w:val="20"/>
          <w:szCs w:val="20"/>
          <w:lang w:val="en"/>
        </w:rPr>
        <w:t>Research Institute of Pharmaceutical Sciences, College of Pharmacy, Chonnam National University, Gwangju 61186, Republic of Korea.</w:t>
      </w:r>
    </w:p>
    <w:p w14:paraId="21362393" w14:textId="77777777" w:rsidR="00B32F37" w:rsidRPr="006C179B" w:rsidRDefault="00B32F37" w:rsidP="00B32F37">
      <w:pPr>
        <w:snapToGrid w:val="0"/>
        <w:spacing w:before="100" w:after="100" w:line="480" w:lineRule="auto"/>
        <w:rPr>
          <w:rFonts w:ascii="Arial" w:hAnsi="Arial" w:cs="Arial"/>
          <w:color w:val="000000"/>
          <w:sz w:val="20"/>
          <w:szCs w:val="20"/>
        </w:rPr>
      </w:pP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>4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 </w:t>
      </w:r>
      <w:r w:rsidRPr="006C179B">
        <w:rPr>
          <w:rFonts w:ascii="Arial" w:hAnsi="Arial" w:cs="Arial"/>
          <w:color w:val="000000"/>
          <w:sz w:val="20"/>
          <w:szCs w:val="20"/>
          <w:lang w:val="en"/>
        </w:rPr>
        <w:t>Wenzhou Key Laboratory of emergency and disaster medicine</w:t>
      </w:r>
      <w:r w:rsidRPr="006C179B">
        <w:rPr>
          <w:rFonts w:ascii="Arial" w:hAnsi="Arial" w:cs="Arial"/>
          <w:noProof/>
          <w:color w:val="000000"/>
          <w:sz w:val="20"/>
          <w:szCs w:val="20"/>
        </w:rPr>
        <w:t>, Wenzhou 325</w:t>
      </w:r>
      <w:r w:rsidRPr="006C179B">
        <w:rPr>
          <w:rFonts w:ascii="Arial" w:hAnsi="Arial" w:cs="Arial"/>
          <w:color w:val="000000"/>
          <w:sz w:val="20"/>
          <w:szCs w:val="20"/>
          <w:lang w:val="en"/>
        </w:rPr>
        <w:t>035</w:t>
      </w:r>
      <w:r w:rsidRPr="006C179B">
        <w:rPr>
          <w:rFonts w:ascii="Arial" w:hAnsi="Arial" w:cs="Arial"/>
          <w:color w:val="000000"/>
          <w:sz w:val="20"/>
          <w:szCs w:val="20"/>
        </w:rPr>
        <w:t>, People’s Republic of China.</w:t>
      </w:r>
    </w:p>
    <w:p w14:paraId="34FF8AAE" w14:textId="77777777" w:rsidR="00B32F37" w:rsidRPr="006C179B" w:rsidRDefault="00B32F37" w:rsidP="00B32F37">
      <w:pPr>
        <w:snapToGrid w:val="0"/>
        <w:spacing w:before="100" w:after="100" w:line="480" w:lineRule="auto"/>
        <w:rPr>
          <w:rFonts w:ascii="Arial" w:hAnsi="Arial" w:cs="Arial"/>
          <w:color w:val="000000"/>
          <w:sz w:val="20"/>
          <w:szCs w:val="20"/>
          <w:lang w:bidi="en-US"/>
        </w:rPr>
      </w:pP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vertAlign w:val="superscript"/>
          <w:lang w:val="en"/>
        </w:rPr>
        <w:t xml:space="preserve">† </w:t>
      </w:r>
      <w:r w:rsidRPr="006C179B">
        <w:rPr>
          <w:rFonts w:ascii="Arial" w:hAnsi="Arial" w:cs="Arial"/>
          <w:noProof/>
          <w:color w:val="000000"/>
          <w:sz w:val="20"/>
          <w:szCs w:val="20"/>
          <w:lang w:bidi="en-US"/>
        </w:rPr>
        <w:t>T</w:t>
      </w:r>
      <w:r w:rsidRPr="006C179B">
        <w:rPr>
          <w:rFonts w:ascii="Arial" w:hAnsi="Arial" w:cs="Arial" w:hint="eastAsia"/>
          <w:noProof/>
          <w:color w:val="000000"/>
          <w:sz w:val="20"/>
          <w:szCs w:val="20"/>
          <w:lang w:bidi="en-US"/>
        </w:rPr>
        <w:t>hese</w:t>
      </w:r>
      <w:r w:rsidRPr="006C179B">
        <w:rPr>
          <w:rFonts w:ascii="Arial" w:hAnsi="Arial" w:cs="Arial"/>
          <w:noProof/>
          <w:color w:val="000000"/>
          <w:sz w:val="20"/>
          <w:szCs w:val="20"/>
          <w:lang w:bidi="en-US"/>
        </w:rPr>
        <w:t xml:space="preserve"> authors contributed equally to this work.</w:t>
      </w:r>
    </w:p>
    <w:p w14:paraId="4A780B9A" w14:textId="77777777" w:rsidR="00B32F37" w:rsidRPr="006C179B" w:rsidRDefault="00B32F37" w:rsidP="00B32F37">
      <w:pPr>
        <w:widowControl/>
        <w:spacing w:line="480" w:lineRule="auto"/>
        <w:jc w:val="left"/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 w:eastAsia="en-US"/>
        </w:rPr>
      </w:pPr>
      <w:r w:rsidRPr="006C179B">
        <w:rPr>
          <w:rFonts w:ascii="Arial" w:hAnsi="Arial" w:cs="Times New Roman" w:hint="eastAsia"/>
          <w:kern w:val="0"/>
          <w:sz w:val="20"/>
          <w:szCs w:val="24"/>
        </w:rPr>
        <w:t>*</w:t>
      </w:r>
      <w:r w:rsidRPr="006C179B">
        <w:rPr>
          <w:rFonts w:ascii="Arial" w:hAnsi="Arial" w:cs="Times New Roman"/>
          <w:kern w:val="0"/>
          <w:sz w:val="20"/>
          <w:szCs w:val="24"/>
          <w:lang w:eastAsia="en-US"/>
        </w:rPr>
        <w:t xml:space="preserve"> Correspondence: </w:t>
      </w:r>
      <w:proofErr w:type="spellStart"/>
      <w:r w:rsidRPr="006C179B">
        <w:rPr>
          <w:rFonts w:ascii="Arial" w:eastAsia="等线" w:hAnsi="Arial" w:cs="Arial"/>
          <w:color w:val="000000"/>
          <w:kern w:val="0"/>
          <w:sz w:val="20"/>
          <w:szCs w:val="20"/>
          <w:lang w:val="en" w:eastAsia="en-US"/>
        </w:rPr>
        <w:t>Xin</w:t>
      </w:r>
      <w:r w:rsidRPr="006C179B">
        <w:rPr>
          <w:rFonts w:ascii="Arial" w:eastAsia="等线" w:hAnsi="Arial" w:cs="Arial"/>
          <w:color w:val="000000"/>
          <w:kern w:val="0"/>
          <w:sz w:val="20"/>
          <w:szCs w:val="20"/>
          <w:lang w:val="en"/>
        </w:rPr>
        <w:t>z</w:t>
      </w:r>
      <w:r w:rsidRPr="006C179B">
        <w:rPr>
          <w:rFonts w:ascii="Arial" w:eastAsia="等线" w:hAnsi="Arial" w:cs="Arial"/>
          <w:color w:val="000000"/>
          <w:kern w:val="0"/>
          <w:sz w:val="20"/>
          <w:szCs w:val="20"/>
          <w:lang w:val="en" w:eastAsia="en-US"/>
        </w:rPr>
        <w:t>e</w:t>
      </w:r>
      <w:proofErr w:type="spellEnd"/>
      <w:r w:rsidRPr="006C179B">
        <w:rPr>
          <w:rFonts w:ascii="Arial" w:eastAsia="等线" w:hAnsi="Arial" w:cs="Arial"/>
          <w:color w:val="000000"/>
          <w:kern w:val="0"/>
          <w:sz w:val="20"/>
          <w:szCs w:val="20"/>
          <w:lang w:val="en" w:eastAsia="en-US"/>
        </w:rPr>
        <w:t xml:space="preserve"> Li; </w:t>
      </w:r>
      <w:proofErr w:type="spellStart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 w:eastAsia="en-US"/>
        </w:rPr>
        <w:t>Ying</w:t>
      </w:r>
      <w:r w:rsidRPr="006C179B">
        <w:rPr>
          <w:rFonts w:ascii="Arial" w:hAnsi="Arial" w:cs="Arial"/>
          <w:color w:val="000000"/>
          <w:spacing w:val="2"/>
          <w:kern w:val="36"/>
          <w:sz w:val="20"/>
          <w:szCs w:val="20"/>
          <w:lang w:val="en"/>
        </w:rPr>
        <w:t>z</w:t>
      </w:r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 w:eastAsia="en-US"/>
        </w:rPr>
        <w:t>heng</w:t>
      </w:r>
      <w:proofErr w:type="spellEnd"/>
      <w:r w:rsidRPr="006C179B">
        <w:rPr>
          <w:rFonts w:ascii="Arial" w:eastAsia="Times New Roman" w:hAnsi="Arial" w:cs="Arial"/>
          <w:color w:val="000000"/>
          <w:spacing w:val="2"/>
          <w:kern w:val="36"/>
          <w:sz w:val="20"/>
          <w:szCs w:val="20"/>
          <w:lang w:val="en" w:eastAsia="en-US"/>
        </w:rPr>
        <w:t xml:space="preserve"> Zhao;</w:t>
      </w:r>
    </w:p>
    <w:p w14:paraId="7A61FD57" w14:textId="77777777" w:rsidR="00B32F37" w:rsidRPr="006C179B" w:rsidRDefault="00B32F37" w:rsidP="00B32F37">
      <w:pPr>
        <w:snapToGrid w:val="0"/>
        <w:spacing w:before="100" w:after="100" w:line="480" w:lineRule="auto"/>
        <w:rPr>
          <w:rFonts w:ascii="Arial" w:hAnsi="Arial" w:cs="Arial"/>
          <w:color w:val="000000"/>
          <w:sz w:val="20"/>
          <w:szCs w:val="20"/>
          <w:lang w:val="en"/>
        </w:rPr>
      </w:pPr>
      <w:r w:rsidRPr="006C179B">
        <w:rPr>
          <w:rFonts w:ascii="Arial" w:hAnsi="Arial" w:cs="Times New Roman"/>
          <w:kern w:val="0"/>
          <w:sz w:val="20"/>
          <w:szCs w:val="24"/>
          <w:lang w:eastAsia="en-US"/>
        </w:rPr>
        <w:t xml:space="preserve">Wenzhou Medical University, University Town, Chashan, Wenzhou, Zhejiang, </w:t>
      </w:r>
      <w:r w:rsidRPr="006C179B">
        <w:rPr>
          <w:rFonts w:ascii="Arial" w:hAnsi="Arial" w:cs="Arial"/>
          <w:color w:val="000000"/>
          <w:sz w:val="20"/>
          <w:szCs w:val="20"/>
          <w:lang w:val="en"/>
        </w:rPr>
        <w:t>325035, People’s Republic of China.</w:t>
      </w:r>
    </w:p>
    <w:p w14:paraId="1C40F01D" w14:textId="231D5E5D" w:rsidR="00B32F37" w:rsidRPr="006C179B" w:rsidRDefault="00B32F37" w:rsidP="00B32F37">
      <w:pPr>
        <w:widowControl/>
        <w:spacing w:line="480" w:lineRule="auto"/>
        <w:jc w:val="left"/>
        <w:rPr>
          <w:rFonts w:ascii="Arial" w:hAnsi="Arial" w:cs="Times New Roman"/>
          <w:kern w:val="0"/>
          <w:sz w:val="20"/>
          <w:szCs w:val="24"/>
          <w:lang w:val="fr-FR" w:eastAsia="en-US"/>
        </w:rPr>
      </w:pPr>
      <w:r w:rsidRPr="006C179B">
        <w:rPr>
          <w:rFonts w:ascii="Arial" w:hAnsi="Arial" w:cs="Times New Roman"/>
          <w:kern w:val="0"/>
          <w:sz w:val="20"/>
          <w:szCs w:val="24"/>
          <w:lang w:val="fr-FR" w:eastAsia="en-US"/>
        </w:rPr>
        <w:t>Email</w:t>
      </w:r>
      <w:r w:rsidRPr="006C179B">
        <w:rPr>
          <w:rFonts w:ascii="Arial" w:hAnsi="Arial" w:cs="Times New Roman"/>
          <w:kern w:val="0"/>
          <w:sz w:val="20"/>
          <w:szCs w:val="24"/>
          <w:lang w:eastAsia="en-US"/>
        </w:rPr>
        <w:t xml:space="preserve">: </w:t>
      </w:r>
      <w:hyperlink r:id="rId6" w:history="1">
        <w:r w:rsidRPr="006C179B">
          <w:rPr>
            <w:rFonts w:ascii="Arial" w:hAnsi="Arial" w:cs="Times New Roman"/>
            <w:color w:val="0000FF"/>
            <w:kern w:val="0"/>
            <w:sz w:val="20"/>
            <w:szCs w:val="24"/>
            <w:u w:val="single"/>
            <w:lang w:eastAsia="en-US"/>
          </w:rPr>
          <w:t>lxzpharm@163.com</w:t>
        </w:r>
      </w:hyperlink>
      <w:r w:rsidRPr="006C179B">
        <w:rPr>
          <w:rFonts w:ascii="Arial" w:hAnsi="Arial" w:cs="Times New Roman"/>
          <w:kern w:val="0"/>
          <w:sz w:val="20"/>
          <w:szCs w:val="24"/>
          <w:lang w:eastAsia="en-US"/>
        </w:rPr>
        <w:t xml:space="preserve">; </w:t>
      </w:r>
      <w:r w:rsidRPr="00B32F37">
        <w:rPr>
          <w:rFonts w:ascii="Arial" w:hAnsi="Arial" w:cs="Times New Roman"/>
          <w:color w:val="0000FF"/>
          <w:kern w:val="0"/>
          <w:sz w:val="20"/>
          <w:szCs w:val="24"/>
          <w:u w:val="single"/>
          <w:lang w:eastAsia="en-US"/>
        </w:rPr>
        <w:t>zhaoyingzpha@126.com</w:t>
      </w:r>
      <w:r w:rsidRPr="006C179B">
        <w:rPr>
          <w:rFonts w:ascii="Arial" w:hAnsi="Arial" w:cs="Times New Roman"/>
          <w:kern w:val="0"/>
          <w:sz w:val="20"/>
          <w:szCs w:val="24"/>
          <w:lang w:eastAsia="en-US"/>
        </w:rPr>
        <w:t xml:space="preserve">; </w:t>
      </w:r>
      <w:bookmarkStart w:id="5" w:name="_GoBack"/>
      <w:bookmarkEnd w:id="5"/>
    </w:p>
    <w:p w14:paraId="6475F016" w14:textId="77777777" w:rsidR="00B32F37" w:rsidRPr="00B32F37" w:rsidRDefault="00B32F37" w:rsidP="00B32F37">
      <w:pPr>
        <w:spacing w:line="360" w:lineRule="auto"/>
        <w:rPr>
          <w:rFonts w:ascii="Palatino Linotype" w:hAnsi="Palatino Linotype" w:cs="Times New Roman" w:hint="eastAsia"/>
          <w:color w:val="FF0000"/>
          <w:sz w:val="22"/>
        </w:rPr>
      </w:pPr>
      <w:r w:rsidRPr="00B32F37">
        <w:rPr>
          <w:rFonts w:ascii="Palatino Linotype" w:hAnsi="Palatino Linotype" w:cs="Times New Roman"/>
          <w:noProof/>
          <w:color w:val="FF0000"/>
          <w:sz w:val="22"/>
        </w:rPr>
        <w:lastRenderedPageBreak/>
        <w:drawing>
          <wp:inline distT="0" distB="0" distL="0" distR="0" wp14:anchorId="5929345A" wp14:editId="1CCA37EA">
            <wp:extent cx="5460365" cy="165035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16" cy="166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53D34" w14:textId="2D5B6CE0" w:rsidR="001929C0" w:rsidRDefault="00B32F37" w:rsidP="00B32F37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B32F37">
        <w:rPr>
          <w:rFonts w:ascii="Arial" w:hAnsi="Arial" w:cs="Arial"/>
          <w:b/>
          <w:sz w:val="20"/>
          <w:szCs w:val="20"/>
        </w:rPr>
        <w:t>Figure S</w:t>
      </w:r>
      <w:r w:rsidRPr="00B32F37">
        <w:rPr>
          <w:rFonts w:ascii="Arial" w:hAnsi="Arial" w:cs="Arial" w:hint="eastAsia"/>
          <w:b/>
          <w:sz w:val="20"/>
          <w:szCs w:val="20"/>
        </w:rPr>
        <w:t>1</w:t>
      </w:r>
      <w:r w:rsidRPr="00B32F37">
        <w:rPr>
          <w:rFonts w:ascii="Arial" w:hAnsi="Arial" w:cs="Arial"/>
          <w:b/>
          <w:sz w:val="20"/>
          <w:szCs w:val="20"/>
        </w:rPr>
        <w:t xml:space="preserve">. </w:t>
      </w:r>
      <w:r w:rsidRPr="00B32F37">
        <w:rPr>
          <w:rFonts w:ascii="Arial" w:hAnsi="Arial" w:cs="Arial"/>
          <w:sz w:val="20"/>
          <w:szCs w:val="20"/>
        </w:rPr>
        <w:t xml:space="preserve">The cellular uptake of CS-BR </w:t>
      </w:r>
      <w:r w:rsidRPr="00B32F37">
        <w:rPr>
          <w:rFonts w:ascii="Arial" w:hAnsi="Arial" w:cs="Arial" w:hint="eastAsia"/>
          <w:sz w:val="20"/>
          <w:szCs w:val="20"/>
        </w:rPr>
        <w:t>in</w:t>
      </w:r>
      <w:r w:rsidRPr="00B32F37">
        <w:rPr>
          <w:rFonts w:ascii="Arial" w:hAnsi="Arial" w:cs="Arial"/>
          <w:sz w:val="20"/>
          <w:szCs w:val="20"/>
        </w:rPr>
        <w:t xml:space="preserve"> </w:t>
      </w:r>
      <w:r w:rsidRPr="00B32F37">
        <w:rPr>
          <w:rFonts w:ascii="Arial" w:hAnsi="Arial" w:cs="Arial" w:hint="eastAsia"/>
          <w:sz w:val="20"/>
          <w:szCs w:val="20"/>
        </w:rPr>
        <w:t>vitro</w:t>
      </w:r>
      <w:r w:rsidRPr="00B32F37">
        <w:rPr>
          <w:rFonts w:ascii="Arial" w:hAnsi="Arial" w:cs="Arial"/>
          <w:sz w:val="20"/>
          <w:szCs w:val="20"/>
        </w:rPr>
        <w:t xml:space="preserve">. (A) Cellular uptake </w:t>
      </w:r>
      <w:r w:rsidRPr="00B32F37">
        <w:rPr>
          <w:rFonts w:ascii="Arial" w:hAnsi="Arial" w:cs="Arial" w:hint="eastAsia"/>
          <w:sz w:val="20"/>
          <w:szCs w:val="20"/>
        </w:rPr>
        <w:t>of</w:t>
      </w:r>
      <w:r w:rsidRPr="00B32F37">
        <w:rPr>
          <w:rFonts w:ascii="Arial" w:hAnsi="Arial" w:cs="Arial"/>
          <w:sz w:val="20"/>
          <w:szCs w:val="20"/>
        </w:rPr>
        <w:t xml:space="preserve"> gastric epithelial cells detected by fluorescen</w:t>
      </w:r>
      <w:r w:rsidRPr="00B32F37">
        <w:rPr>
          <w:rFonts w:ascii="Arial" w:hAnsi="Arial" w:cs="Arial" w:hint="eastAsia"/>
          <w:sz w:val="20"/>
          <w:szCs w:val="20"/>
        </w:rPr>
        <w:t>t</w:t>
      </w:r>
      <w:r w:rsidRPr="00B32F37">
        <w:rPr>
          <w:rFonts w:ascii="Arial" w:hAnsi="Arial" w:cs="Arial"/>
          <w:sz w:val="20"/>
          <w:szCs w:val="20"/>
        </w:rPr>
        <w:t xml:space="preserve"> microscope. Scale bar </w:t>
      </w:r>
      <w:r w:rsidRPr="00B32F37">
        <w:rPr>
          <w:rFonts w:ascii="Arial" w:hAnsi="Arial" w:cs="Arial" w:hint="eastAsia"/>
          <w:sz w:val="20"/>
          <w:szCs w:val="20"/>
        </w:rPr>
        <w:t>=</w:t>
      </w:r>
      <w:r w:rsidRPr="00B32F37">
        <w:rPr>
          <w:rFonts w:ascii="Arial" w:hAnsi="Arial" w:cs="Arial"/>
          <w:sz w:val="20"/>
          <w:szCs w:val="20"/>
        </w:rPr>
        <w:t xml:space="preserve"> 20 μm. (C) T</w:t>
      </w:r>
      <w:r w:rsidRPr="00B32F37">
        <w:rPr>
          <w:rFonts w:ascii="Arial" w:hAnsi="Arial" w:cs="Arial" w:hint="eastAsia"/>
          <w:sz w:val="20"/>
          <w:szCs w:val="20"/>
        </w:rPr>
        <w:t>he</w:t>
      </w:r>
      <w:r w:rsidRPr="00B32F37">
        <w:rPr>
          <w:rFonts w:ascii="Arial" w:hAnsi="Arial" w:cs="Arial"/>
          <w:sz w:val="20"/>
          <w:szCs w:val="20"/>
        </w:rPr>
        <w:t xml:space="preserve"> </w:t>
      </w:r>
      <w:r w:rsidRPr="00B32F37">
        <w:rPr>
          <w:rFonts w:ascii="Arial" w:hAnsi="Arial" w:cs="Arial" w:hint="eastAsia"/>
          <w:sz w:val="20"/>
          <w:szCs w:val="20"/>
        </w:rPr>
        <w:t>mean</w:t>
      </w:r>
      <w:r w:rsidRPr="00B32F37">
        <w:rPr>
          <w:rFonts w:ascii="Arial" w:hAnsi="Arial" w:cs="Arial"/>
          <w:sz w:val="20"/>
          <w:szCs w:val="20"/>
        </w:rPr>
        <w:t xml:space="preserve"> fluorescence intensity of </w:t>
      </w:r>
      <w:r w:rsidRPr="00B32F37">
        <w:rPr>
          <w:rFonts w:ascii="Arial" w:hAnsi="Arial" w:cs="Arial" w:hint="eastAsia"/>
          <w:sz w:val="20"/>
          <w:szCs w:val="20"/>
        </w:rPr>
        <w:t>each</w:t>
      </w:r>
      <w:r w:rsidRPr="00B32F37">
        <w:rPr>
          <w:rFonts w:ascii="Arial" w:hAnsi="Arial" w:cs="Arial"/>
          <w:sz w:val="20"/>
          <w:szCs w:val="20"/>
        </w:rPr>
        <w:t xml:space="preserve"> </w:t>
      </w:r>
      <w:r w:rsidRPr="00B32F37">
        <w:rPr>
          <w:rFonts w:ascii="Arial" w:hAnsi="Arial" w:cs="Arial" w:hint="eastAsia"/>
          <w:sz w:val="20"/>
          <w:szCs w:val="20"/>
        </w:rPr>
        <w:t>group.</w:t>
      </w:r>
      <w:r w:rsidRPr="00B32F37">
        <w:rPr>
          <w:rFonts w:ascii="Arial" w:hAnsi="Arial" w:cs="Arial"/>
          <w:sz w:val="20"/>
          <w:szCs w:val="20"/>
        </w:rPr>
        <w:t xml:space="preserve"> Data are expressed as the mean ± SD (n=3).</w:t>
      </w:r>
    </w:p>
    <w:p w14:paraId="276C8892" w14:textId="77777777" w:rsidR="00B32F37" w:rsidRDefault="00B32F37" w:rsidP="00B32F37">
      <w:pPr>
        <w:spacing w:line="480" w:lineRule="auto"/>
        <w:jc w:val="left"/>
        <w:rPr>
          <w:rFonts w:ascii="Arial" w:hAnsi="Arial" w:cs="Arial" w:hint="eastAsia"/>
          <w:sz w:val="20"/>
          <w:szCs w:val="20"/>
        </w:rPr>
      </w:pPr>
    </w:p>
    <w:p w14:paraId="15FBA291" w14:textId="77777777" w:rsidR="00B32F37" w:rsidRPr="00B32F37" w:rsidRDefault="00B32F37" w:rsidP="00B32F37">
      <w:pPr>
        <w:spacing w:line="360" w:lineRule="auto"/>
        <w:jc w:val="center"/>
        <w:rPr>
          <w:rFonts w:ascii="Palatino Linotype" w:hAnsi="Palatino Linotype"/>
          <w:color w:val="FF0000"/>
          <w:szCs w:val="22"/>
        </w:rPr>
      </w:pPr>
      <w:r w:rsidRPr="00B32F37">
        <w:rPr>
          <w:rFonts w:ascii="Palatino Linotype" w:hAnsi="Palatino Linotype"/>
          <w:noProof/>
          <w:color w:val="FF0000"/>
          <w:szCs w:val="22"/>
        </w:rPr>
        <w:drawing>
          <wp:inline distT="0" distB="0" distL="0" distR="0" wp14:anchorId="7E5640D2" wp14:editId="4E01C321">
            <wp:extent cx="2609215" cy="19265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8648C" w14:textId="77777777" w:rsidR="00B32F37" w:rsidRPr="00B32F37" w:rsidRDefault="00B32F37" w:rsidP="00B32F37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B32F37">
        <w:rPr>
          <w:rFonts w:ascii="Arial" w:hAnsi="Arial" w:cs="Arial"/>
          <w:b/>
          <w:sz w:val="20"/>
          <w:szCs w:val="20"/>
        </w:rPr>
        <w:t>Figure S2.</w:t>
      </w:r>
      <w:r w:rsidRPr="00B32F37">
        <w:rPr>
          <w:rFonts w:ascii="Arial" w:hAnsi="Arial" w:cs="Arial"/>
          <w:sz w:val="20"/>
          <w:szCs w:val="20"/>
        </w:rPr>
        <w:t xml:space="preserve"> (A) The viability of gastric epithelial cells after incubation with the different concentrations of chitosan for 24 h. Data are expressed as the mean ± SD (n=3).</w:t>
      </w:r>
    </w:p>
    <w:p w14:paraId="452291EA" w14:textId="0316DFE6" w:rsidR="00B32F37" w:rsidRDefault="00B32F37" w:rsidP="00B32F37">
      <w:pPr>
        <w:spacing w:line="480" w:lineRule="auto"/>
        <w:jc w:val="left"/>
        <w:rPr>
          <w:rFonts w:ascii="Arial" w:hAnsi="Arial" w:cs="Arial"/>
          <w:b/>
          <w:sz w:val="20"/>
          <w:szCs w:val="20"/>
          <w:lang w:val="en-GB"/>
        </w:rPr>
      </w:pPr>
    </w:p>
    <w:p w14:paraId="09C00F8D" w14:textId="77777777" w:rsidR="00B32F37" w:rsidRPr="00B32F37" w:rsidRDefault="00B32F37" w:rsidP="00B32F37">
      <w:pPr>
        <w:spacing w:line="360" w:lineRule="auto"/>
        <w:rPr>
          <w:rFonts w:ascii="Palatino Linotype" w:hAnsi="Palatino Linotype"/>
          <w:color w:val="0070C0"/>
          <w:szCs w:val="22"/>
        </w:rPr>
      </w:pPr>
      <w:r w:rsidRPr="00B32F37">
        <w:rPr>
          <w:rFonts w:ascii="Palatino Linotype" w:hAnsi="Palatino Linotype"/>
          <w:noProof/>
          <w:color w:val="0070C0"/>
          <w:szCs w:val="22"/>
        </w:rPr>
        <w:drawing>
          <wp:inline distT="0" distB="0" distL="0" distR="0" wp14:anchorId="1F5854BF" wp14:editId="1AB7DDAF">
            <wp:extent cx="5425440" cy="142615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265" cy="145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144C7" w14:textId="77777777" w:rsidR="00B32F37" w:rsidRPr="00B32F37" w:rsidRDefault="00B32F37" w:rsidP="00B32F37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B32F37">
        <w:rPr>
          <w:rFonts w:ascii="Arial" w:hAnsi="Arial" w:cs="Arial"/>
          <w:b/>
          <w:sz w:val="20"/>
          <w:szCs w:val="20"/>
        </w:rPr>
        <w:t>Figure S3.</w:t>
      </w:r>
      <w:r w:rsidRPr="00B32F37">
        <w:rPr>
          <w:rFonts w:ascii="Arial" w:hAnsi="Arial" w:cs="Arial"/>
          <w:sz w:val="20"/>
          <w:szCs w:val="20"/>
        </w:rPr>
        <w:t xml:space="preserve"> The semi-quantitation of fluorescent intensity in the (A) fundus, (B) corpus, </w:t>
      </w:r>
      <w:r w:rsidRPr="00B32F37">
        <w:rPr>
          <w:rFonts w:ascii="Arial" w:hAnsi="Arial" w:cs="Arial" w:hint="eastAsia"/>
          <w:sz w:val="20"/>
          <w:szCs w:val="20"/>
        </w:rPr>
        <w:t>and</w:t>
      </w:r>
      <w:r w:rsidRPr="00B32F37">
        <w:rPr>
          <w:rFonts w:ascii="Arial" w:hAnsi="Arial" w:cs="Arial"/>
          <w:sz w:val="20"/>
          <w:szCs w:val="20"/>
        </w:rPr>
        <w:t xml:space="preserve"> (C) antru</w:t>
      </w:r>
      <w:r w:rsidRPr="00B32F37">
        <w:rPr>
          <w:rFonts w:ascii="Arial" w:hAnsi="Arial" w:cs="Arial" w:hint="eastAsia"/>
          <w:sz w:val="20"/>
          <w:szCs w:val="20"/>
        </w:rPr>
        <w:t>m</w:t>
      </w:r>
      <w:r w:rsidRPr="00B32F37">
        <w:rPr>
          <w:rFonts w:ascii="Arial" w:hAnsi="Arial" w:cs="Arial"/>
          <w:sz w:val="20"/>
          <w:szCs w:val="20"/>
        </w:rPr>
        <w:t xml:space="preserve"> </w:t>
      </w:r>
      <w:r w:rsidRPr="00B32F37">
        <w:rPr>
          <w:rFonts w:ascii="Arial" w:hAnsi="Arial" w:cs="Arial" w:hint="eastAsia"/>
          <w:sz w:val="20"/>
          <w:szCs w:val="20"/>
        </w:rPr>
        <w:t>of</w:t>
      </w:r>
      <w:r w:rsidRPr="00B32F37">
        <w:rPr>
          <w:rFonts w:ascii="Arial" w:hAnsi="Arial" w:cs="Arial"/>
          <w:sz w:val="20"/>
          <w:szCs w:val="20"/>
        </w:rPr>
        <w:t xml:space="preserve"> </w:t>
      </w:r>
      <w:r w:rsidRPr="00B32F37">
        <w:rPr>
          <w:rFonts w:ascii="Arial" w:hAnsi="Arial" w:cs="Arial" w:hint="eastAsia"/>
          <w:sz w:val="20"/>
          <w:szCs w:val="20"/>
        </w:rPr>
        <w:t>gastric</w:t>
      </w:r>
      <w:r w:rsidRPr="00B32F37">
        <w:rPr>
          <w:rFonts w:ascii="Arial" w:hAnsi="Arial" w:cs="Arial"/>
          <w:sz w:val="20"/>
          <w:szCs w:val="20"/>
        </w:rPr>
        <w:t xml:space="preserve"> </w:t>
      </w:r>
      <w:r w:rsidRPr="00B32F37">
        <w:rPr>
          <w:rFonts w:ascii="Arial" w:hAnsi="Arial" w:cs="Arial" w:hint="eastAsia"/>
          <w:sz w:val="20"/>
          <w:szCs w:val="20"/>
        </w:rPr>
        <w:t>tissue</w:t>
      </w:r>
      <w:r w:rsidRPr="00B32F37">
        <w:rPr>
          <w:rFonts w:ascii="Arial" w:hAnsi="Arial" w:cs="Arial"/>
          <w:sz w:val="20"/>
          <w:szCs w:val="20"/>
        </w:rPr>
        <w:t xml:space="preserve"> after fluorescein isothiocyanate (FITC)–labeled CS-BR or free </w:t>
      </w:r>
      <w:r w:rsidRPr="00B32F37">
        <w:rPr>
          <w:rFonts w:ascii="Arial" w:hAnsi="Arial" w:cs="Arial"/>
          <w:sz w:val="20"/>
          <w:szCs w:val="20"/>
        </w:rPr>
        <w:lastRenderedPageBreak/>
        <w:t>FITC (as the control) at predetermined times. Data are expressed as the mean ± SD (n=3).</w:t>
      </w:r>
    </w:p>
    <w:p w14:paraId="1F9835FA" w14:textId="3DAA3946" w:rsidR="00B32F37" w:rsidRDefault="00B32F37" w:rsidP="00B32F37">
      <w:pPr>
        <w:spacing w:line="480" w:lineRule="auto"/>
        <w:jc w:val="left"/>
        <w:rPr>
          <w:rFonts w:ascii="Arial" w:hAnsi="Arial" w:cs="Arial"/>
          <w:b/>
          <w:sz w:val="20"/>
          <w:szCs w:val="20"/>
          <w:lang w:val="en-GB"/>
        </w:rPr>
      </w:pPr>
    </w:p>
    <w:p w14:paraId="79753ACA" w14:textId="77777777" w:rsidR="00B32F37" w:rsidRPr="00B32F37" w:rsidRDefault="00B32F37" w:rsidP="00B32F37">
      <w:pPr>
        <w:spacing w:line="360" w:lineRule="auto"/>
        <w:rPr>
          <w:rFonts w:ascii="Palatino Linotype" w:hAnsi="Palatino Linotype"/>
          <w:color w:val="0070C0"/>
          <w:szCs w:val="22"/>
        </w:rPr>
      </w:pPr>
      <w:r w:rsidRPr="00B32F37">
        <w:rPr>
          <w:rFonts w:ascii="Palatino Linotype" w:hAnsi="Palatino Linotype"/>
          <w:noProof/>
          <w:color w:val="0070C0"/>
          <w:szCs w:val="22"/>
        </w:rPr>
        <w:drawing>
          <wp:inline distT="0" distB="0" distL="0" distR="0" wp14:anchorId="1585A0C7" wp14:editId="42759E0D">
            <wp:extent cx="5443220" cy="13449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87" cy="1372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D5B55" w14:textId="77777777" w:rsidR="00B32F37" w:rsidRPr="00B32F37" w:rsidRDefault="00B32F37" w:rsidP="00B32F37">
      <w:pPr>
        <w:spacing w:line="480" w:lineRule="auto"/>
        <w:jc w:val="left"/>
        <w:rPr>
          <w:rFonts w:ascii="Arial" w:hAnsi="Arial" w:cs="Arial"/>
          <w:sz w:val="20"/>
          <w:szCs w:val="20"/>
          <w:lang w:val="en-GB"/>
        </w:rPr>
      </w:pPr>
      <w:r w:rsidRPr="00B32F37">
        <w:rPr>
          <w:rFonts w:ascii="Arial" w:hAnsi="Arial" w:cs="Arial"/>
          <w:b/>
          <w:sz w:val="20"/>
          <w:szCs w:val="20"/>
          <w:lang w:val="en-GB"/>
        </w:rPr>
        <w:t>Figure S4.</w:t>
      </w:r>
      <w:r w:rsidRPr="00B32F37">
        <w:rPr>
          <w:rFonts w:ascii="Arial" w:hAnsi="Arial" w:cs="Arial"/>
          <w:sz w:val="20"/>
          <w:szCs w:val="20"/>
          <w:lang w:val="en-GB"/>
        </w:rPr>
        <w:t xml:space="preserve"> The concentration of bilirubin (BR) in the (A) fundus, (B) corpus, and (C) antrum of gastric tissue</w:t>
      </w:r>
      <w:r w:rsidRPr="00B32F37">
        <w:rPr>
          <w:rFonts w:ascii="Arial" w:hAnsi="Arial" w:cs="Arial"/>
          <w:szCs w:val="22"/>
        </w:rPr>
        <w:t xml:space="preserve"> </w:t>
      </w:r>
      <w:r w:rsidRPr="00B32F37">
        <w:rPr>
          <w:rFonts w:ascii="Arial" w:hAnsi="Arial" w:cs="Arial"/>
          <w:sz w:val="20"/>
          <w:szCs w:val="20"/>
          <w:lang w:val="en-GB"/>
        </w:rPr>
        <w:t>after oral administration with BR or CS-BR at different time points. Data are expressed as the mean ± SD (n=3).</w:t>
      </w:r>
    </w:p>
    <w:p w14:paraId="4663F51E" w14:textId="77777777" w:rsidR="00B32F37" w:rsidRPr="00B32F37" w:rsidRDefault="00B32F37" w:rsidP="00B32F37">
      <w:pPr>
        <w:spacing w:line="480" w:lineRule="auto"/>
        <w:jc w:val="left"/>
        <w:rPr>
          <w:rFonts w:ascii="Arial" w:hAnsi="Arial" w:cs="Arial" w:hint="eastAsia"/>
          <w:b/>
          <w:sz w:val="20"/>
          <w:szCs w:val="20"/>
          <w:lang w:val="en-GB"/>
        </w:rPr>
      </w:pPr>
    </w:p>
    <w:sectPr w:rsidR="00B32F37" w:rsidRPr="00B32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33322" w14:textId="77777777" w:rsidR="006F5F6F" w:rsidRDefault="006F5F6F" w:rsidP="00B32F37">
      <w:r>
        <w:separator/>
      </w:r>
    </w:p>
  </w:endnote>
  <w:endnote w:type="continuationSeparator" w:id="0">
    <w:p w14:paraId="0E57EDD9" w14:textId="77777777" w:rsidR="006F5F6F" w:rsidRDefault="006F5F6F" w:rsidP="00B3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569ED" w14:textId="77777777" w:rsidR="006F5F6F" w:rsidRDefault="006F5F6F" w:rsidP="00B32F37">
      <w:r>
        <w:separator/>
      </w:r>
    </w:p>
  </w:footnote>
  <w:footnote w:type="continuationSeparator" w:id="0">
    <w:p w14:paraId="202CBE85" w14:textId="77777777" w:rsidR="006F5F6F" w:rsidRDefault="006F5F6F" w:rsidP="00B32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F4"/>
    <w:rsid w:val="001929C0"/>
    <w:rsid w:val="006F5F6F"/>
    <w:rsid w:val="00B32F37"/>
    <w:rsid w:val="00D8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4F54A"/>
  <w15:chartTrackingRefBased/>
  <w15:docId w15:val="{A60F565C-7D3F-4E81-9993-2A107964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2F37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F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F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xzpharm@163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志伟</dc:creator>
  <cp:keywords/>
  <dc:description/>
  <cp:lastModifiedBy>黄 志伟</cp:lastModifiedBy>
  <cp:revision>2</cp:revision>
  <dcterms:created xsi:type="dcterms:W3CDTF">2021-11-27T07:01:00Z</dcterms:created>
  <dcterms:modified xsi:type="dcterms:W3CDTF">2021-11-27T07:08:00Z</dcterms:modified>
</cp:coreProperties>
</file>