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325F" w14:textId="77777777" w:rsidR="005C0357" w:rsidRPr="00A22939" w:rsidRDefault="005C0357" w:rsidP="005C0357">
      <w:pPr>
        <w:widowControl w:val="0"/>
        <w:rPr>
          <w:rFonts w:cs="Arial"/>
          <w:b/>
          <w:bCs/>
          <w:color w:val="000000"/>
          <w:lang w:eastAsia="ko-KR"/>
        </w:rPr>
      </w:pPr>
      <w:r w:rsidRPr="00A22939">
        <w:rPr>
          <w:rFonts w:cs="Arial" w:hint="eastAsia"/>
          <w:b/>
          <w:bCs/>
          <w:color w:val="000000"/>
          <w:lang w:eastAsia="ko-KR"/>
        </w:rPr>
        <w:t>Supple</w:t>
      </w:r>
      <w:r w:rsidRPr="00A22939">
        <w:rPr>
          <w:rFonts w:cs="Arial"/>
          <w:b/>
          <w:bCs/>
          <w:color w:val="000000"/>
          <w:lang w:eastAsia="ko-KR"/>
        </w:rPr>
        <w:t>ments</w:t>
      </w:r>
    </w:p>
    <w:p w14:paraId="39CA7091" w14:textId="77777777" w:rsidR="005C0357" w:rsidRPr="00A22939" w:rsidRDefault="005C0357" w:rsidP="005C0357">
      <w:pPr>
        <w:jc w:val="both"/>
        <w:rPr>
          <w:rFonts w:cs="Arial"/>
          <w:color w:val="000000"/>
          <w:szCs w:val="20"/>
        </w:rPr>
      </w:pPr>
      <w:r w:rsidRPr="00A22939">
        <w:rPr>
          <w:rFonts w:cs="Arial"/>
          <w:b/>
          <w:bCs/>
          <w:color w:val="000000"/>
        </w:rPr>
        <w:t xml:space="preserve">Supplement 1 </w:t>
      </w:r>
      <w:r w:rsidRPr="00A22939">
        <w:rPr>
          <w:rFonts w:cs="Arial"/>
          <w:color w:val="000000"/>
          <w:szCs w:val="20"/>
        </w:rPr>
        <w:t>The cerebrospinal fluid samples were classified into four grades according to the degree of blood contamination.</w:t>
      </w:r>
    </w:p>
    <w:p w14:paraId="264D4B43" w14:textId="77777777" w:rsidR="00723435" w:rsidRPr="00A22939" w:rsidRDefault="00483C0F" w:rsidP="005C0357">
      <w:pPr>
        <w:jc w:val="both"/>
        <w:rPr>
          <w:rFonts w:cs="Arial"/>
          <w:color w:val="000000"/>
          <w:szCs w:val="20"/>
        </w:rPr>
      </w:pPr>
      <w:r w:rsidRPr="00A22939">
        <w:rPr>
          <w:rFonts w:cs="Arial"/>
          <w:color w:val="000000"/>
          <w:szCs w:val="20"/>
          <w:lang w:eastAsia="ko-KR"/>
        </w:rPr>
        <w:pict w14:anchorId="7029A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6in;height:474.75pt;visibility:visible">
            <v:imagedata r:id="rId6" o:title=""/>
          </v:shape>
        </w:pict>
      </w:r>
    </w:p>
    <w:p w14:paraId="7E4D01FB" w14:textId="77777777" w:rsidR="005C0357" w:rsidRPr="00A22939" w:rsidRDefault="005C0357" w:rsidP="005C0357">
      <w:pPr>
        <w:jc w:val="both"/>
        <w:rPr>
          <w:rFonts w:cs="Arial"/>
          <w:color w:val="000000"/>
          <w:szCs w:val="20"/>
        </w:rPr>
      </w:pPr>
      <w:r w:rsidRPr="00A22939">
        <w:rPr>
          <w:rFonts w:cs="Arial"/>
          <w:color w:val="000000"/>
          <w:szCs w:val="20"/>
        </w:rPr>
        <w:t>CSF, cerebrospinal fluid</w:t>
      </w:r>
    </w:p>
    <w:p w14:paraId="6B5206AC" w14:textId="77777777" w:rsidR="005C0357" w:rsidRPr="00A22939" w:rsidRDefault="005C0357" w:rsidP="005C0357">
      <w:pPr>
        <w:widowControl w:val="0"/>
        <w:rPr>
          <w:rFonts w:cs="Arial"/>
          <w:b/>
          <w:bCs/>
          <w:color w:val="000000"/>
        </w:rPr>
      </w:pPr>
    </w:p>
    <w:p w14:paraId="44D6E481" w14:textId="77777777" w:rsidR="00723435" w:rsidRPr="00A22939" w:rsidRDefault="00723435">
      <w:pPr>
        <w:spacing w:after="160" w:line="259" w:lineRule="auto"/>
        <w:jc w:val="both"/>
        <w:rPr>
          <w:rFonts w:cs="Arial"/>
          <w:b/>
          <w:bCs/>
          <w:color w:val="000000"/>
        </w:rPr>
      </w:pPr>
      <w:r w:rsidRPr="00A22939">
        <w:rPr>
          <w:rFonts w:cs="Arial"/>
          <w:b/>
          <w:bCs/>
          <w:color w:val="000000"/>
        </w:rPr>
        <w:br w:type="page"/>
      </w:r>
    </w:p>
    <w:p w14:paraId="0308F19F" w14:textId="77777777" w:rsidR="005C0357" w:rsidRPr="00A22939" w:rsidRDefault="005C0357" w:rsidP="005C0357">
      <w:pPr>
        <w:widowControl w:val="0"/>
        <w:rPr>
          <w:rFonts w:cs="Arial"/>
          <w:color w:val="000000"/>
        </w:rPr>
      </w:pPr>
      <w:r w:rsidRPr="00A22939">
        <w:rPr>
          <w:rFonts w:cs="Arial"/>
          <w:b/>
          <w:bCs/>
          <w:color w:val="000000"/>
        </w:rPr>
        <w:t>Supplement 2</w:t>
      </w:r>
      <w:r w:rsidRPr="00A22939">
        <w:rPr>
          <w:rFonts w:cs="Arial"/>
          <w:color w:val="000000"/>
        </w:rPr>
        <w:t xml:space="preserve"> Association between the degree of blood contamination and brain-derived neurotrophic factor level in group C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318"/>
        <w:gridCol w:w="1318"/>
        <w:gridCol w:w="1318"/>
        <w:gridCol w:w="1319"/>
        <w:gridCol w:w="941"/>
      </w:tblGrid>
      <w:tr w:rsidR="005C0357" w:rsidRPr="00A22939" w14:paraId="67783BD7" w14:textId="77777777" w:rsidTr="00907909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2A228D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27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7C4122" w14:textId="77777777" w:rsidR="005C0357" w:rsidRPr="00A22939" w:rsidRDefault="005C0357" w:rsidP="00907909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A22939">
              <w:rPr>
                <w:rFonts w:cs="Arial"/>
                <w:b/>
                <w:color w:val="000000"/>
                <w:szCs w:val="20"/>
              </w:rPr>
              <w:t>Degree of blood contamination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DB91E1" w14:textId="77777777" w:rsidR="005C0357" w:rsidRPr="00A22939" w:rsidRDefault="005C0357" w:rsidP="00907909">
            <w:pPr>
              <w:jc w:val="center"/>
              <w:rPr>
                <w:rFonts w:cs="Arial"/>
                <w:b/>
                <w:i/>
                <w:color w:val="000000"/>
                <w:szCs w:val="20"/>
              </w:rPr>
            </w:pPr>
            <w:r w:rsidRPr="00A22939">
              <w:rPr>
                <w:rFonts w:cs="Arial"/>
                <w:b/>
                <w:i/>
                <w:color w:val="000000"/>
                <w:szCs w:val="20"/>
              </w:rPr>
              <w:t>P</w:t>
            </w:r>
            <w:r w:rsidRPr="00A22939">
              <w:rPr>
                <w:rFonts w:cs="Arial"/>
                <w:b/>
                <w:iCs/>
                <w:color w:val="000000"/>
                <w:szCs w:val="20"/>
              </w:rPr>
              <w:t>-value</w:t>
            </w:r>
          </w:p>
        </w:tc>
      </w:tr>
      <w:tr w:rsidR="005C0357" w:rsidRPr="00A22939" w14:paraId="582DB266" w14:textId="77777777" w:rsidTr="00907909">
        <w:tc>
          <w:tcPr>
            <w:tcW w:w="280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A9C9A29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D2DA08" w14:textId="77777777" w:rsidR="005C0357" w:rsidRPr="00A22939" w:rsidRDefault="005C0357" w:rsidP="00907909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A22939">
              <w:rPr>
                <w:rFonts w:cs="Arial"/>
                <w:b/>
                <w:color w:val="000000"/>
                <w:szCs w:val="20"/>
              </w:rPr>
              <w:t>Grade 0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033528" w14:textId="77777777" w:rsidR="005C0357" w:rsidRPr="00A22939" w:rsidRDefault="005C0357" w:rsidP="00907909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A22939">
              <w:rPr>
                <w:rFonts w:cs="Arial"/>
                <w:b/>
                <w:color w:val="000000"/>
                <w:szCs w:val="20"/>
              </w:rPr>
              <w:t>Grade 1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1B079D" w14:textId="77777777" w:rsidR="005C0357" w:rsidRPr="00A22939" w:rsidRDefault="005C0357" w:rsidP="00907909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A22939">
              <w:rPr>
                <w:rFonts w:cs="Arial"/>
                <w:b/>
                <w:color w:val="000000"/>
                <w:szCs w:val="20"/>
              </w:rPr>
              <w:t>Grade 2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FFE1D5" w14:textId="77777777" w:rsidR="005C0357" w:rsidRPr="00A22939" w:rsidRDefault="005C0357" w:rsidP="00907909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A22939">
              <w:rPr>
                <w:rFonts w:cs="Arial"/>
                <w:b/>
                <w:color w:val="000000"/>
                <w:szCs w:val="20"/>
              </w:rPr>
              <w:t>Grade 3</w:t>
            </w:r>
          </w:p>
        </w:tc>
        <w:tc>
          <w:tcPr>
            <w:tcW w:w="941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C879360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C0357" w:rsidRPr="00A22939" w14:paraId="545550B7" w14:textId="77777777" w:rsidTr="00907909">
        <w:tc>
          <w:tcPr>
            <w:tcW w:w="28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C21DBCD" w14:textId="77777777" w:rsidR="005C0357" w:rsidRPr="00A22939" w:rsidRDefault="005C0357" w:rsidP="00907909">
            <w:pPr>
              <w:rPr>
                <w:rFonts w:cs="Arial"/>
                <w:b/>
                <w:color w:val="000000"/>
                <w:szCs w:val="20"/>
              </w:rPr>
            </w:pPr>
            <w:r w:rsidRPr="00A22939">
              <w:rPr>
                <w:rFonts w:cs="Arial"/>
                <w:b/>
                <w:color w:val="000000"/>
                <w:szCs w:val="20"/>
              </w:rPr>
              <w:t xml:space="preserve">Samples, </w:t>
            </w:r>
            <w:r w:rsidRPr="00A22939">
              <w:rPr>
                <w:rFonts w:cs="Arial"/>
                <w:bCs/>
                <w:color w:val="000000"/>
                <w:szCs w:val="20"/>
              </w:rPr>
              <w:t>n (%)</w:t>
            </w:r>
          </w:p>
        </w:tc>
        <w:tc>
          <w:tcPr>
            <w:tcW w:w="13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9FA4520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73 (47.7)</w:t>
            </w:r>
          </w:p>
        </w:tc>
        <w:tc>
          <w:tcPr>
            <w:tcW w:w="13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3ACDFE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39 (25.5)</w:t>
            </w:r>
          </w:p>
        </w:tc>
        <w:tc>
          <w:tcPr>
            <w:tcW w:w="13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7FD5C4C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26 (17.0)</w:t>
            </w:r>
          </w:p>
        </w:tc>
        <w:tc>
          <w:tcPr>
            <w:tcW w:w="13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DCA8CFA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15 (9.8)</w:t>
            </w:r>
          </w:p>
        </w:tc>
        <w:tc>
          <w:tcPr>
            <w:tcW w:w="94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E8F2397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-</w:t>
            </w:r>
          </w:p>
        </w:tc>
      </w:tr>
      <w:tr w:rsidR="005C0357" w:rsidRPr="00A22939" w14:paraId="48B19554" w14:textId="77777777" w:rsidTr="00907909">
        <w:tc>
          <w:tcPr>
            <w:tcW w:w="2802" w:type="dxa"/>
            <w:shd w:val="clear" w:color="auto" w:fill="auto"/>
            <w:vAlign w:val="center"/>
          </w:tcPr>
          <w:p w14:paraId="680655DE" w14:textId="77777777" w:rsidR="005C0357" w:rsidRPr="00A22939" w:rsidRDefault="005C0357" w:rsidP="00907909">
            <w:pPr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b/>
                <w:color w:val="000000"/>
                <w:szCs w:val="20"/>
              </w:rPr>
              <w:t xml:space="preserve">Sampling day, </w:t>
            </w:r>
            <w:r w:rsidRPr="00A22939">
              <w:rPr>
                <w:rFonts w:cs="Arial"/>
                <w:bCs/>
                <w:color w:val="000000"/>
                <w:szCs w:val="20"/>
              </w:rPr>
              <w:t>n (%)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6191A3C" w14:textId="77777777" w:rsidR="005C0357" w:rsidRPr="00A22939" w:rsidRDefault="005C0357" w:rsidP="00907909">
            <w:pPr>
              <w:rPr>
                <w:rFonts w:cs="Arial"/>
                <w:color w:val="000000"/>
                <w:w w:val="9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1C1061EA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3B8919FC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15B6B96F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1DF4857C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0.708</w:t>
            </w:r>
          </w:p>
        </w:tc>
      </w:tr>
      <w:tr w:rsidR="005C0357" w:rsidRPr="00A22939" w14:paraId="6C7A0B71" w14:textId="77777777" w:rsidTr="00907909">
        <w:tc>
          <w:tcPr>
            <w:tcW w:w="2802" w:type="dxa"/>
            <w:shd w:val="clear" w:color="auto" w:fill="auto"/>
            <w:vAlign w:val="center"/>
          </w:tcPr>
          <w:p w14:paraId="5FBA8298" w14:textId="77777777" w:rsidR="005C0357" w:rsidRPr="00A22939" w:rsidRDefault="005C0357" w:rsidP="00907909">
            <w:pPr>
              <w:ind w:firstLineChars="100" w:firstLine="200"/>
              <w:rPr>
                <w:rFonts w:cs="Arial"/>
                <w:b/>
                <w:color w:val="000000"/>
                <w:szCs w:val="20"/>
              </w:rPr>
            </w:pPr>
            <w:r w:rsidRPr="00A22939">
              <w:rPr>
                <w:rFonts w:cs="Arial"/>
                <w:b/>
                <w:color w:val="000000"/>
                <w:szCs w:val="20"/>
              </w:rPr>
              <w:t>POD 1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130DB36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22 (30.1)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A565FDD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16 (41.0)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EA8726E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9 (34.6)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F3ADB4D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3 (20.0)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FFBDDD5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</w:p>
        </w:tc>
      </w:tr>
      <w:tr w:rsidR="005C0357" w:rsidRPr="00A22939" w14:paraId="6D78E4C0" w14:textId="77777777" w:rsidTr="00907909">
        <w:tc>
          <w:tcPr>
            <w:tcW w:w="2802" w:type="dxa"/>
            <w:shd w:val="clear" w:color="auto" w:fill="auto"/>
            <w:vAlign w:val="center"/>
          </w:tcPr>
          <w:p w14:paraId="2115F0CE" w14:textId="77777777" w:rsidR="005C0357" w:rsidRPr="00A22939" w:rsidRDefault="005C0357" w:rsidP="00907909">
            <w:pPr>
              <w:ind w:firstLineChars="100" w:firstLine="200"/>
              <w:rPr>
                <w:rFonts w:cs="Arial"/>
                <w:b/>
                <w:color w:val="000000"/>
                <w:szCs w:val="20"/>
              </w:rPr>
            </w:pPr>
            <w:r w:rsidRPr="00A22939">
              <w:rPr>
                <w:rFonts w:cs="Arial"/>
                <w:b/>
                <w:color w:val="000000"/>
                <w:szCs w:val="20"/>
              </w:rPr>
              <w:t>POD 7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1C3C0F6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27 (37.0)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DCE8B10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13 (33.3)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7B9BBA7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7 (26.9)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B60E383" w14:textId="77777777" w:rsidR="005C0357" w:rsidRPr="00A22939" w:rsidRDefault="005C0357" w:rsidP="00907909">
            <w:pPr>
              <w:jc w:val="center"/>
              <w:rPr>
                <w:rFonts w:cs="Arial"/>
                <w:b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7 (46.7)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F04FD5F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</w:p>
        </w:tc>
      </w:tr>
      <w:tr w:rsidR="005C0357" w:rsidRPr="00A22939" w14:paraId="7AF1BD23" w14:textId="77777777" w:rsidTr="00907909">
        <w:tc>
          <w:tcPr>
            <w:tcW w:w="2802" w:type="dxa"/>
            <w:shd w:val="clear" w:color="auto" w:fill="auto"/>
            <w:vAlign w:val="center"/>
          </w:tcPr>
          <w:p w14:paraId="51EC7F47" w14:textId="77777777" w:rsidR="005C0357" w:rsidRPr="00A22939" w:rsidRDefault="005C0357" w:rsidP="00907909">
            <w:pPr>
              <w:ind w:firstLineChars="100" w:firstLine="200"/>
              <w:rPr>
                <w:rFonts w:cs="Arial"/>
                <w:b/>
                <w:color w:val="000000"/>
                <w:szCs w:val="20"/>
              </w:rPr>
            </w:pPr>
            <w:r w:rsidRPr="00A22939">
              <w:rPr>
                <w:rFonts w:cs="Arial"/>
                <w:b/>
                <w:color w:val="000000"/>
                <w:szCs w:val="20"/>
              </w:rPr>
              <w:t>POD 14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8DBA56D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24 (32.9)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D663040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10 (25.6)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455BF38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10 (38.5)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895BB7C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5 (33.3)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3464C81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</w:p>
        </w:tc>
      </w:tr>
      <w:tr w:rsidR="005C0357" w:rsidRPr="00A22939" w14:paraId="71A459FE" w14:textId="77777777" w:rsidTr="00907909">
        <w:tc>
          <w:tcPr>
            <w:tcW w:w="2802" w:type="dxa"/>
            <w:shd w:val="clear" w:color="auto" w:fill="auto"/>
            <w:vAlign w:val="center"/>
          </w:tcPr>
          <w:p w14:paraId="26F1E479" w14:textId="77777777" w:rsidR="005C0357" w:rsidRPr="00A22939" w:rsidRDefault="005C0357" w:rsidP="00907909">
            <w:pPr>
              <w:rPr>
                <w:rFonts w:cs="Arial"/>
                <w:b/>
                <w:color w:val="000000"/>
                <w:szCs w:val="20"/>
              </w:rPr>
            </w:pPr>
            <w:r w:rsidRPr="00A22939">
              <w:rPr>
                <w:rFonts w:cs="Arial"/>
                <w:b/>
                <w:color w:val="000000"/>
                <w:szCs w:val="20"/>
              </w:rPr>
              <w:t xml:space="preserve">Weight (g), </w:t>
            </w:r>
            <w:r w:rsidRPr="00A22939">
              <w:rPr>
                <w:rFonts w:cs="Arial"/>
                <w:color w:val="000000"/>
                <w:szCs w:val="20"/>
              </w:rPr>
              <w:t>mean (SEM)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8D6BA12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255.7 (4.0)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0ACFC49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242.8 (5.8)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7575BC2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247.0 (8.0)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D67CFC9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242.9 (8.8)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29B0F3C" w14:textId="77777777" w:rsidR="005C0357" w:rsidRPr="00A22939" w:rsidRDefault="005C0357" w:rsidP="00907909">
            <w:pPr>
              <w:jc w:val="center"/>
              <w:rPr>
                <w:rFonts w:cs="Arial"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color w:val="000000"/>
                <w:w w:val="90"/>
                <w:szCs w:val="20"/>
              </w:rPr>
              <w:t>0.247</w:t>
            </w:r>
          </w:p>
        </w:tc>
      </w:tr>
      <w:tr w:rsidR="005C0357" w:rsidRPr="00A22939" w14:paraId="2FE655EC" w14:textId="77777777" w:rsidTr="00907909">
        <w:trPr>
          <w:trHeight w:val="70"/>
        </w:trPr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1D6660" w14:textId="77777777" w:rsidR="005C0357" w:rsidRPr="00A22939" w:rsidRDefault="005C0357" w:rsidP="00907909">
            <w:pPr>
              <w:rPr>
                <w:rFonts w:cs="Arial"/>
                <w:b/>
                <w:color w:val="000000"/>
                <w:szCs w:val="20"/>
              </w:rPr>
            </w:pPr>
            <w:r w:rsidRPr="00A22939">
              <w:rPr>
                <w:rFonts w:cs="Arial"/>
                <w:b/>
                <w:color w:val="000000"/>
                <w:szCs w:val="20"/>
              </w:rPr>
              <w:t xml:space="preserve">BDNF (pg/mL), </w:t>
            </w:r>
            <w:r w:rsidRPr="00A22939">
              <w:rPr>
                <w:rFonts w:cs="Arial"/>
                <w:color w:val="000000"/>
                <w:szCs w:val="20"/>
              </w:rPr>
              <w:t>mean (SEM)</w:t>
            </w:r>
          </w:p>
        </w:tc>
        <w:tc>
          <w:tcPr>
            <w:tcW w:w="13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ED4985" w14:textId="77777777" w:rsidR="005C0357" w:rsidRPr="00A22939" w:rsidRDefault="005C0357" w:rsidP="00907909">
            <w:pPr>
              <w:jc w:val="center"/>
              <w:rPr>
                <w:rFonts w:cs="Arial"/>
                <w:b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b/>
                <w:color w:val="000000"/>
                <w:w w:val="90"/>
                <w:szCs w:val="20"/>
              </w:rPr>
              <w:t>8.6 (0.7)</w:t>
            </w:r>
          </w:p>
        </w:tc>
        <w:tc>
          <w:tcPr>
            <w:tcW w:w="13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2A2239" w14:textId="77777777" w:rsidR="005C0357" w:rsidRPr="00A22939" w:rsidRDefault="005C0357" w:rsidP="00907909">
            <w:pPr>
              <w:jc w:val="center"/>
              <w:rPr>
                <w:rFonts w:cs="Arial"/>
                <w:b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b/>
                <w:color w:val="000000"/>
                <w:w w:val="90"/>
                <w:szCs w:val="20"/>
              </w:rPr>
              <w:t>10.5 (1.0)</w:t>
            </w:r>
          </w:p>
        </w:tc>
        <w:tc>
          <w:tcPr>
            <w:tcW w:w="13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6FB34F" w14:textId="77777777" w:rsidR="005C0357" w:rsidRPr="00A22939" w:rsidRDefault="005C0357" w:rsidP="00907909">
            <w:pPr>
              <w:jc w:val="center"/>
              <w:rPr>
                <w:rFonts w:cs="Arial"/>
                <w:b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b/>
                <w:color w:val="000000"/>
                <w:w w:val="90"/>
                <w:szCs w:val="20"/>
              </w:rPr>
              <w:t>13.1 (1.3)*</w:t>
            </w:r>
          </w:p>
        </w:tc>
        <w:tc>
          <w:tcPr>
            <w:tcW w:w="13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3EA5EE" w14:textId="77777777" w:rsidR="005C0357" w:rsidRPr="00A22939" w:rsidRDefault="005C0357" w:rsidP="00907909">
            <w:pPr>
              <w:jc w:val="center"/>
              <w:rPr>
                <w:rFonts w:cs="Arial"/>
                <w:b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b/>
                <w:color w:val="000000"/>
                <w:w w:val="90"/>
                <w:szCs w:val="20"/>
              </w:rPr>
              <w:t>20.1 (3.0)*</w:t>
            </w:r>
          </w:p>
        </w:tc>
        <w:tc>
          <w:tcPr>
            <w:tcW w:w="9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707933" w14:textId="77777777" w:rsidR="005C0357" w:rsidRPr="00A22939" w:rsidRDefault="005C0357" w:rsidP="00907909">
            <w:pPr>
              <w:jc w:val="center"/>
              <w:rPr>
                <w:rFonts w:cs="Arial"/>
                <w:b/>
                <w:color w:val="000000"/>
                <w:w w:val="90"/>
                <w:szCs w:val="20"/>
              </w:rPr>
            </w:pPr>
            <w:r w:rsidRPr="00A22939">
              <w:rPr>
                <w:rFonts w:cs="Arial"/>
                <w:b/>
                <w:color w:val="000000"/>
                <w:w w:val="90"/>
                <w:szCs w:val="20"/>
              </w:rPr>
              <w:t>&lt;0.001</w:t>
            </w:r>
          </w:p>
        </w:tc>
      </w:tr>
    </w:tbl>
    <w:p w14:paraId="327B01A6" w14:textId="77777777" w:rsidR="005C0357" w:rsidRPr="00A22939" w:rsidRDefault="005C0357" w:rsidP="005C0357">
      <w:pPr>
        <w:tabs>
          <w:tab w:val="left" w:pos="1531"/>
        </w:tabs>
        <w:jc w:val="both"/>
        <w:rPr>
          <w:rFonts w:cs="Arial"/>
          <w:bCs/>
          <w:color w:val="000000"/>
          <w:szCs w:val="20"/>
        </w:rPr>
      </w:pPr>
      <w:r w:rsidRPr="00A22939">
        <w:rPr>
          <w:rFonts w:cs="Arial"/>
          <w:color w:val="000000"/>
          <w:szCs w:val="20"/>
        </w:rPr>
        <w:t xml:space="preserve">The cerebrospinal fluid samples were classified into four grades according to the degree of blood contamination: grade 0, colorless and completely transparent; grade 1, pinkish and partially transparent; grade 2, reddish and partially transparent; grade 3, reddish and opaque. </w:t>
      </w:r>
      <w:r w:rsidRPr="00A22939">
        <w:rPr>
          <w:rFonts w:cs="Arial"/>
          <w:bCs/>
          <w:color w:val="000000"/>
          <w:szCs w:val="20"/>
        </w:rPr>
        <w:t xml:space="preserve">The BDNF levels in grades 2 and 3 CSF samples were higher than those in grade 0 samples. </w:t>
      </w:r>
      <w:bookmarkStart w:id="0" w:name="_Hlk72154504"/>
      <w:r w:rsidRPr="00A22939">
        <w:rPr>
          <w:rFonts w:cs="Arial"/>
          <w:color w:val="000000"/>
          <w:szCs w:val="20"/>
        </w:rPr>
        <w:t>The Conover test was performed for posthoc multiple comparisons.</w:t>
      </w:r>
      <w:r w:rsidRPr="00A22939">
        <w:rPr>
          <w:rFonts w:cs="Arial" w:hint="eastAsia"/>
          <w:bCs/>
          <w:color w:val="000000"/>
          <w:szCs w:val="20"/>
          <w:lang w:eastAsia="ko-KR"/>
        </w:rPr>
        <w:t xml:space="preserve"> </w:t>
      </w:r>
      <w:r w:rsidRPr="00A22939">
        <w:rPr>
          <w:rFonts w:cs="Arial"/>
          <w:bCs/>
          <w:color w:val="000000"/>
          <w:szCs w:val="20"/>
        </w:rPr>
        <w:t>Also, the Jonckheere-Terpstra trend test revealed significantly higher BDNF levels with higher contamination grades (</w:t>
      </w:r>
      <w:r w:rsidRPr="00A22939">
        <w:rPr>
          <w:rFonts w:cs="Arial"/>
          <w:bCs/>
          <w:i/>
          <w:color w:val="000000"/>
          <w:szCs w:val="20"/>
        </w:rPr>
        <w:t>P</w:t>
      </w:r>
      <w:r w:rsidRPr="00A22939">
        <w:rPr>
          <w:rFonts w:cs="Arial"/>
          <w:bCs/>
          <w:color w:val="000000"/>
          <w:szCs w:val="20"/>
        </w:rPr>
        <w:t xml:space="preserve"> &lt; 0.001), and there was a moderate correlation between the BDNF level and the degree of blood contamination (Spearman’s correlation coefficient 0.397, </w:t>
      </w:r>
      <w:r w:rsidRPr="00A22939">
        <w:rPr>
          <w:rFonts w:cs="Arial"/>
          <w:bCs/>
          <w:i/>
          <w:color w:val="000000"/>
          <w:szCs w:val="20"/>
        </w:rPr>
        <w:t xml:space="preserve">P </w:t>
      </w:r>
      <w:r w:rsidRPr="00A22939">
        <w:rPr>
          <w:rFonts w:cs="Arial"/>
          <w:bCs/>
          <w:color w:val="000000"/>
          <w:szCs w:val="20"/>
        </w:rPr>
        <w:t xml:space="preserve">&lt; 0.001). </w:t>
      </w:r>
      <w:bookmarkEnd w:id="0"/>
      <w:r w:rsidRPr="00A22939">
        <w:rPr>
          <w:rFonts w:cs="Arial"/>
          <w:color w:val="000000"/>
          <w:szCs w:val="20"/>
        </w:rPr>
        <w:t>POD, postoperative day; SEM, standard error of the mean; BDNF, brain-derived neurotrophic factor. *</w:t>
      </w:r>
      <w:r w:rsidRPr="00A22939">
        <w:rPr>
          <w:rFonts w:cs="Arial"/>
          <w:i/>
          <w:color w:val="000000"/>
          <w:szCs w:val="20"/>
        </w:rPr>
        <w:t xml:space="preserve">P </w:t>
      </w:r>
      <w:r w:rsidRPr="00A22939">
        <w:rPr>
          <w:rFonts w:cs="Arial"/>
          <w:color w:val="000000"/>
          <w:szCs w:val="20"/>
        </w:rPr>
        <w:t>&lt; 0.05 compared to grade 0.</w:t>
      </w:r>
      <w:r w:rsidRPr="00A22939">
        <w:rPr>
          <w:color w:val="000000"/>
        </w:rPr>
        <w:t xml:space="preserve"> Bold text; statistically significant data.</w:t>
      </w:r>
    </w:p>
    <w:p w14:paraId="33FB0FA7" w14:textId="77777777" w:rsidR="005C0357" w:rsidRPr="00A22939" w:rsidRDefault="005C0357" w:rsidP="005C0357">
      <w:pPr>
        <w:jc w:val="both"/>
        <w:rPr>
          <w:rFonts w:cs="Arial"/>
          <w:color w:val="000000"/>
        </w:rPr>
      </w:pPr>
    </w:p>
    <w:p w14:paraId="4194450C" w14:textId="77777777" w:rsidR="004C06AB" w:rsidRPr="00A22939" w:rsidRDefault="004C06AB">
      <w:pPr>
        <w:rPr>
          <w:color w:val="000000"/>
        </w:rPr>
      </w:pPr>
    </w:p>
    <w:sectPr w:rsidR="004C06AB" w:rsidRPr="00A22939" w:rsidSect="00907909">
      <w:footerReference w:type="even" r:id="rId7"/>
      <w:footerReference w:type="default" r:id="rId8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3B1DF" w14:textId="77777777" w:rsidR="00907909" w:rsidRDefault="00907909">
      <w:pPr>
        <w:spacing w:line="240" w:lineRule="auto"/>
      </w:pPr>
      <w:r>
        <w:separator/>
      </w:r>
    </w:p>
  </w:endnote>
  <w:endnote w:type="continuationSeparator" w:id="0">
    <w:p w14:paraId="418A5A9B" w14:textId="77777777" w:rsidR="00907909" w:rsidRDefault="009079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5CCA" w14:textId="77777777" w:rsidR="00907909" w:rsidRDefault="005C0357" w:rsidP="009079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685D5F" w14:textId="77777777" w:rsidR="00907909" w:rsidRDefault="00907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CC8A" w14:textId="77777777" w:rsidR="00907909" w:rsidRDefault="005C0357" w:rsidP="009079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3C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87BFB2" w14:textId="77777777" w:rsidR="00907909" w:rsidRDefault="00907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9430D" w14:textId="77777777" w:rsidR="00907909" w:rsidRDefault="00907909">
      <w:pPr>
        <w:spacing w:line="240" w:lineRule="auto"/>
      </w:pPr>
      <w:r>
        <w:separator/>
      </w:r>
    </w:p>
  </w:footnote>
  <w:footnote w:type="continuationSeparator" w:id="0">
    <w:p w14:paraId="3A036B9D" w14:textId="77777777" w:rsidR="00907909" w:rsidRDefault="009079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wNTEwAjKMDI1MTJV0lIJTi4sz8/NACoxqAVe8UEAsAAAA"/>
  </w:docVars>
  <w:rsids>
    <w:rsidRoot w:val="005C0357"/>
    <w:rsid w:val="000A2664"/>
    <w:rsid w:val="000C1951"/>
    <w:rsid w:val="00483C0F"/>
    <w:rsid w:val="004C06AB"/>
    <w:rsid w:val="005C0357"/>
    <w:rsid w:val="006E320E"/>
    <w:rsid w:val="00723435"/>
    <w:rsid w:val="0090472C"/>
    <w:rsid w:val="00907909"/>
    <w:rsid w:val="00950C78"/>
    <w:rsid w:val="00A22939"/>
    <w:rsid w:val="00BC4AF0"/>
    <w:rsid w:val="00C4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6248261"/>
  <w15:chartTrackingRefBased/>
  <w15:docId w15:val="{26075F49-B520-443B-A4EB-EAA9AE98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357"/>
    <w:pPr>
      <w:spacing w:line="480" w:lineRule="auto"/>
    </w:pPr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C035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C0357"/>
    <w:rPr>
      <w:rFonts w:ascii="Arial" w:eastAsia="Malgun Gothic" w:hAnsi="Arial" w:cs="Times New Roman"/>
      <w:kern w:val="0"/>
      <w:szCs w:val="24"/>
      <w:lang w:eastAsia="en-US"/>
    </w:rPr>
  </w:style>
  <w:style w:type="character" w:styleId="PageNumber">
    <w:name w:val="page number"/>
    <w:basedOn w:val="DefaultParagraphFont"/>
    <w:rsid w:val="005C0357"/>
  </w:style>
  <w:style w:type="character" w:styleId="CommentReference">
    <w:name w:val="annotation reference"/>
    <w:uiPriority w:val="99"/>
    <w:semiHidden/>
    <w:rsid w:val="005C0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C0357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5C0357"/>
    <w:rPr>
      <w:rFonts w:ascii="Arial" w:eastAsia="Malgun Gothic" w:hAnsi="Arial" w:cs="Times New Roman"/>
      <w:kern w:val="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357"/>
    <w:pPr>
      <w:spacing w:line="240" w:lineRule="auto"/>
    </w:pPr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0357"/>
    <w:rPr>
      <w:rFonts w:ascii="Malgun Gothic" w:eastAsia="Malgun Gothic" w:hAnsi="Malgun Gothic" w:cs="Times New Roman"/>
      <w:kern w:val="0"/>
      <w:sz w:val="18"/>
      <w:szCs w:val="18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5C03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951"/>
    <w:pPr>
      <w:spacing w:line="24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1951"/>
    <w:rPr>
      <w:rFonts w:ascii="Arial" w:eastAsia="Malgun Gothic" w:hAnsi="Arial" w:cs="Times New Roman"/>
      <w:b/>
      <w:bCs/>
      <w:kern w:val="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83C0F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uiPriority w:val="99"/>
    <w:rsid w:val="00483C0F"/>
    <w:rPr>
      <w:rFonts w:ascii="Arial" w:eastAsia="Malgun Gothic" w:hAnsi="Arial" w:cs="Times New Roman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Khanapur, Soumya</cp:lastModifiedBy>
  <cp:revision>2</cp:revision>
  <dcterms:created xsi:type="dcterms:W3CDTF">2022-01-20T00:52:00Z</dcterms:created>
  <dcterms:modified xsi:type="dcterms:W3CDTF">2022-01-20T00:52:00Z</dcterms:modified>
</cp:coreProperties>
</file>