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E6523" w14:textId="59CC5165" w:rsidR="00356285" w:rsidRPr="00647DE1" w:rsidRDefault="00356285" w:rsidP="00B13772">
      <w:pPr>
        <w:jc w:val="center"/>
        <w:rPr>
          <w:lang w:val="nl-BE"/>
        </w:rPr>
      </w:pPr>
    </w:p>
    <w:p w14:paraId="2731BA4E" w14:textId="77777777" w:rsidR="006E4083" w:rsidRPr="0097510F" w:rsidRDefault="006E4083" w:rsidP="00647DE1">
      <w:pPr>
        <w:widowControl/>
        <w:spacing w:after="160" w:line="480" w:lineRule="auto"/>
        <w:rPr>
          <w:rFonts w:ascii="Arial" w:hAnsi="Arial" w:cs="Arial"/>
          <w:b/>
          <w:bCs/>
          <w:kern w:val="0"/>
          <w:sz w:val="20"/>
          <w:szCs w:val="20"/>
          <w:u w:val="single"/>
        </w:rPr>
      </w:pPr>
      <w:r w:rsidRPr="0097510F">
        <w:rPr>
          <w:rFonts w:ascii="Arial" w:hAnsi="Arial" w:cs="Arial"/>
          <w:b/>
          <w:bCs/>
          <w:kern w:val="0"/>
          <w:sz w:val="20"/>
          <w:szCs w:val="20"/>
          <w:u w:val="single"/>
        </w:rPr>
        <w:t>Supplementary materials</w:t>
      </w:r>
    </w:p>
    <w:p w14:paraId="3BFA04EB" w14:textId="2B564214" w:rsidR="006E4083" w:rsidRDefault="00054C7A" w:rsidP="00647DE1">
      <w:pPr>
        <w:widowControl/>
        <w:spacing w:after="160" w:line="480" w:lineRule="auto"/>
        <w:rPr>
          <w:rFonts w:ascii="Arial" w:hAnsi="Arial" w:cs="Arial"/>
          <w:kern w:val="0"/>
          <w:sz w:val="20"/>
          <w:szCs w:val="20"/>
        </w:rPr>
      </w:pPr>
      <w:r w:rsidRPr="00401D9D">
        <w:rPr>
          <w:rFonts w:ascii="Arial" w:hAnsi="Arial" w:cs="Arial"/>
          <w:b/>
          <w:bCs/>
          <w:kern w:val="0"/>
          <w:sz w:val="20"/>
          <w:szCs w:val="20"/>
        </w:rPr>
        <w:t>Fig</w:t>
      </w:r>
      <w:r w:rsidR="00C20407" w:rsidRPr="00401D9D">
        <w:rPr>
          <w:rFonts w:ascii="Arial" w:hAnsi="Arial" w:cs="Arial"/>
          <w:b/>
          <w:bCs/>
          <w:kern w:val="0"/>
          <w:sz w:val="20"/>
          <w:szCs w:val="20"/>
        </w:rPr>
        <w:t>ure</w:t>
      </w:r>
      <w:r w:rsidRPr="00401D9D">
        <w:rPr>
          <w:rFonts w:ascii="Arial" w:hAnsi="Arial" w:cs="Arial"/>
          <w:b/>
          <w:bCs/>
          <w:kern w:val="0"/>
          <w:sz w:val="20"/>
          <w:szCs w:val="20"/>
        </w:rPr>
        <w:t xml:space="preserve"> </w:t>
      </w:r>
      <w:r w:rsidR="009B146C" w:rsidRPr="00401D9D">
        <w:rPr>
          <w:rFonts w:ascii="Arial" w:hAnsi="Arial" w:cs="Arial"/>
          <w:b/>
          <w:bCs/>
          <w:kern w:val="0"/>
          <w:sz w:val="20"/>
          <w:szCs w:val="20"/>
        </w:rPr>
        <w:t>S1</w:t>
      </w:r>
      <w:r w:rsidR="00EC60ED" w:rsidRPr="00401D9D">
        <w:rPr>
          <w:rFonts w:ascii="Arial" w:hAnsi="Arial" w:cs="Arial"/>
          <w:kern w:val="0"/>
          <w:sz w:val="20"/>
          <w:szCs w:val="20"/>
        </w:rPr>
        <w:t xml:space="preserve"> </w:t>
      </w:r>
      <w:r w:rsidRPr="00401D9D">
        <w:rPr>
          <w:rFonts w:ascii="Arial" w:hAnsi="Arial" w:cs="Arial"/>
          <w:kern w:val="0"/>
          <w:sz w:val="20"/>
          <w:szCs w:val="20"/>
        </w:rPr>
        <w:t>Prediction-corrected visual predictive check plot of the final gentamicin population pharmacokinetic model.</w:t>
      </w:r>
      <w:r w:rsidRPr="00401D9D">
        <w:rPr>
          <w:rFonts w:ascii="Arial" w:hAnsi="Arial" w:cs="Arial"/>
          <w:sz w:val="20"/>
          <w:szCs w:val="20"/>
        </w:rPr>
        <w:t xml:space="preserve"> </w:t>
      </w:r>
      <w:r w:rsidRPr="00401D9D">
        <w:rPr>
          <w:rFonts w:ascii="Arial" w:hAnsi="Arial" w:cs="Arial"/>
          <w:kern w:val="0"/>
          <w:sz w:val="20"/>
          <w:szCs w:val="20"/>
        </w:rPr>
        <w:t xml:space="preserve">The solid lines are 5%, </w:t>
      </w:r>
      <w:r w:rsidR="00EC60ED" w:rsidRPr="00401D9D">
        <w:rPr>
          <w:rFonts w:ascii="Arial" w:hAnsi="Arial" w:cs="Arial"/>
          <w:kern w:val="0"/>
          <w:sz w:val="20"/>
          <w:szCs w:val="20"/>
        </w:rPr>
        <w:t xml:space="preserve">50%, and </w:t>
      </w:r>
      <w:r w:rsidRPr="00401D9D">
        <w:rPr>
          <w:rFonts w:ascii="Arial" w:hAnsi="Arial" w:cs="Arial"/>
          <w:kern w:val="0"/>
          <w:sz w:val="20"/>
          <w:szCs w:val="20"/>
        </w:rPr>
        <w:t>95% quantile line</w:t>
      </w:r>
      <w:r w:rsidR="00EC60ED" w:rsidRPr="00401D9D">
        <w:rPr>
          <w:rFonts w:ascii="Arial" w:hAnsi="Arial" w:cs="Arial"/>
          <w:kern w:val="0"/>
          <w:sz w:val="20"/>
          <w:szCs w:val="20"/>
        </w:rPr>
        <w:t>s</w:t>
      </w:r>
      <w:r w:rsidRPr="00401D9D">
        <w:rPr>
          <w:rFonts w:ascii="Arial" w:hAnsi="Arial" w:cs="Arial"/>
          <w:kern w:val="0"/>
          <w:sz w:val="20"/>
          <w:szCs w:val="20"/>
        </w:rPr>
        <w:t xml:space="preserve"> of the </w:t>
      </w:r>
      <w:r w:rsidR="009B146C" w:rsidRPr="00401D9D">
        <w:rPr>
          <w:rFonts w:ascii="Arial" w:hAnsi="Arial" w:cs="Arial"/>
          <w:kern w:val="0"/>
          <w:sz w:val="20"/>
          <w:szCs w:val="20"/>
        </w:rPr>
        <w:t>observed</w:t>
      </w:r>
      <w:r w:rsidRPr="00401D9D">
        <w:rPr>
          <w:rFonts w:ascii="Arial" w:hAnsi="Arial" w:cs="Arial"/>
          <w:kern w:val="0"/>
          <w:sz w:val="20"/>
          <w:szCs w:val="20"/>
        </w:rPr>
        <w:t xml:space="preserve"> </w:t>
      </w:r>
      <w:r w:rsidR="001E1591" w:rsidRPr="00401D9D">
        <w:rPr>
          <w:rFonts w:ascii="Arial" w:hAnsi="Arial" w:cs="Arial"/>
          <w:kern w:val="0"/>
          <w:sz w:val="20"/>
          <w:szCs w:val="20"/>
        </w:rPr>
        <w:t>concentrations, and t</w:t>
      </w:r>
      <w:r w:rsidRPr="00401D9D">
        <w:rPr>
          <w:rFonts w:ascii="Arial" w:hAnsi="Arial" w:cs="Arial"/>
          <w:kern w:val="0"/>
          <w:sz w:val="20"/>
          <w:szCs w:val="20"/>
        </w:rPr>
        <w:t xml:space="preserve">he dashed lines are the 5%, </w:t>
      </w:r>
      <w:r w:rsidR="001E1591" w:rsidRPr="00401D9D">
        <w:rPr>
          <w:rFonts w:ascii="Arial" w:hAnsi="Arial" w:cs="Arial"/>
          <w:kern w:val="0"/>
          <w:sz w:val="20"/>
          <w:szCs w:val="20"/>
        </w:rPr>
        <w:t xml:space="preserve">50%, and </w:t>
      </w:r>
      <w:r w:rsidRPr="00401D9D">
        <w:rPr>
          <w:rFonts w:ascii="Arial" w:hAnsi="Arial" w:cs="Arial"/>
          <w:kern w:val="0"/>
          <w:sz w:val="20"/>
          <w:szCs w:val="20"/>
        </w:rPr>
        <w:t>95% quantile line</w:t>
      </w:r>
      <w:r w:rsidR="001E1591" w:rsidRPr="00401D9D">
        <w:rPr>
          <w:rFonts w:ascii="Arial" w:hAnsi="Arial" w:cs="Arial"/>
          <w:kern w:val="0"/>
          <w:sz w:val="20"/>
          <w:szCs w:val="20"/>
        </w:rPr>
        <w:t>s</w:t>
      </w:r>
      <w:r w:rsidRPr="00401D9D">
        <w:rPr>
          <w:rFonts w:ascii="Arial" w:hAnsi="Arial" w:cs="Arial"/>
          <w:kern w:val="0"/>
          <w:sz w:val="20"/>
          <w:szCs w:val="20"/>
        </w:rPr>
        <w:t xml:space="preserve"> of the predicted</w:t>
      </w:r>
      <w:r w:rsidR="001E1591" w:rsidRPr="00401D9D">
        <w:rPr>
          <w:rFonts w:ascii="Arial" w:hAnsi="Arial" w:cs="Arial"/>
          <w:kern w:val="0"/>
          <w:sz w:val="20"/>
          <w:szCs w:val="20"/>
        </w:rPr>
        <w:t xml:space="preserve"> concentrations</w:t>
      </w:r>
      <w:r w:rsidR="009B146C" w:rsidRPr="00401D9D">
        <w:rPr>
          <w:rFonts w:ascii="Arial" w:hAnsi="Arial" w:cs="Arial"/>
          <w:kern w:val="0"/>
          <w:sz w:val="20"/>
          <w:szCs w:val="20"/>
        </w:rPr>
        <w:t>.</w:t>
      </w:r>
    </w:p>
    <w:p w14:paraId="18FA179D" w14:textId="1C5D224F" w:rsidR="008976F9" w:rsidRPr="00401D9D" w:rsidRDefault="006E4083" w:rsidP="00647DE1">
      <w:pPr>
        <w:widowControl/>
        <w:spacing w:after="160" w:line="480" w:lineRule="auto"/>
        <w:rPr>
          <w:rFonts w:ascii="Arial" w:hAnsi="Arial" w:cs="Arial"/>
          <w:kern w:val="0"/>
          <w:sz w:val="20"/>
          <w:szCs w:val="20"/>
        </w:rPr>
        <w:sectPr w:rsidR="008976F9" w:rsidRPr="00401D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6E4083">
        <w:rPr>
          <w:noProof/>
          <w:lang w:val="nl-BE"/>
        </w:rPr>
        <w:t xml:space="preserve"> </w:t>
      </w:r>
      <w:r>
        <w:rPr>
          <w:noProof/>
          <w:lang w:val="nl-BE"/>
        </w:rPr>
        <w:drawing>
          <wp:inline distT="0" distB="0" distL="0" distR="0" wp14:anchorId="12603719" wp14:editId="5EBA616D">
            <wp:extent cx="4059090" cy="3044562"/>
            <wp:effectExtent l="0" t="0" r="0" b="3810"/>
            <wp:docPr id="3" name="图片 2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hart, line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700" cy="305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AFCF" w14:textId="34E20341" w:rsidR="00353BB3" w:rsidRPr="00401D9D" w:rsidRDefault="000E4E2F" w:rsidP="00647DE1">
      <w:pPr>
        <w:widowControl/>
        <w:spacing w:after="160" w:line="480" w:lineRule="auto"/>
        <w:rPr>
          <w:rFonts w:ascii="Arial" w:hAnsi="Arial" w:cs="Arial"/>
          <w:kern w:val="0"/>
          <w:sz w:val="20"/>
          <w:szCs w:val="20"/>
        </w:rPr>
        <w:sectPr w:rsidR="00353BB3" w:rsidRPr="00401D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401D9D">
        <w:rPr>
          <w:rFonts w:ascii="Arial" w:hAnsi="Arial" w:cs="Arial"/>
          <w:b/>
          <w:bCs/>
          <w:kern w:val="0"/>
          <w:sz w:val="20"/>
          <w:szCs w:val="20"/>
        </w:rPr>
        <w:lastRenderedPageBreak/>
        <w:t>Figure S2</w:t>
      </w:r>
      <w:r w:rsidRPr="00401D9D">
        <w:rPr>
          <w:rFonts w:ascii="Arial" w:hAnsi="Arial" w:cs="Arial"/>
          <w:kern w:val="0"/>
          <w:sz w:val="20"/>
          <w:szCs w:val="20"/>
        </w:rPr>
        <w:t xml:space="preserve"> </w:t>
      </w:r>
      <w:r w:rsidR="00D059D1" w:rsidRPr="00401D9D">
        <w:rPr>
          <w:rFonts w:ascii="Arial" w:hAnsi="Arial" w:cs="Arial"/>
          <w:kern w:val="0"/>
          <w:sz w:val="20"/>
          <w:szCs w:val="20"/>
        </w:rPr>
        <w:t>The c</w:t>
      </w:r>
      <w:r w:rsidR="00353BB3" w:rsidRPr="00401D9D">
        <w:rPr>
          <w:rFonts w:ascii="Arial" w:hAnsi="Arial" w:cs="Arial"/>
          <w:kern w:val="0"/>
          <w:sz w:val="20"/>
          <w:szCs w:val="20"/>
        </w:rPr>
        <w:t xml:space="preserve">oncentration versus </w:t>
      </w:r>
      <w:r w:rsidR="00D059D1" w:rsidRPr="00401D9D">
        <w:rPr>
          <w:rFonts w:ascii="Arial" w:hAnsi="Arial" w:cs="Arial"/>
          <w:kern w:val="0"/>
          <w:sz w:val="20"/>
          <w:szCs w:val="20"/>
        </w:rPr>
        <w:t>time profiles in CRRT patients</w:t>
      </w:r>
      <w:r w:rsidR="00D059D1" w:rsidRPr="00401D9D">
        <w:rPr>
          <w:rFonts w:ascii="Arial" w:eastAsia="SimSun" w:hAnsi="Arial" w:cs="Arial"/>
          <w:color w:val="0000FF"/>
          <w:sz w:val="20"/>
          <w:szCs w:val="20"/>
        </w:rPr>
        <w:t xml:space="preserve"> </w:t>
      </w:r>
      <w:r w:rsidR="00D059D1" w:rsidRPr="00401D9D">
        <w:rPr>
          <w:rFonts w:ascii="Arial" w:eastAsia="SimSun" w:hAnsi="Arial" w:cs="Arial"/>
          <w:sz w:val="20"/>
          <w:szCs w:val="20"/>
        </w:rPr>
        <w:t>receiving</w:t>
      </w:r>
      <w:r w:rsidR="00D059D1" w:rsidRPr="00401D9D">
        <w:rPr>
          <w:rFonts w:ascii="Arial" w:eastAsia="SimSun" w:hAnsi="Arial" w:cs="Arial"/>
          <w:color w:val="0000FF"/>
          <w:sz w:val="20"/>
          <w:szCs w:val="20"/>
        </w:rPr>
        <w:t xml:space="preserve"> </w:t>
      </w:r>
      <w:r w:rsidR="00353BB3" w:rsidRPr="00401D9D">
        <w:rPr>
          <w:rFonts w:ascii="Arial" w:hAnsi="Arial" w:cs="Arial"/>
          <w:kern w:val="0"/>
          <w:sz w:val="20"/>
          <w:szCs w:val="20"/>
        </w:rPr>
        <w:t xml:space="preserve">7 mg/kg </w:t>
      </w:r>
      <w:r w:rsidR="00D059D1" w:rsidRPr="00401D9D">
        <w:rPr>
          <w:rFonts w:ascii="Arial" w:hAnsi="Arial" w:cs="Arial"/>
          <w:kern w:val="0"/>
          <w:sz w:val="20"/>
          <w:szCs w:val="20"/>
        </w:rPr>
        <w:t xml:space="preserve">gentamicin </w:t>
      </w:r>
      <w:r w:rsidR="00353BB3" w:rsidRPr="00401D9D">
        <w:rPr>
          <w:rFonts w:ascii="Arial" w:hAnsi="Arial" w:cs="Arial"/>
          <w:kern w:val="0"/>
          <w:sz w:val="20"/>
          <w:szCs w:val="20"/>
        </w:rPr>
        <w:t xml:space="preserve">q24h under </w:t>
      </w:r>
      <w:r w:rsidR="00477035" w:rsidRPr="00401D9D">
        <w:rPr>
          <w:rFonts w:ascii="Arial" w:hAnsi="Arial" w:cs="Arial"/>
          <w:kern w:val="0"/>
          <w:sz w:val="20"/>
          <w:szCs w:val="20"/>
        </w:rPr>
        <w:t xml:space="preserve">a </w:t>
      </w:r>
      <w:r w:rsidR="00353BB3" w:rsidRPr="00401D9D">
        <w:rPr>
          <w:rFonts w:ascii="Arial" w:hAnsi="Arial" w:cs="Arial"/>
          <w:kern w:val="0"/>
          <w:sz w:val="20"/>
          <w:szCs w:val="20"/>
        </w:rPr>
        <w:t>40 mL/kg/h CRRT dose</w:t>
      </w:r>
      <w:r w:rsidRPr="00401D9D">
        <w:rPr>
          <w:rFonts w:ascii="Arial" w:hAnsi="Arial" w:cs="Arial"/>
          <w:kern w:val="0"/>
          <w:sz w:val="20"/>
          <w:szCs w:val="20"/>
        </w:rPr>
        <w:t>.</w:t>
      </w:r>
      <w:r w:rsidR="00DD4E52" w:rsidRPr="00401D9D">
        <w:rPr>
          <w:rFonts w:ascii="Arial" w:hAnsi="Arial" w:cs="Arial"/>
          <w:kern w:val="0"/>
          <w:sz w:val="20"/>
          <w:szCs w:val="20"/>
        </w:rPr>
        <w:t xml:space="preserve"> The solid line represents 50% percentile of the </w:t>
      </w:r>
      <w:r w:rsidR="00C14921" w:rsidRPr="00401D9D">
        <w:rPr>
          <w:rFonts w:ascii="Arial" w:hAnsi="Arial" w:cs="Arial"/>
          <w:kern w:val="0"/>
          <w:sz w:val="20"/>
          <w:szCs w:val="20"/>
        </w:rPr>
        <w:t>simulated concentrations,</w:t>
      </w:r>
      <w:r w:rsidR="00DD4E52" w:rsidRPr="00401D9D">
        <w:rPr>
          <w:rFonts w:ascii="Arial" w:hAnsi="Arial" w:cs="Arial"/>
          <w:kern w:val="0"/>
          <w:sz w:val="20"/>
          <w:szCs w:val="20"/>
        </w:rPr>
        <w:t xml:space="preserve"> </w:t>
      </w:r>
      <w:r w:rsidR="00C14921" w:rsidRPr="00401D9D">
        <w:rPr>
          <w:rFonts w:ascii="Arial" w:hAnsi="Arial" w:cs="Arial"/>
          <w:kern w:val="0"/>
          <w:sz w:val="20"/>
          <w:szCs w:val="20"/>
        </w:rPr>
        <w:t>and t</w:t>
      </w:r>
      <w:r w:rsidR="00DD4E52" w:rsidRPr="00401D9D">
        <w:rPr>
          <w:rFonts w:ascii="Arial" w:hAnsi="Arial" w:cs="Arial"/>
          <w:kern w:val="0"/>
          <w:sz w:val="20"/>
          <w:szCs w:val="20"/>
        </w:rPr>
        <w:t xml:space="preserve">he shaded area </w:t>
      </w:r>
      <w:r w:rsidR="00C14921" w:rsidRPr="00401D9D">
        <w:rPr>
          <w:rFonts w:ascii="Arial" w:hAnsi="Arial" w:cs="Arial"/>
          <w:kern w:val="0"/>
          <w:sz w:val="20"/>
          <w:szCs w:val="20"/>
        </w:rPr>
        <w:t>displays</w:t>
      </w:r>
      <w:r w:rsidR="00DD4E52" w:rsidRPr="00401D9D">
        <w:rPr>
          <w:rFonts w:ascii="Arial" w:hAnsi="Arial" w:cs="Arial"/>
          <w:kern w:val="0"/>
          <w:sz w:val="20"/>
          <w:szCs w:val="20"/>
        </w:rPr>
        <w:t xml:space="preserve"> the 90% concentration prediction intervals</w:t>
      </w:r>
      <w:r w:rsidR="00C14921" w:rsidRPr="00401D9D">
        <w:rPr>
          <w:rFonts w:ascii="Arial" w:hAnsi="Arial" w:cs="Arial"/>
          <w:kern w:val="0"/>
          <w:sz w:val="20"/>
          <w:szCs w:val="20"/>
        </w:rPr>
        <w:t xml:space="preserve"> for the PK profiles</w:t>
      </w:r>
      <w:r w:rsidR="00DD4E52" w:rsidRPr="00401D9D">
        <w:rPr>
          <w:rFonts w:ascii="Arial" w:hAnsi="Arial" w:cs="Arial"/>
          <w:kern w:val="0"/>
          <w:sz w:val="20"/>
          <w:szCs w:val="20"/>
        </w:rPr>
        <w:t>.</w:t>
      </w:r>
      <w:r w:rsidR="006E4083" w:rsidRPr="006E4083">
        <w:rPr>
          <w:rFonts w:ascii="Calibri" w:hAnsi="Calibri" w:cs="Calibri" w:hint="eastAsia"/>
          <w:noProof/>
          <w:kern w:val="0"/>
          <w:sz w:val="24"/>
          <w:szCs w:val="24"/>
        </w:rPr>
        <w:t xml:space="preserve"> </w:t>
      </w:r>
      <w:r w:rsidR="006E4083">
        <w:rPr>
          <w:rFonts w:ascii="Calibri" w:hAnsi="Calibri" w:cs="Calibri" w:hint="eastAsia"/>
          <w:noProof/>
          <w:kern w:val="0"/>
          <w:sz w:val="24"/>
          <w:szCs w:val="24"/>
        </w:rPr>
        <w:drawing>
          <wp:inline distT="0" distB="0" distL="0" distR="0" wp14:anchorId="501F4406" wp14:editId="22342B0F">
            <wp:extent cx="4376766" cy="3433762"/>
            <wp:effectExtent l="0" t="0" r="5080" b="0"/>
            <wp:docPr id="4" name="图片 1" descr="A picture containing text,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A picture containing text, devic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8265" cy="3434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3084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701"/>
        <w:gridCol w:w="1701"/>
        <w:gridCol w:w="1559"/>
        <w:gridCol w:w="1843"/>
      </w:tblGrid>
      <w:tr w:rsidR="00925300" w:rsidRPr="00401D9D" w14:paraId="0C0E3B52" w14:textId="77777777" w:rsidTr="00401D9D">
        <w:tc>
          <w:tcPr>
            <w:tcW w:w="1838" w:type="dxa"/>
            <w:tcBorders>
              <w:bottom w:val="single" w:sz="4" w:space="0" w:color="auto"/>
            </w:tcBorders>
          </w:tcPr>
          <w:p w14:paraId="2DE2D2AD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lastRenderedPageBreak/>
              <w:t>Dose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85AD01A" w14:textId="77777777" w:rsidR="002D57DF" w:rsidRPr="00401D9D" w:rsidRDefault="00004042" w:rsidP="00401D9D">
            <w:pPr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AUC/MIC&gt;100</w:t>
            </w:r>
          </w:p>
          <w:p w14:paraId="71B8F75C" w14:textId="1CA8A0FC" w:rsidR="00004042" w:rsidRPr="00401D9D" w:rsidRDefault="00004042" w:rsidP="00401D9D">
            <w:pPr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(MIC=1 mg/L)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B1B52D" w14:textId="77777777" w:rsidR="002D57DF" w:rsidRPr="00401D9D" w:rsidRDefault="00004042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AUC/MIC&gt;100</w:t>
            </w:r>
          </w:p>
          <w:p w14:paraId="5FF66D52" w14:textId="0220BCB1" w:rsidR="00004042" w:rsidRPr="00401D9D" w:rsidRDefault="00004042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(MIC=2mg/L)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BCCC805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</w:rPr>
              <w:t>/MIC&gt;10</w:t>
            </w:r>
          </w:p>
          <w:p w14:paraId="4A222A81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(MIC=1 mg/L)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C563AB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</w:rPr>
              <w:t>/MIC&gt;10</w:t>
            </w:r>
          </w:p>
          <w:p w14:paraId="7E8D5190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(MIC=2 mg/L)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0E7EF53B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</w:rPr>
              <w:t>&lt; 1 mg/L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928BE9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</w:rPr>
              <w:t>&lt;2 mg/L</w:t>
            </w:r>
          </w:p>
        </w:tc>
      </w:tr>
      <w:tr w:rsidR="00925300" w:rsidRPr="00401D9D" w14:paraId="2681FD72" w14:textId="77777777" w:rsidTr="00401D9D">
        <w:trPr>
          <w:trHeight w:val="460"/>
        </w:trPr>
        <w:tc>
          <w:tcPr>
            <w:tcW w:w="1838" w:type="dxa"/>
            <w:tcBorders>
              <w:bottom w:val="nil"/>
            </w:tcBorders>
          </w:tcPr>
          <w:p w14:paraId="19066BD1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3 mg/kg q24h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2662FF27" w14:textId="091F4331" w:rsidR="002D57DF" w:rsidRPr="00401D9D" w:rsidRDefault="00051705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7DF" w:rsidRPr="00401D9D">
              <w:rPr>
                <w:rFonts w:ascii="Arial" w:hAnsi="Arial" w:cs="Arial"/>
                <w:sz w:val="20"/>
                <w:szCs w:val="20"/>
              </w:rPr>
              <w:t>1.</w:t>
            </w:r>
            <w:r w:rsidRPr="00401D9D">
              <w:rPr>
                <w:rFonts w:ascii="Arial" w:hAnsi="Arial" w:cs="Arial"/>
                <w:sz w:val="20"/>
                <w:szCs w:val="20"/>
              </w:rPr>
              <w:t>2</w:t>
            </w:r>
            <w:r w:rsidR="002D57DF" w:rsidRPr="00401D9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3EE346EC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02497B7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12.4%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06DD0201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67A28E84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79.0%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24259F5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925300" w:rsidRPr="00401D9D" w14:paraId="4A1153A9" w14:textId="77777777" w:rsidTr="00401D9D">
        <w:trPr>
          <w:trHeight w:val="459"/>
        </w:trPr>
        <w:tc>
          <w:tcPr>
            <w:tcW w:w="1838" w:type="dxa"/>
            <w:tcBorders>
              <w:top w:val="nil"/>
              <w:bottom w:val="nil"/>
            </w:tcBorders>
          </w:tcPr>
          <w:p w14:paraId="63E4D867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4 mg/kg q24h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5D4EC706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34.2%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23628B1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2C3DD46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49.2%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F0CB181" w14:textId="5BC96651" w:rsidR="002D57DF" w:rsidRPr="00401D9D" w:rsidRDefault="00051705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7DF" w:rsidRPr="00401D9D">
              <w:rPr>
                <w:rFonts w:ascii="Arial" w:hAnsi="Arial" w:cs="Arial"/>
                <w:sz w:val="20"/>
                <w:szCs w:val="20"/>
              </w:rPr>
              <w:t>0.</w:t>
            </w:r>
            <w:r w:rsidRPr="00401D9D">
              <w:rPr>
                <w:rFonts w:ascii="Arial" w:hAnsi="Arial" w:cs="Arial"/>
                <w:sz w:val="20"/>
                <w:szCs w:val="20"/>
              </w:rPr>
              <w:t>3</w:t>
            </w:r>
            <w:r w:rsidR="002D57DF" w:rsidRPr="00401D9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75026AFE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60.7%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78CF76E6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98.3%</w:t>
            </w:r>
          </w:p>
        </w:tc>
      </w:tr>
      <w:tr w:rsidR="00925300" w:rsidRPr="00401D9D" w14:paraId="1946C563" w14:textId="77777777" w:rsidTr="00401D9D">
        <w:trPr>
          <w:trHeight w:val="420"/>
        </w:trPr>
        <w:tc>
          <w:tcPr>
            <w:tcW w:w="1838" w:type="dxa"/>
            <w:tcBorders>
              <w:top w:val="nil"/>
              <w:bottom w:val="nil"/>
            </w:tcBorders>
          </w:tcPr>
          <w:p w14:paraId="15C348D9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5 mg/kg q24h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7FCE671F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70.1%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C571C9B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4F12207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78.4%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1B33777" w14:textId="58670C50" w:rsidR="002D57DF" w:rsidRPr="00401D9D" w:rsidRDefault="00051705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7DF" w:rsidRPr="00401D9D">
              <w:rPr>
                <w:rFonts w:ascii="Arial" w:hAnsi="Arial" w:cs="Arial"/>
                <w:sz w:val="20"/>
                <w:szCs w:val="20"/>
              </w:rPr>
              <w:t>2.8%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6363B0A9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47.9%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027D3AD6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89.4%</w:t>
            </w:r>
          </w:p>
        </w:tc>
      </w:tr>
      <w:tr w:rsidR="00925300" w:rsidRPr="00401D9D" w14:paraId="2731E9EC" w14:textId="77777777" w:rsidTr="00401D9D">
        <w:trPr>
          <w:trHeight w:val="428"/>
        </w:trPr>
        <w:tc>
          <w:tcPr>
            <w:tcW w:w="1838" w:type="dxa"/>
            <w:tcBorders>
              <w:top w:val="nil"/>
              <w:bottom w:val="nil"/>
            </w:tcBorders>
          </w:tcPr>
          <w:p w14:paraId="4B0F2FCC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6 mg/kg q24h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20A984DF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87.1%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225B17BC" w14:textId="4B851A26" w:rsidR="002D57DF" w:rsidRPr="00401D9D" w:rsidRDefault="00051705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57DF" w:rsidRPr="00401D9D">
              <w:rPr>
                <w:rFonts w:ascii="Arial" w:hAnsi="Arial" w:cs="Arial"/>
                <w:sz w:val="20"/>
                <w:szCs w:val="20"/>
              </w:rPr>
              <w:t>1.</w:t>
            </w:r>
            <w:r w:rsidRPr="00401D9D">
              <w:rPr>
                <w:rFonts w:ascii="Arial" w:hAnsi="Arial" w:cs="Arial"/>
                <w:sz w:val="20"/>
                <w:szCs w:val="20"/>
              </w:rPr>
              <w:t>1</w:t>
            </w:r>
            <w:r w:rsidR="002D57DF" w:rsidRPr="00401D9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1BAA4E08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91.9%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F804E5D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12.4%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284B2E3D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39.4%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673995BA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79.0%</w:t>
            </w:r>
          </w:p>
        </w:tc>
      </w:tr>
      <w:tr w:rsidR="00925300" w:rsidRPr="00401D9D" w14:paraId="7D4C889B" w14:textId="77777777" w:rsidTr="00401D9D">
        <w:tc>
          <w:tcPr>
            <w:tcW w:w="1838" w:type="dxa"/>
            <w:tcBorders>
              <w:top w:val="nil"/>
            </w:tcBorders>
          </w:tcPr>
          <w:p w14:paraId="40E7C50C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7 mg/kg q24h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167F2DAF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93.9%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280861A0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12.5%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49602CD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97.5%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9F65DD8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29.5%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2B7B0C79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33.1%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2A9A521A" w14:textId="77777777" w:rsidR="002D57DF" w:rsidRPr="00401D9D" w:rsidRDefault="002D57D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69.2%</w:t>
            </w:r>
          </w:p>
        </w:tc>
      </w:tr>
    </w:tbl>
    <w:p w14:paraId="0A6638D5" w14:textId="25BB7394" w:rsidR="002D57DF" w:rsidRPr="00401D9D" w:rsidRDefault="002D57DF" w:rsidP="00401D9D">
      <w:pPr>
        <w:widowControl/>
        <w:spacing w:after="160" w:line="480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401D9D">
        <w:rPr>
          <w:rFonts w:ascii="Arial" w:hAnsi="Arial" w:cs="Arial"/>
          <w:b/>
          <w:bCs/>
          <w:kern w:val="0"/>
          <w:sz w:val="20"/>
          <w:szCs w:val="20"/>
        </w:rPr>
        <w:t>Table</w:t>
      </w:r>
      <w:r w:rsidR="00342FD6" w:rsidRPr="00401D9D">
        <w:rPr>
          <w:rFonts w:ascii="Arial" w:hAnsi="Arial" w:cs="Arial"/>
          <w:b/>
          <w:bCs/>
          <w:kern w:val="0"/>
          <w:sz w:val="20"/>
          <w:szCs w:val="20"/>
        </w:rPr>
        <w:t xml:space="preserve"> S1</w:t>
      </w:r>
      <w:r w:rsidRPr="00401D9D">
        <w:rPr>
          <w:rFonts w:ascii="Arial" w:hAnsi="Arial" w:cs="Arial"/>
          <w:kern w:val="0"/>
          <w:sz w:val="20"/>
          <w:szCs w:val="20"/>
        </w:rPr>
        <w:t xml:space="preserve"> The probability of target attainment (PTA) of </w:t>
      </w:r>
      <w:r w:rsidR="00C60F47" w:rsidRPr="00401D9D">
        <w:rPr>
          <w:rFonts w:ascii="Arial" w:hAnsi="Arial" w:cs="Arial"/>
          <w:kern w:val="0"/>
          <w:sz w:val="20"/>
          <w:szCs w:val="20"/>
        </w:rPr>
        <w:t>PK/PD indices</w:t>
      </w:r>
      <w:r w:rsidRPr="00401D9D">
        <w:rPr>
          <w:rFonts w:ascii="Arial" w:hAnsi="Arial" w:cs="Arial"/>
          <w:kern w:val="0"/>
          <w:sz w:val="20"/>
          <w:szCs w:val="20"/>
        </w:rPr>
        <w:t xml:space="preserve"> and non-toxicity targets for patients with different gentamicin dose regimens under a CRRT dose of 30 mL/kg/h at the first day.</w:t>
      </w:r>
    </w:p>
    <w:p w14:paraId="7EB92998" w14:textId="21BFADC2" w:rsidR="00054C7A" w:rsidRPr="00401D9D" w:rsidRDefault="00054C7A" w:rsidP="00647DE1">
      <w:pPr>
        <w:widowControl/>
        <w:spacing w:after="160" w:line="480" w:lineRule="auto"/>
        <w:rPr>
          <w:rFonts w:ascii="Arial" w:hAnsi="Arial" w:cs="Arial"/>
          <w:kern w:val="0"/>
          <w:sz w:val="20"/>
          <w:szCs w:val="20"/>
        </w:rPr>
      </w:pPr>
    </w:p>
    <w:p w14:paraId="66D6A469" w14:textId="77777777" w:rsidR="00925300" w:rsidRPr="00401D9D" w:rsidRDefault="00925300" w:rsidP="002D57DF">
      <w:pPr>
        <w:widowControl/>
        <w:spacing w:after="160" w:line="360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46026690" w14:textId="77777777" w:rsidR="00925300" w:rsidRPr="00401D9D" w:rsidRDefault="00925300" w:rsidP="002D57DF">
      <w:pPr>
        <w:widowControl/>
        <w:spacing w:after="160" w:line="360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68248C57" w14:textId="77777777" w:rsidR="00925300" w:rsidRPr="00401D9D" w:rsidRDefault="00925300" w:rsidP="002D57DF">
      <w:pPr>
        <w:widowControl/>
        <w:spacing w:after="160" w:line="360" w:lineRule="auto"/>
        <w:jc w:val="left"/>
        <w:rPr>
          <w:rFonts w:ascii="Arial" w:hAnsi="Arial" w:cs="Arial"/>
          <w:kern w:val="0"/>
          <w:sz w:val="20"/>
          <w:szCs w:val="20"/>
        </w:rPr>
      </w:pPr>
    </w:p>
    <w:p w14:paraId="363B853A" w14:textId="77777777" w:rsidR="000B6B45" w:rsidRDefault="000B6B45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21BE030" w14:textId="77777777" w:rsidR="007715A3" w:rsidRDefault="007715A3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A4C718D" w14:textId="77777777" w:rsidR="007715A3" w:rsidRDefault="007715A3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04462BB" w14:textId="77777777" w:rsidR="007715A3" w:rsidRDefault="007715A3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F08117A" w14:textId="77777777" w:rsidR="007715A3" w:rsidRDefault="007715A3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61140E7" w14:textId="77777777" w:rsidR="007715A3" w:rsidRDefault="007715A3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836E701" w14:textId="02EC92DC" w:rsidR="002D57DF" w:rsidRPr="00401D9D" w:rsidRDefault="002D57DF" w:rsidP="00401D9D">
      <w:pPr>
        <w:widowControl/>
        <w:spacing w:after="160" w:line="480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401D9D">
        <w:rPr>
          <w:rFonts w:ascii="Arial" w:hAnsi="Arial" w:cs="Arial"/>
          <w:b/>
          <w:bCs/>
          <w:kern w:val="0"/>
          <w:sz w:val="20"/>
          <w:szCs w:val="20"/>
        </w:rPr>
        <w:lastRenderedPageBreak/>
        <w:t xml:space="preserve">Table </w:t>
      </w:r>
      <w:r w:rsidR="00342FD6" w:rsidRPr="00401D9D">
        <w:rPr>
          <w:rFonts w:ascii="Arial" w:hAnsi="Arial" w:cs="Arial"/>
          <w:b/>
          <w:bCs/>
          <w:kern w:val="0"/>
          <w:sz w:val="20"/>
          <w:szCs w:val="20"/>
        </w:rPr>
        <w:t>S2</w:t>
      </w:r>
      <w:r w:rsidRPr="00401D9D">
        <w:rPr>
          <w:rFonts w:ascii="Arial" w:hAnsi="Arial" w:cs="Arial"/>
          <w:kern w:val="0"/>
          <w:sz w:val="20"/>
          <w:szCs w:val="20"/>
        </w:rPr>
        <w:t xml:space="preserve"> The probability of target attainment (PTA) of </w:t>
      </w:r>
      <w:r w:rsidR="00C60F47" w:rsidRPr="00401D9D">
        <w:rPr>
          <w:rFonts w:ascii="Arial" w:hAnsi="Arial" w:cs="Arial"/>
          <w:kern w:val="0"/>
          <w:sz w:val="20"/>
          <w:szCs w:val="20"/>
        </w:rPr>
        <w:t>PK/PD indices</w:t>
      </w:r>
      <w:r w:rsidRPr="00401D9D">
        <w:rPr>
          <w:rFonts w:ascii="Arial" w:hAnsi="Arial" w:cs="Arial"/>
          <w:kern w:val="0"/>
          <w:sz w:val="20"/>
          <w:szCs w:val="20"/>
        </w:rPr>
        <w:t xml:space="preserve"> and non-toxicity targets for patients with different gentamicin dose regimens under a CRRT dose of 40 mL/kg/h at the first day.</w:t>
      </w:r>
    </w:p>
    <w:tbl>
      <w:tblPr>
        <w:tblStyle w:val="TableGrid"/>
        <w:tblpPr w:leftFromText="180" w:rightFromText="180" w:vertAnchor="page" w:horzAnchor="margin" w:tblpY="3189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1701"/>
        <w:gridCol w:w="1701"/>
        <w:gridCol w:w="1559"/>
        <w:gridCol w:w="1843"/>
      </w:tblGrid>
      <w:tr w:rsidR="00B14A4E" w:rsidRPr="00401D9D" w14:paraId="0B72CB43" w14:textId="77777777" w:rsidTr="00401D9D">
        <w:tc>
          <w:tcPr>
            <w:tcW w:w="1838" w:type="dxa"/>
            <w:tcBorders>
              <w:bottom w:val="single" w:sz="4" w:space="0" w:color="auto"/>
            </w:tcBorders>
          </w:tcPr>
          <w:p w14:paraId="6A6B5AEF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38C62A9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AUC/MIC&gt;100</w:t>
            </w:r>
          </w:p>
          <w:p w14:paraId="2BB1AD16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(MIC=1mg/L)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49E79A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AUC/MIC&gt;100</w:t>
            </w:r>
          </w:p>
          <w:p w14:paraId="6046EB24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(MIC=2mg/L)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B7A902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</w:rPr>
              <w:t>/MIC&gt;10</w:t>
            </w:r>
          </w:p>
          <w:p w14:paraId="6FDB7EE6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(MIC=1 mg/L)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A04134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</w:rPr>
              <w:t>/MIC&gt;10</w:t>
            </w:r>
          </w:p>
          <w:p w14:paraId="68F24746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(MIC=2 mg/L)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1A52B09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</w:rPr>
              <w:t>&lt; 1 mg/L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870D39C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</w:rPr>
              <w:t>&lt;2 mg/L</w:t>
            </w:r>
          </w:p>
        </w:tc>
      </w:tr>
      <w:tr w:rsidR="00B14A4E" w:rsidRPr="00401D9D" w14:paraId="15EE2644" w14:textId="77777777" w:rsidTr="00401D9D">
        <w:trPr>
          <w:trHeight w:val="481"/>
        </w:trPr>
        <w:tc>
          <w:tcPr>
            <w:tcW w:w="1838" w:type="dxa"/>
            <w:tcBorders>
              <w:bottom w:val="nil"/>
            </w:tcBorders>
          </w:tcPr>
          <w:p w14:paraId="4DEC76AC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3 mg/kg q24h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</w:tcPr>
          <w:p w14:paraId="03917A35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7F09EEEF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3B20430E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10.7%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5FB95038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</w:tcPr>
          <w:p w14:paraId="63474FE7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97.5%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41D14FC6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B14A4E" w:rsidRPr="00401D9D" w14:paraId="4DB0E7F5" w14:textId="77777777" w:rsidTr="00401D9D">
        <w:trPr>
          <w:trHeight w:val="439"/>
        </w:trPr>
        <w:tc>
          <w:tcPr>
            <w:tcW w:w="1838" w:type="dxa"/>
            <w:tcBorders>
              <w:top w:val="nil"/>
              <w:bottom w:val="nil"/>
            </w:tcBorders>
          </w:tcPr>
          <w:p w14:paraId="6C3EAF2E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4 mg/kg q24h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3BD3658E" w14:textId="22A81644" w:rsidR="00B14A4E" w:rsidRPr="00401D9D" w:rsidRDefault="00EC727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A4E" w:rsidRPr="00401D9D">
              <w:rPr>
                <w:rFonts w:ascii="Arial" w:hAnsi="Arial" w:cs="Arial"/>
                <w:sz w:val="20"/>
                <w:szCs w:val="20"/>
              </w:rPr>
              <w:t>7.</w:t>
            </w:r>
            <w:r w:rsidRPr="00401D9D">
              <w:rPr>
                <w:rFonts w:ascii="Arial" w:hAnsi="Arial" w:cs="Arial"/>
                <w:sz w:val="20"/>
                <w:szCs w:val="20"/>
              </w:rPr>
              <w:t>1</w:t>
            </w:r>
            <w:r w:rsidR="00B14A4E" w:rsidRPr="00401D9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7EBDD84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E9DDE20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46.8%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395F7546" w14:textId="208EA116" w:rsidR="00B14A4E" w:rsidRPr="00401D9D" w:rsidRDefault="00EC727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A4E" w:rsidRPr="00401D9D">
              <w:rPr>
                <w:rFonts w:ascii="Arial" w:hAnsi="Arial" w:cs="Arial"/>
                <w:sz w:val="20"/>
                <w:szCs w:val="20"/>
              </w:rPr>
              <w:t>0.</w:t>
            </w:r>
            <w:r w:rsidRPr="00401D9D">
              <w:rPr>
                <w:rFonts w:ascii="Arial" w:hAnsi="Arial" w:cs="Arial"/>
                <w:sz w:val="20"/>
                <w:szCs w:val="20"/>
              </w:rPr>
              <w:t>2</w:t>
            </w:r>
            <w:r w:rsidR="00B14A4E" w:rsidRPr="00401D9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E22DDD1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86.9%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3AA4572B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B14A4E" w:rsidRPr="00401D9D" w14:paraId="5D0A1876" w14:textId="77777777" w:rsidTr="00401D9D">
        <w:trPr>
          <w:trHeight w:val="419"/>
        </w:trPr>
        <w:tc>
          <w:tcPr>
            <w:tcW w:w="1838" w:type="dxa"/>
            <w:tcBorders>
              <w:top w:val="nil"/>
              <w:bottom w:val="nil"/>
            </w:tcBorders>
          </w:tcPr>
          <w:p w14:paraId="16BF8BF5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5 mg/kg q24h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4D68E356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48.7%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BE62FF6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58CAC26A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77.2%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591325F" w14:textId="0C908D6F" w:rsidR="00B14A4E" w:rsidRPr="00401D9D" w:rsidRDefault="00EC727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14A4E" w:rsidRPr="00401D9D">
              <w:rPr>
                <w:rFonts w:ascii="Arial" w:hAnsi="Arial" w:cs="Arial"/>
                <w:sz w:val="20"/>
                <w:szCs w:val="20"/>
              </w:rPr>
              <w:t>2.</w:t>
            </w:r>
            <w:r w:rsidRPr="00401D9D">
              <w:rPr>
                <w:rFonts w:ascii="Arial" w:hAnsi="Arial" w:cs="Arial"/>
                <w:sz w:val="20"/>
                <w:szCs w:val="20"/>
              </w:rPr>
              <w:t>3</w:t>
            </w:r>
            <w:r w:rsidR="00B14A4E" w:rsidRPr="00401D9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5E466CDB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75.6%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ECB019F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99.7%</w:t>
            </w:r>
          </w:p>
        </w:tc>
      </w:tr>
      <w:tr w:rsidR="00B14A4E" w:rsidRPr="00401D9D" w14:paraId="493FE797" w14:textId="77777777" w:rsidTr="00401D9D">
        <w:trPr>
          <w:trHeight w:val="425"/>
        </w:trPr>
        <w:tc>
          <w:tcPr>
            <w:tcW w:w="1838" w:type="dxa"/>
            <w:tcBorders>
              <w:top w:val="nil"/>
              <w:bottom w:val="nil"/>
            </w:tcBorders>
          </w:tcPr>
          <w:p w14:paraId="67594FB1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6 mg/kg q24h</w:t>
            </w: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auto"/>
          </w:tcPr>
          <w:p w14:paraId="6853178F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77.4%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56BBB61E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A468FAF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91.3%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0033745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10.7%</w:t>
            </w:r>
          </w:p>
        </w:tc>
        <w:tc>
          <w:tcPr>
            <w:tcW w:w="1559" w:type="dxa"/>
            <w:tcBorders>
              <w:top w:val="nil"/>
              <w:bottom w:val="nil"/>
            </w:tcBorders>
            <w:shd w:val="clear" w:color="auto" w:fill="auto"/>
          </w:tcPr>
          <w:p w14:paraId="166C0DF0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65.5%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4A5F68AF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97.5%</w:t>
            </w:r>
          </w:p>
        </w:tc>
      </w:tr>
      <w:tr w:rsidR="00B14A4E" w:rsidRPr="00401D9D" w14:paraId="0F9F39C7" w14:textId="77777777" w:rsidTr="00401D9D">
        <w:tc>
          <w:tcPr>
            <w:tcW w:w="1838" w:type="dxa"/>
            <w:tcBorders>
              <w:top w:val="nil"/>
            </w:tcBorders>
          </w:tcPr>
          <w:p w14:paraId="33A45E21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7 mg/kg q24h</w:t>
            </w:r>
          </w:p>
        </w:tc>
        <w:tc>
          <w:tcPr>
            <w:tcW w:w="1985" w:type="dxa"/>
            <w:tcBorders>
              <w:top w:val="nil"/>
            </w:tcBorders>
            <w:shd w:val="clear" w:color="auto" w:fill="auto"/>
          </w:tcPr>
          <w:p w14:paraId="43BBDC66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89.8%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190308AD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0.19%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470A399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97.3%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1040FAC1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27.3%</w:t>
            </w: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27E06D3F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57.1%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7CBC707" w14:textId="77777777" w:rsidR="00B14A4E" w:rsidRPr="00401D9D" w:rsidRDefault="00B14A4E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92.3%</w:t>
            </w:r>
          </w:p>
        </w:tc>
      </w:tr>
    </w:tbl>
    <w:p w14:paraId="14E62E40" w14:textId="5D8917A7" w:rsidR="00C73190" w:rsidRPr="002D57DF" w:rsidRDefault="00C73190" w:rsidP="00686A38">
      <w:pPr>
        <w:widowControl/>
        <w:spacing w:after="160" w:line="259" w:lineRule="auto"/>
        <w:rPr>
          <w:rFonts w:ascii="Calibri" w:hAnsi="Calibri" w:cs="Calibri"/>
          <w:kern w:val="0"/>
          <w:sz w:val="22"/>
        </w:rPr>
      </w:pPr>
    </w:p>
    <w:p w14:paraId="184D4812" w14:textId="67D2931C" w:rsidR="00C73190" w:rsidRPr="00BD67B5" w:rsidRDefault="00C73190" w:rsidP="00686A38">
      <w:pPr>
        <w:widowControl/>
        <w:spacing w:after="160" w:line="259" w:lineRule="auto"/>
        <w:rPr>
          <w:rFonts w:ascii="Calibri" w:hAnsi="Calibri" w:cs="Calibri"/>
          <w:kern w:val="0"/>
          <w:sz w:val="22"/>
        </w:rPr>
      </w:pPr>
    </w:p>
    <w:p w14:paraId="14627855" w14:textId="20AF2295" w:rsidR="00C73190" w:rsidRPr="00BD67B5" w:rsidRDefault="00C73190" w:rsidP="00686A38">
      <w:pPr>
        <w:widowControl/>
        <w:spacing w:after="160" w:line="259" w:lineRule="auto"/>
        <w:rPr>
          <w:rFonts w:ascii="Calibri" w:hAnsi="Calibri" w:cs="Calibri"/>
          <w:kern w:val="0"/>
          <w:sz w:val="22"/>
        </w:rPr>
      </w:pPr>
    </w:p>
    <w:p w14:paraId="7B11F1B9" w14:textId="2A009F6C" w:rsidR="002F5BC0" w:rsidRDefault="002F5BC0" w:rsidP="00647DE1">
      <w:pPr>
        <w:widowControl/>
        <w:spacing w:after="160" w:line="48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74F0C39B" w14:textId="538CF530" w:rsidR="002D57DF" w:rsidRDefault="002D57DF" w:rsidP="00647DE1">
      <w:pPr>
        <w:widowControl/>
        <w:spacing w:after="160" w:line="48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2404A6C0" w14:textId="77777777" w:rsidR="007715A3" w:rsidRDefault="007715A3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1848B6A" w14:textId="77777777" w:rsidR="007715A3" w:rsidRDefault="007715A3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29731362" w14:textId="77777777" w:rsidR="007715A3" w:rsidRDefault="007715A3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37B8B204" w14:textId="77777777" w:rsidR="007715A3" w:rsidRDefault="007715A3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7D693C7" w14:textId="77777777" w:rsidR="007715A3" w:rsidRDefault="007715A3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1456C8D" w14:textId="77777777" w:rsidR="007715A3" w:rsidRDefault="007715A3" w:rsidP="002D57DF">
      <w:pPr>
        <w:widowControl/>
        <w:spacing w:after="160"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97D6C05" w14:textId="35349AA0" w:rsidR="002D57DF" w:rsidRPr="00401D9D" w:rsidRDefault="002D57DF" w:rsidP="00401D9D">
      <w:pPr>
        <w:widowControl/>
        <w:spacing w:after="160" w:line="480" w:lineRule="auto"/>
        <w:jc w:val="left"/>
        <w:rPr>
          <w:rFonts w:ascii="Arial" w:hAnsi="Arial" w:cs="Arial"/>
          <w:kern w:val="0"/>
          <w:sz w:val="20"/>
          <w:szCs w:val="20"/>
        </w:rPr>
      </w:pPr>
      <w:r w:rsidRPr="00401D9D">
        <w:rPr>
          <w:rFonts w:ascii="Arial" w:hAnsi="Arial" w:cs="Arial"/>
          <w:b/>
          <w:bCs/>
          <w:kern w:val="0"/>
          <w:sz w:val="20"/>
          <w:szCs w:val="20"/>
        </w:rPr>
        <w:lastRenderedPageBreak/>
        <w:t xml:space="preserve">Table </w:t>
      </w:r>
      <w:r w:rsidR="00342FD6" w:rsidRPr="00401D9D">
        <w:rPr>
          <w:rFonts w:ascii="Arial" w:hAnsi="Arial" w:cs="Arial"/>
          <w:b/>
          <w:bCs/>
          <w:kern w:val="0"/>
          <w:sz w:val="20"/>
          <w:szCs w:val="20"/>
        </w:rPr>
        <w:t>S3</w:t>
      </w:r>
      <w:r w:rsidRPr="00401D9D">
        <w:rPr>
          <w:rFonts w:ascii="Arial" w:hAnsi="Arial" w:cs="Arial"/>
          <w:kern w:val="0"/>
          <w:sz w:val="20"/>
          <w:szCs w:val="20"/>
        </w:rPr>
        <w:t xml:space="preserve"> The probability of target attainment (PTA) of </w:t>
      </w:r>
      <w:r w:rsidR="00C60F47" w:rsidRPr="00401D9D">
        <w:rPr>
          <w:rFonts w:ascii="Arial" w:hAnsi="Arial" w:cs="Arial"/>
          <w:kern w:val="0"/>
          <w:sz w:val="20"/>
          <w:szCs w:val="20"/>
        </w:rPr>
        <w:t>PK/PD indices</w:t>
      </w:r>
      <w:r w:rsidRPr="00401D9D">
        <w:rPr>
          <w:rFonts w:ascii="Arial" w:hAnsi="Arial" w:cs="Arial"/>
          <w:kern w:val="0"/>
          <w:sz w:val="20"/>
          <w:szCs w:val="20"/>
        </w:rPr>
        <w:t xml:space="preserve"> and non-toxicity targets for patients with different gentamicin dose regimens under a CRRT dose of </w:t>
      </w:r>
      <w:r w:rsidR="00925300" w:rsidRPr="00401D9D">
        <w:rPr>
          <w:rFonts w:ascii="Arial" w:hAnsi="Arial" w:cs="Arial"/>
          <w:kern w:val="0"/>
          <w:sz w:val="20"/>
          <w:szCs w:val="20"/>
        </w:rPr>
        <w:t>5</w:t>
      </w:r>
      <w:r w:rsidRPr="00401D9D">
        <w:rPr>
          <w:rFonts w:ascii="Arial" w:hAnsi="Arial" w:cs="Arial"/>
          <w:kern w:val="0"/>
          <w:sz w:val="20"/>
          <w:szCs w:val="20"/>
        </w:rPr>
        <w:t>0 mL/kg/h at the first day.</w:t>
      </w:r>
    </w:p>
    <w:tbl>
      <w:tblPr>
        <w:tblStyle w:val="TableGrid"/>
        <w:tblpPr w:leftFromText="180" w:rightFromText="180" w:vertAnchor="page" w:horzAnchor="margin" w:tblpY="3099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2127"/>
        <w:gridCol w:w="2126"/>
        <w:gridCol w:w="1701"/>
        <w:gridCol w:w="1843"/>
        <w:gridCol w:w="1701"/>
        <w:gridCol w:w="1701"/>
      </w:tblGrid>
      <w:tr w:rsidR="00147184" w:rsidRPr="00401D9D" w14:paraId="274ACAF0" w14:textId="77777777" w:rsidTr="00401D9D">
        <w:tc>
          <w:tcPr>
            <w:tcW w:w="1696" w:type="dxa"/>
            <w:tcBorders>
              <w:bottom w:val="single" w:sz="4" w:space="0" w:color="auto"/>
            </w:tcBorders>
          </w:tcPr>
          <w:p w14:paraId="3EBE026E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Dose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A7001F1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AUC/MIC&gt;100</w:t>
            </w:r>
          </w:p>
          <w:p w14:paraId="56073512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(MIC=1mg/L)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D8BC80E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AUC/MIC&gt;100</w:t>
            </w:r>
          </w:p>
          <w:p w14:paraId="2686BD18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(MIC=2mg/L)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110CE0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</w:rPr>
              <w:t>/MIC &gt; 10</w:t>
            </w:r>
          </w:p>
          <w:p w14:paraId="1B27A7F9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(MIC=1 mg/L)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B63B094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max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</w:rPr>
              <w:t>/MIC &gt; 10</w:t>
            </w:r>
          </w:p>
          <w:p w14:paraId="1A7A15A7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(MIC=2 mg/L)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89D731F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401D9D">
              <w:rPr>
                <w:rFonts w:ascii="Arial" w:hAnsi="Arial" w:cs="Arial"/>
                <w:sz w:val="20"/>
                <w:szCs w:val="20"/>
              </w:rPr>
              <w:t>&lt; 1 mg/L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5642BB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01D9D">
              <w:rPr>
                <w:rFonts w:ascii="Arial" w:hAnsi="Arial" w:cs="Arial"/>
                <w:sz w:val="20"/>
                <w:szCs w:val="20"/>
              </w:rPr>
              <w:t>C</w:t>
            </w:r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>min</w:t>
            </w:r>
            <w:proofErr w:type="spellEnd"/>
            <w:r w:rsidRPr="00401D9D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 </w:t>
            </w:r>
            <w:r w:rsidRPr="00401D9D">
              <w:rPr>
                <w:rFonts w:ascii="Arial" w:hAnsi="Arial" w:cs="Arial"/>
                <w:sz w:val="20"/>
                <w:szCs w:val="20"/>
              </w:rPr>
              <w:t>&lt;2 mg/L</w:t>
            </w:r>
          </w:p>
        </w:tc>
      </w:tr>
      <w:tr w:rsidR="00147184" w:rsidRPr="00401D9D" w14:paraId="64DE1FC7" w14:textId="77777777" w:rsidTr="00401D9D">
        <w:trPr>
          <w:trHeight w:val="485"/>
        </w:trPr>
        <w:tc>
          <w:tcPr>
            <w:tcW w:w="1696" w:type="dxa"/>
            <w:tcBorders>
              <w:bottom w:val="nil"/>
            </w:tcBorders>
          </w:tcPr>
          <w:p w14:paraId="7B582C34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3 mg/kg q24h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00A4D0FD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auto"/>
          </w:tcPr>
          <w:p w14:paraId="4DF22465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5D6B1028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9.1%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</w:tcPr>
          <w:p w14:paraId="6F57AF30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11E8AA6B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99.9%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25DE8697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147184" w:rsidRPr="00401D9D" w14:paraId="30CBBA6E" w14:textId="77777777" w:rsidTr="00401D9D">
        <w:trPr>
          <w:trHeight w:val="431"/>
        </w:trPr>
        <w:tc>
          <w:tcPr>
            <w:tcW w:w="1696" w:type="dxa"/>
            <w:tcBorders>
              <w:top w:val="nil"/>
              <w:bottom w:val="nil"/>
            </w:tcBorders>
          </w:tcPr>
          <w:p w14:paraId="3875F5BA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4 mg/kg q24h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2060B1A5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88BCEF3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68F091B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43.9%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85D3FEE" w14:textId="5B7A5F64" w:rsidR="00147184" w:rsidRPr="00401D9D" w:rsidRDefault="00EC727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184" w:rsidRPr="00401D9D">
              <w:rPr>
                <w:rFonts w:ascii="Arial" w:hAnsi="Arial" w:cs="Arial"/>
                <w:sz w:val="20"/>
                <w:szCs w:val="20"/>
              </w:rPr>
              <w:t>0.</w:t>
            </w:r>
            <w:r w:rsidRPr="00401D9D">
              <w:rPr>
                <w:rFonts w:ascii="Arial" w:hAnsi="Arial" w:cs="Arial"/>
                <w:sz w:val="20"/>
                <w:szCs w:val="20"/>
              </w:rPr>
              <w:t>1</w:t>
            </w:r>
            <w:r w:rsidR="00147184" w:rsidRPr="00401D9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C6A4F3F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98.4%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56F1029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147184" w:rsidRPr="00401D9D" w14:paraId="6DAB2585" w14:textId="77777777" w:rsidTr="00401D9D">
        <w:trPr>
          <w:trHeight w:val="423"/>
        </w:trPr>
        <w:tc>
          <w:tcPr>
            <w:tcW w:w="1696" w:type="dxa"/>
            <w:tcBorders>
              <w:top w:val="nil"/>
              <w:bottom w:val="nil"/>
            </w:tcBorders>
          </w:tcPr>
          <w:p w14:paraId="12BBD705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5 mg/kg q24h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4B34921D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19.1%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3AD63E53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821BD2F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75.6%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51639568" w14:textId="3A51496B" w:rsidR="00147184" w:rsidRPr="00401D9D" w:rsidRDefault="00EC727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184" w:rsidRPr="00401D9D">
              <w:rPr>
                <w:rFonts w:ascii="Arial" w:hAnsi="Arial" w:cs="Arial"/>
                <w:sz w:val="20"/>
                <w:szCs w:val="20"/>
              </w:rPr>
              <w:t>1.</w:t>
            </w:r>
            <w:r w:rsidRPr="00401D9D">
              <w:rPr>
                <w:rFonts w:ascii="Arial" w:hAnsi="Arial" w:cs="Arial"/>
                <w:sz w:val="20"/>
                <w:szCs w:val="20"/>
              </w:rPr>
              <w:t>8</w:t>
            </w:r>
            <w:r w:rsidR="00147184" w:rsidRPr="00401D9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74678EBF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93.2%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43DC18AB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</w:tr>
      <w:tr w:rsidR="00147184" w:rsidRPr="00401D9D" w14:paraId="3525BDB2" w14:textId="77777777" w:rsidTr="00401D9D">
        <w:trPr>
          <w:trHeight w:val="429"/>
        </w:trPr>
        <w:tc>
          <w:tcPr>
            <w:tcW w:w="1696" w:type="dxa"/>
            <w:tcBorders>
              <w:top w:val="nil"/>
              <w:bottom w:val="nil"/>
            </w:tcBorders>
          </w:tcPr>
          <w:p w14:paraId="59CB5182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6 mg/kg q24h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14:paraId="6802BB2C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60.1%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auto"/>
          </w:tcPr>
          <w:p w14:paraId="4BD363BF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07A66B49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90.7%</w:t>
            </w: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</w:tcPr>
          <w:p w14:paraId="166E7B48" w14:textId="4791AAC6" w:rsidR="00147184" w:rsidRPr="00401D9D" w:rsidRDefault="00EC727F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47184" w:rsidRPr="00401D9D">
              <w:rPr>
                <w:rFonts w:ascii="Arial" w:hAnsi="Arial" w:cs="Arial"/>
                <w:sz w:val="20"/>
                <w:szCs w:val="20"/>
              </w:rPr>
              <w:t>9.</w:t>
            </w:r>
            <w:r w:rsidRPr="00401D9D">
              <w:rPr>
                <w:rFonts w:ascii="Arial" w:hAnsi="Arial" w:cs="Arial"/>
                <w:sz w:val="20"/>
                <w:szCs w:val="20"/>
              </w:rPr>
              <w:t>1</w:t>
            </w:r>
            <w:r w:rsidR="00147184" w:rsidRPr="00401D9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277C2FA2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86.8%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</w:tcPr>
          <w:p w14:paraId="623C0F59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99.9%</w:t>
            </w:r>
          </w:p>
        </w:tc>
      </w:tr>
      <w:tr w:rsidR="00147184" w:rsidRPr="00401D9D" w14:paraId="44F3CA0C" w14:textId="77777777" w:rsidTr="00401D9D">
        <w:tc>
          <w:tcPr>
            <w:tcW w:w="1696" w:type="dxa"/>
            <w:tcBorders>
              <w:top w:val="nil"/>
            </w:tcBorders>
          </w:tcPr>
          <w:p w14:paraId="03EB32E1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7 mg/kg q24h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710B93B6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82.3%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</w:tcPr>
          <w:p w14:paraId="642EB33D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6E9F0A64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97.1%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</w:tcPr>
          <w:p w14:paraId="665E995C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24.8%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62E4227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80.6%</w:t>
            </w: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47ACA2F1" w14:textId="77777777" w:rsidR="00147184" w:rsidRPr="00401D9D" w:rsidRDefault="00147184" w:rsidP="00401D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1D9D">
              <w:rPr>
                <w:rFonts w:ascii="Arial" w:hAnsi="Arial" w:cs="Arial"/>
                <w:sz w:val="20"/>
                <w:szCs w:val="20"/>
              </w:rPr>
              <w:t>99.5%</w:t>
            </w:r>
          </w:p>
        </w:tc>
      </w:tr>
    </w:tbl>
    <w:p w14:paraId="502DE867" w14:textId="77777777" w:rsidR="002D57DF" w:rsidRPr="002D57DF" w:rsidRDefault="002D57DF" w:rsidP="00647DE1">
      <w:pPr>
        <w:widowControl/>
        <w:spacing w:after="160" w:line="480" w:lineRule="auto"/>
        <w:rPr>
          <w:rFonts w:ascii="Times New Roman" w:hAnsi="Times New Roman" w:cs="Times New Roman"/>
          <w:kern w:val="0"/>
          <w:sz w:val="24"/>
          <w:szCs w:val="24"/>
        </w:rPr>
      </w:pPr>
    </w:p>
    <w:sectPr w:rsidR="002D57DF" w:rsidRPr="002D57DF" w:rsidSect="002D57D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25BFD" w14:textId="77777777" w:rsidR="004B06F1" w:rsidRDefault="004B06F1" w:rsidP="002D57DF">
      <w:r>
        <w:separator/>
      </w:r>
    </w:p>
  </w:endnote>
  <w:endnote w:type="continuationSeparator" w:id="0">
    <w:p w14:paraId="1C40C254" w14:textId="77777777" w:rsidR="004B06F1" w:rsidRDefault="004B06F1" w:rsidP="002D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17D1C" w14:textId="77777777" w:rsidR="004B06F1" w:rsidRDefault="004B06F1" w:rsidP="002D57DF">
      <w:r>
        <w:separator/>
      </w:r>
    </w:p>
  </w:footnote>
  <w:footnote w:type="continuationSeparator" w:id="0">
    <w:p w14:paraId="6BAB7820" w14:textId="77777777" w:rsidR="004B06F1" w:rsidRDefault="004B06F1" w:rsidP="002D57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89"/>
    <w:rsid w:val="00004042"/>
    <w:rsid w:val="00012241"/>
    <w:rsid w:val="00051705"/>
    <w:rsid w:val="00054C7A"/>
    <w:rsid w:val="000A6BDF"/>
    <w:rsid w:val="000B6B45"/>
    <w:rsid w:val="000C3375"/>
    <w:rsid w:val="000E4E2F"/>
    <w:rsid w:val="000F2EDC"/>
    <w:rsid w:val="00103491"/>
    <w:rsid w:val="00147184"/>
    <w:rsid w:val="001E1591"/>
    <w:rsid w:val="00245889"/>
    <w:rsid w:val="00264ED3"/>
    <w:rsid w:val="00281F1F"/>
    <w:rsid w:val="002C70DD"/>
    <w:rsid w:val="002D57DF"/>
    <w:rsid w:val="002F5BC0"/>
    <w:rsid w:val="003349E9"/>
    <w:rsid w:val="00342FD6"/>
    <w:rsid w:val="00353BB3"/>
    <w:rsid w:val="00356285"/>
    <w:rsid w:val="003971AE"/>
    <w:rsid w:val="003A0C34"/>
    <w:rsid w:val="003A11CC"/>
    <w:rsid w:val="003A5096"/>
    <w:rsid w:val="003C5FE6"/>
    <w:rsid w:val="00401D9D"/>
    <w:rsid w:val="004620AD"/>
    <w:rsid w:val="00477035"/>
    <w:rsid w:val="004B06F1"/>
    <w:rsid w:val="004C04CD"/>
    <w:rsid w:val="004D1D21"/>
    <w:rsid w:val="004D2E99"/>
    <w:rsid w:val="004D7418"/>
    <w:rsid w:val="004E5A9D"/>
    <w:rsid w:val="00532912"/>
    <w:rsid w:val="005E75AF"/>
    <w:rsid w:val="00647DE1"/>
    <w:rsid w:val="00651EAA"/>
    <w:rsid w:val="00654A3F"/>
    <w:rsid w:val="006821A9"/>
    <w:rsid w:val="00686A38"/>
    <w:rsid w:val="00692BE2"/>
    <w:rsid w:val="006A1E49"/>
    <w:rsid w:val="006C0A83"/>
    <w:rsid w:val="006D5594"/>
    <w:rsid w:val="006E4083"/>
    <w:rsid w:val="00744A4B"/>
    <w:rsid w:val="007715A3"/>
    <w:rsid w:val="00772A67"/>
    <w:rsid w:val="007A6F32"/>
    <w:rsid w:val="007D7C17"/>
    <w:rsid w:val="00804126"/>
    <w:rsid w:val="008951FA"/>
    <w:rsid w:val="008976F9"/>
    <w:rsid w:val="008B7362"/>
    <w:rsid w:val="0091726C"/>
    <w:rsid w:val="00921E6B"/>
    <w:rsid w:val="00925300"/>
    <w:rsid w:val="009301A8"/>
    <w:rsid w:val="009665C0"/>
    <w:rsid w:val="0097510F"/>
    <w:rsid w:val="009A2CD5"/>
    <w:rsid w:val="009B146C"/>
    <w:rsid w:val="009B1993"/>
    <w:rsid w:val="009B368F"/>
    <w:rsid w:val="009F5244"/>
    <w:rsid w:val="00AB52C3"/>
    <w:rsid w:val="00AE3372"/>
    <w:rsid w:val="00B108F3"/>
    <w:rsid w:val="00B13772"/>
    <w:rsid w:val="00B14A4E"/>
    <w:rsid w:val="00B84306"/>
    <w:rsid w:val="00BD67B5"/>
    <w:rsid w:val="00C14921"/>
    <w:rsid w:val="00C20407"/>
    <w:rsid w:val="00C604DC"/>
    <w:rsid w:val="00C60F47"/>
    <w:rsid w:val="00C65EAB"/>
    <w:rsid w:val="00C73190"/>
    <w:rsid w:val="00CC3FE2"/>
    <w:rsid w:val="00CF48BB"/>
    <w:rsid w:val="00D059D1"/>
    <w:rsid w:val="00D32ACF"/>
    <w:rsid w:val="00D45822"/>
    <w:rsid w:val="00D64C80"/>
    <w:rsid w:val="00DA1489"/>
    <w:rsid w:val="00DD4E52"/>
    <w:rsid w:val="00E924E0"/>
    <w:rsid w:val="00EC60ED"/>
    <w:rsid w:val="00EC727F"/>
    <w:rsid w:val="00ED5AE8"/>
    <w:rsid w:val="00EE08AA"/>
    <w:rsid w:val="00F0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671D7"/>
  <w15:chartTrackingRefBased/>
  <w15:docId w15:val="{253C4C2C-5025-4653-863B-DC7DB62F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44A4B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A4B"/>
    <w:pPr>
      <w:widowControl/>
      <w:spacing w:after="160" w:line="259" w:lineRule="auto"/>
      <w:jc w:val="left"/>
    </w:pPr>
    <w:rPr>
      <w:kern w:val="0"/>
      <w:sz w:val="22"/>
      <w:lang w:val="nl-B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4A4B"/>
    <w:rPr>
      <w:kern w:val="0"/>
      <w:sz w:val="22"/>
      <w:lang w:val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4CD"/>
    <w:pPr>
      <w:widowControl w:val="0"/>
      <w:spacing w:after="0" w:line="240" w:lineRule="auto"/>
    </w:pPr>
    <w:rPr>
      <w:b/>
      <w:bCs/>
      <w:kern w:val="2"/>
      <w:sz w:val="21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4CD"/>
    <w:rPr>
      <w:b/>
      <w:bCs/>
      <w:kern w:val="0"/>
      <w:sz w:val="22"/>
      <w:lang w:val="nl-BE"/>
    </w:rPr>
  </w:style>
  <w:style w:type="paragraph" w:styleId="Header">
    <w:name w:val="header"/>
    <w:basedOn w:val="Normal"/>
    <w:link w:val="HeaderChar"/>
    <w:uiPriority w:val="99"/>
    <w:unhideWhenUsed/>
    <w:rsid w:val="002D5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D57D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D5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D57DF"/>
    <w:rPr>
      <w:sz w:val="18"/>
      <w:szCs w:val="18"/>
    </w:rPr>
  </w:style>
  <w:style w:type="table" w:styleId="TableGrid">
    <w:name w:val="Table Grid"/>
    <w:basedOn w:val="TableNormal"/>
    <w:uiPriority w:val="39"/>
    <w:rsid w:val="002D5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D5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SHA</dc:creator>
  <cp:keywords/>
  <dc:description/>
  <cp:lastModifiedBy>Lee, Boon</cp:lastModifiedBy>
  <cp:revision>2</cp:revision>
  <dcterms:created xsi:type="dcterms:W3CDTF">2021-12-30T23:14:00Z</dcterms:created>
  <dcterms:modified xsi:type="dcterms:W3CDTF">2021-12-30T23:14:00Z</dcterms:modified>
</cp:coreProperties>
</file>