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61FE" w14:textId="4207D6A3" w:rsidR="00C83273" w:rsidRPr="008B1693" w:rsidRDefault="008B1693" w:rsidP="00C83273">
      <w:pPr>
        <w:widowControl w:val="0"/>
        <w:rPr>
          <w:rFonts w:cs="Arial"/>
        </w:rPr>
      </w:pPr>
      <w:r w:rsidRPr="008B1693">
        <w:rPr>
          <w:rFonts w:cs="Arial"/>
          <w:b/>
          <w:bCs/>
        </w:rPr>
        <w:t xml:space="preserve">Supplementary </w:t>
      </w:r>
      <w:r w:rsidR="00C83273" w:rsidRPr="008B1693">
        <w:rPr>
          <w:rFonts w:cs="Arial"/>
          <w:b/>
          <w:bCs/>
        </w:rPr>
        <w:t>Table 1</w:t>
      </w:r>
      <w:r w:rsidR="00C83273" w:rsidRPr="008B1693">
        <w:rPr>
          <w:rFonts w:cs="Arial"/>
        </w:rPr>
        <w:t xml:space="preserve"> Genetic heterogeneity of Meier-Gorlin syndrome</w:t>
      </w:r>
    </w:p>
    <w:tbl>
      <w:tblPr>
        <w:tblStyle w:val="a3"/>
        <w:tblW w:w="9345" w:type="dxa"/>
        <w:jc w:val="center"/>
        <w:tblLook w:val="04A0" w:firstRow="1" w:lastRow="0" w:firstColumn="1" w:lastColumn="0" w:noHBand="0" w:noVBand="1"/>
      </w:tblPr>
      <w:tblGrid>
        <w:gridCol w:w="2547"/>
        <w:gridCol w:w="1283"/>
        <w:gridCol w:w="985"/>
        <w:gridCol w:w="1094"/>
        <w:gridCol w:w="3436"/>
      </w:tblGrid>
      <w:tr w:rsidR="008B1693" w:rsidRPr="008B1693" w14:paraId="023ECE41" w14:textId="1EAEC8E8" w:rsidTr="00F011FE">
        <w:trPr>
          <w:trHeight w:val="460"/>
          <w:jc w:val="center"/>
        </w:trPr>
        <w:tc>
          <w:tcPr>
            <w:tcW w:w="2547" w:type="dxa"/>
            <w:noWrap/>
            <w:vAlign w:val="center"/>
            <w:hideMark/>
          </w:tcPr>
          <w:p w14:paraId="2902FE81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8B1693">
              <w:rPr>
                <w:rFonts w:cs="Arial"/>
                <w:b/>
                <w:bCs/>
              </w:rPr>
              <w:t>Phenotype</w:t>
            </w:r>
          </w:p>
        </w:tc>
        <w:tc>
          <w:tcPr>
            <w:tcW w:w="1283" w:type="dxa"/>
            <w:noWrap/>
            <w:vAlign w:val="center"/>
            <w:hideMark/>
          </w:tcPr>
          <w:p w14:paraId="72EA5B4D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8B1693">
              <w:rPr>
                <w:rFonts w:cs="Arial"/>
                <w:b/>
                <w:bCs/>
              </w:rPr>
              <w:t>Inheritance</w:t>
            </w:r>
          </w:p>
        </w:tc>
        <w:tc>
          <w:tcPr>
            <w:tcW w:w="985" w:type="dxa"/>
            <w:noWrap/>
            <w:vAlign w:val="center"/>
            <w:hideMark/>
          </w:tcPr>
          <w:p w14:paraId="23BD7AE8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8B1693">
              <w:rPr>
                <w:rFonts w:cs="Arial"/>
                <w:b/>
                <w:bCs/>
              </w:rPr>
              <w:t># OMIM</w:t>
            </w:r>
          </w:p>
        </w:tc>
        <w:tc>
          <w:tcPr>
            <w:tcW w:w="992" w:type="dxa"/>
            <w:noWrap/>
            <w:vAlign w:val="center"/>
            <w:hideMark/>
          </w:tcPr>
          <w:p w14:paraId="3720D958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8B1693">
              <w:rPr>
                <w:rFonts w:cs="Arial"/>
                <w:b/>
                <w:bCs/>
              </w:rPr>
              <w:t>Gene</w:t>
            </w:r>
          </w:p>
        </w:tc>
        <w:tc>
          <w:tcPr>
            <w:tcW w:w="3538" w:type="dxa"/>
            <w:vAlign w:val="center"/>
          </w:tcPr>
          <w:p w14:paraId="325E1EDC" w14:textId="41E5F638" w:rsidR="000B1F3E" w:rsidRPr="008B1693" w:rsidRDefault="00153379" w:rsidP="003361A8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8B1693">
              <w:rPr>
                <w:rFonts w:cs="Arial"/>
                <w:b/>
                <w:bCs/>
              </w:rPr>
              <w:t>Protein</w:t>
            </w:r>
            <w:r w:rsidR="0004718B" w:rsidRPr="008B1693">
              <w:rPr>
                <w:rFonts w:cs="Arial"/>
                <w:b/>
                <w:bCs/>
              </w:rPr>
              <w:t xml:space="preserve"> function</w:t>
            </w:r>
          </w:p>
        </w:tc>
      </w:tr>
      <w:tr w:rsidR="008B1693" w:rsidRPr="008B1693" w14:paraId="5B0B78D3" w14:textId="5FD2A8B3" w:rsidTr="00F011FE">
        <w:trPr>
          <w:trHeight w:val="460"/>
          <w:jc w:val="center"/>
        </w:trPr>
        <w:tc>
          <w:tcPr>
            <w:tcW w:w="2547" w:type="dxa"/>
            <w:vAlign w:val="center"/>
            <w:hideMark/>
          </w:tcPr>
          <w:p w14:paraId="3E7B3974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bookmarkStart w:id="0" w:name="_Hlk71608081"/>
            <w:r w:rsidRPr="008B1693">
              <w:rPr>
                <w:rFonts w:cs="Arial"/>
              </w:rPr>
              <w:t>Meier-Gorlin syndrome 1</w:t>
            </w:r>
          </w:p>
        </w:tc>
        <w:tc>
          <w:tcPr>
            <w:tcW w:w="1283" w:type="dxa"/>
            <w:vAlign w:val="center"/>
            <w:hideMark/>
          </w:tcPr>
          <w:p w14:paraId="1857E692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  <w:hideMark/>
          </w:tcPr>
          <w:p w14:paraId="7F3527D5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224690</w:t>
            </w:r>
          </w:p>
        </w:tc>
        <w:tc>
          <w:tcPr>
            <w:tcW w:w="992" w:type="dxa"/>
            <w:vAlign w:val="center"/>
            <w:hideMark/>
          </w:tcPr>
          <w:p w14:paraId="35460A72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ORC1</w:t>
            </w:r>
          </w:p>
        </w:tc>
        <w:tc>
          <w:tcPr>
            <w:tcW w:w="3538" w:type="dxa"/>
            <w:vAlign w:val="center"/>
          </w:tcPr>
          <w:p w14:paraId="2F9EBF82" w14:textId="6F299FEC" w:rsidR="000B1F3E" w:rsidRPr="008B1693" w:rsidRDefault="00153379" w:rsidP="001D4490">
            <w:pPr>
              <w:widowControl w:val="0"/>
              <w:spacing w:line="240" w:lineRule="auto"/>
              <w:rPr>
                <w:rFonts w:cs="Arial"/>
              </w:rPr>
            </w:pPr>
            <w:r w:rsidRPr="008B1693">
              <w:t>ORC1 is a subunit of the origin recognition complex</w:t>
            </w:r>
            <w:r w:rsidR="008F20F0" w:rsidRPr="008B1693">
              <w:t xml:space="preserve"> (ORC)</w:t>
            </w:r>
            <w:r w:rsidRPr="008B1693">
              <w:t>, a regulator of centriole and centrosome reduplication, and the initiation of DNA replication.</w:t>
            </w:r>
            <w:r w:rsidRPr="008B1693">
              <w:rPr>
                <w:vertAlign w:val="superscript"/>
              </w:rPr>
              <w:t>1</w:t>
            </w:r>
          </w:p>
        </w:tc>
      </w:tr>
      <w:tr w:rsidR="008B1693" w:rsidRPr="008B1693" w14:paraId="2EB1F6AF" w14:textId="7825A7F4" w:rsidTr="00F011FE">
        <w:trPr>
          <w:trHeight w:val="460"/>
          <w:jc w:val="center"/>
        </w:trPr>
        <w:tc>
          <w:tcPr>
            <w:tcW w:w="2547" w:type="dxa"/>
            <w:vAlign w:val="center"/>
            <w:hideMark/>
          </w:tcPr>
          <w:p w14:paraId="62272672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2</w:t>
            </w:r>
          </w:p>
        </w:tc>
        <w:tc>
          <w:tcPr>
            <w:tcW w:w="1283" w:type="dxa"/>
            <w:vAlign w:val="center"/>
            <w:hideMark/>
          </w:tcPr>
          <w:p w14:paraId="12FABD8E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  <w:hideMark/>
          </w:tcPr>
          <w:p w14:paraId="3846B7C5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613800</w:t>
            </w:r>
          </w:p>
        </w:tc>
        <w:tc>
          <w:tcPr>
            <w:tcW w:w="992" w:type="dxa"/>
            <w:vAlign w:val="center"/>
            <w:hideMark/>
          </w:tcPr>
          <w:p w14:paraId="0C04C97A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ORC4</w:t>
            </w:r>
          </w:p>
        </w:tc>
        <w:tc>
          <w:tcPr>
            <w:tcW w:w="3538" w:type="dxa"/>
            <w:vAlign w:val="center"/>
          </w:tcPr>
          <w:p w14:paraId="57A931A7" w14:textId="7DC32CCE" w:rsidR="000B1F3E" w:rsidRPr="008B1693" w:rsidRDefault="005114C2" w:rsidP="005114C2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t>ORC4 is a subunit of the origin recognition complex, a regulator of  the initiation of DNA replication.</w:t>
            </w:r>
            <w:r w:rsidRPr="008B1693">
              <w:rPr>
                <w:vertAlign w:val="superscript"/>
              </w:rPr>
              <w:t>2</w:t>
            </w:r>
          </w:p>
        </w:tc>
      </w:tr>
      <w:tr w:rsidR="008B1693" w:rsidRPr="008B1693" w14:paraId="56040D46" w14:textId="10E2B0CF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7C51553D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3</w:t>
            </w:r>
          </w:p>
        </w:tc>
        <w:tc>
          <w:tcPr>
            <w:tcW w:w="1283" w:type="dxa"/>
            <w:vAlign w:val="center"/>
          </w:tcPr>
          <w:p w14:paraId="573FF1CE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4B2C545C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613803</w:t>
            </w:r>
          </w:p>
        </w:tc>
        <w:tc>
          <w:tcPr>
            <w:tcW w:w="992" w:type="dxa"/>
            <w:vAlign w:val="center"/>
          </w:tcPr>
          <w:p w14:paraId="7EAD362B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ORC6</w:t>
            </w:r>
          </w:p>
        </w:tc>
        <w:tc>
          <w:tcPr>
            <w:tcW w:w="3538" w:type="dxa"/>
            <w:vAlign w:val="center"/>
          </w:tcPr>
          <w:p w14:paraId="63A5A035" w14:textId="26C26C6B" w:rsidR="000B1F3E" w:rsidRPr="008B1693" w:rsidRDefault="000D7A96" w:rsidP="000D7A96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ORC6 is a subunit of the origin recognition complex, implicating in coordinating DNA replication, chromosome segregation, and cytokinesis.</w:t>
            </w:r>
            <w:r w:rsidRPr="008B1693">
              <w:rPr>
                <w:rFonts w:cs="Arial"/>
                <w:vertAlign w:val="superscript"/>
              </w:rPr>
              <w:t>3</w:t>
            </w:r>
          </w:p>
        </w:tc>
      </w:tr>
      <w:tr w:rsidR="008B1693" w:rsidRPr="008B1693" w14:paraId="383383E5" w14:textId="63FFF522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747E27CB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4</w:t>
            </w:r>
          </w:p>
        </w:tc>
        <w:tc>
          <w:tcPr>
            <w:tcW w:w="1283" w:type="dxa"/>
            <w:vAlign w:val="center"/>
          </w:tcPr>
          <w:p w14:paraId="26C99022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1DAB25B8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613804</w:t>
            </w:r>
          </w:p>
        </w:tc>
        <w:tc>
          <w:tcPr>
            <w:tcW w:w="992" w:type="dxa"/>
            <w:vAlign w:val="center"/>
          </w:tcPr>
          <w:p w14:paraId="49D2D49E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CDT1</w:t>
            </w:r>
          </w:p>
        </w:tc>
        <w:tc>
          <w:tcPr>
            <w:tcW w:w="3538" w:type="dxa"/>
            <w:vAlign w:val="center"/>
          </w:tcPr>
          <w:p w14:paraId="6D6BF80F" w14:textId="25F606C7" w:rsidR="000B1F3E" w:rsidRPr="008B1693" w:rsidRDefault="001D4490" w:rsidP="001D4490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CDT1 a licensing factor limiting DNA replication during cell cycle.</w:t>
            </w:r>
            <w:r w:rsidRPr="008B1693">
              <w:rPr>
                <w:rFonts w:cs="Arial"/>
                <w:vertAlign w:val="superscript"/>
              </w:rPr>
              <w:t>4</w:t>
            </w:r>
          </w:p>
        </w:tc>
      </w:tr>
      <w:tr w:rsidR="008B1693" w:rsidRPr="008B1693" w14:paraId="28A50BA6" w14:textId="62184811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2B57C182" w14:textId="2827A766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5</w:t>
            </w:r>
          </w:p>
        </w:tc>
        <w:tc>
          <w:tcPr>
            <w:tcW w:w="1283" w:type="dxa"/>
            <w:vAlign w:val="center"/>
          </w:tcPr>
          <w:p w14:paraId="60A75F7B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1006E7EC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613805</w:t>
            </w:r>
          </w:p>
        </w:tc>
        <w:tc>
          <w:tcPr>
            <w:tcW w:w="992" w:type="dxa"/>
            <w:vAlign w:val="center"/>
          </w:tcPr>
          <w:p w14:paraId="73FC1456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CDC6</w:t>
            </w:r>
          </w:p>
        </w:tc>
        <w:tc>
          <w:tcPr>
            <w:tcW w:w="3538" w:type="dxa"/>
            <w:vAlign w:val="center"/>
          </w:tcPr>
          <w:p w14:paraId="58918E50" w14:textId="252A4CB4" w:rsidR="000B1F3E" w:rsidRPr="008B1693" w:rsidRDefault="008F20F0" w:rsidP="008F20F0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CDC6</w:t>
            </w:r>
            <w:r w:rsidRPr="008B1693">
              <w:t xml:space="preserve"> is a regulator of DNA replication, playing important role in the assembly of </w:t>
            </w:r>
            <w:proofErr w:type="spellStart"/>
            <w:r w:rsidRPr="008B1693">
              <w:t>prereplicative</w:t>
            </w:r>
            <w:proofErr w:type="spellEnd"/>
            <w:r w:rsidRPr="008B1693">
              <w:t xml:space="preserve"> complexes at ORC during the G1 phase of the cell division cycle, and the activation and maintenance of the checkpoint mechanisms that coordinate S phase and mitosis.</w:t>
            </w:r>
            <w:r w:rsidRPr="008B1693">
              <w:rPr>
                <w:vertAlign w:val="superscript"/>
              </w:rPr>
              <w:t>5</w:t>
            </w:r>
          </w:p>
        </w:tc>
      </w:tr>
      <w:tr w:rsidR="008B1693" w:rsidRPr="008B1693" w14:paraId="1C823B42" w14:textId="630D809B" w:rsidTr="00F011FE">
        <w:trPr>
          <w:trHeight w:val="460"/>
          <w:jc w:val="center"/>
        </w:trPr>
        <w:tc>
          <w:tcPr>
            <w:tcW w:w="2547" w:type="dxa"/>
            <w:vAlign w:val="center"/>
            <w:hideMark/>
          </w:tcPr>
          <w:p w14:paraId="5EBCA210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6</w:t>
            </w:r>
          </w:p>
        </w:tc>
        <w:tc>
          <w:tcPr>
            <w:tcW w:w="1283" w:type="dxa"/>
            <w:vAlign w:val="center"/>
            <w:hideMark/>
          </w:tcPr>
          <w:p w14:paraId="05A239F3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AD</w:t>
            </w:r>
          </w:p>
        </w:tc>
        <w:tc>
          <w:tcPr>
            <w:tcW w:w="985" w:type="dxa"/>
            <w:vAlign w:val="center"/>
            <w:hideMark/>
          </w:tcPr>
          <w:p w14:paraId="3B95D59A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616835</w:t>
            </w:r>
          </w:p>
        </w:tc>
        <w:tc>
          <w:tcPr>
            <w:tcW w:w="992" w:type="dxa"/>
            <w:vAlign w:val="center"/>
            <w:hideMark/>
          </w:tcPr>
          <w:p w14:paraId="7E3042DE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GMNN</w:t>
            </w:r>
          </w:p>
        </w:tc>
        <w:tc>
          <w:tcPr>
            <w:tcW w:w="3538" w:type="dxa"/>
            <w:vAlign w:val="center"/>
          </w:tcPr>
          <w:p w14:paraId="180BA994" w14:textId="5667059C" w:rsidR="000B1F3E" w:rsidRPr="008B1693" w:rsidRDefault="00C62A02" w:rsidP="00F43094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GMNN is the DNA replication inhibitor.</w:t>
            </w:r>
            <w:r w:rsidRPr="008B1693">
              <w:rPr>
                <w:rFonts w:cs="Arial"/>
                <w:vertAlign w:val="superscript"/>
              </w:rPr>
              <w:t>6</w:t>
            </w:r>
          </w:p>
        </w:tc>
      </w:tr>
      <w:tr w:rsidR="008B1693" w:rsidRPr="008B1693" w14:paraId="6DB888AF" w14:textId="1275627E" w:rsidTr="00F011FE">
        <w:trPr>
          <w:trHeight w:val="460"/>
          <w:jc w:val="center"/>
        </w:trPr>
        <w:tc>
          <w:tcPr>
            <w:tcW w:w="2547" w:type="dxa"/>
            <w:vAlign w:val="center"/>
            <w:hideMark/>
          </w:tcPr>
          <w:p w14:paraId="4B280926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7</w:t>
            </w:r>
          </w:p>
        </w:tc>
        <w:tc>
          <w:tcPr>
            <w:tcW w:w="1283" w:type="dxa"/>
            <w:vAlign w:val="center"/>
            <w:hideMark/>
          </w:tcPr>
          <w:p w14:paraId="59F3DD28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  <w:hideMark/>
          </w:tcPr>
          <w:p w14:paraId="7B782603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617063</w:t>
            </w:r>
          </w:p>
        </w:tc>
        <w:tc>
          <w:tcPr>
            <w:tcW w:w="992" w:type="dxa"/>
            <w:vAlign w:val="center"/>
            <w:hideMark/>
          </w:tcPr>
          <w:p w14:paraId="4B57432A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CDC45L</w:t>
            </w:r>
          </w:p>
        </w:tc>
        <w:tc>
          <w:tcPr>
            <w:tcW w:w="3538" w:type="dxa"/>
            <w:vAlign w:val="center"/>
          </w:tcPr>
          <w:p w14:paraId="3C503971" w14:textId="58E8F990" w:rsidR="000B1F3E" w:rsidRPr="008B1693" w:rsidRDefault="007F29FE" w:rsidP="007F29FE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CDC45L is essential for establishment of an initiation complex at DNA origins, and for chromosome unwinding and DNA synthesis at replication forks.</w:t>
            </w:r>
            <w:r w:rsidRPr="008B1693">
              <w:rPr>
                <w:rFonts w:cs="Arial"/>
                <w:vertAlign w:val="superscript"/>
              </w:rPr>
              <w:t>7</w:t>
            </w:r>
          </w:p>
        </w:tc>
      </w:tr>
      <w:tr w:rsidR="008B1693" w:rsidRPr="008B1693" w14:paraId="27FBBCD7" w14:textId="6CB86A55" w:rsidTr="00F011FE">
        <w:trPr>
          <w:trHeight w:val="460"/>
          <w:jc w:val="center"/>
        </w:trPr>
        <w:tc>
          <w:tcPr>
            <w:tcW w:w="2547" w:type="dxa"/>
            <w:vAlign w:val="center"/>
            <w:hideMark/>
          </w:tcPr>
          <w:p w14:paraId="5B608707" w14:textId="52FFC12F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 8</w:t>
            </w:r>
          </w:p>
        </w:tc>
        <w:tc>
          <w:tcPr>
            <w:tcW w:w="1283" w:type="dxa"/>
            <w:vAlign w:val="center"/>
            <w:hideMark/>
          </w:tcPr>
          <w:p w14:paraId="2128EF49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  <w:hideMark/>
          </w:tcPr>
          <w:p w14:paraId="3A7091E5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617564</w:t>
            </w:r>
          </w:p>
        </w:tc>
        <w:tc>
          <w:tcPr>
            <w:tcW w:w="992" w:type="dxa"/>
            <w:vAlign w:val="center"/>
            <w:hideMark/>
          </w:tcPr>
          <w:p w14:paraId="0B99D7E2" w14:textId="77777777" w:rsidR="000B1F3E" w:rsidRPr="008B1693" w:rsidRDefault="000B1F3E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MCM5</w:t>
            </w:r>
          </w:p>
        </w:tc>
        <w:tc>
          <w:tcPr>
            <w:tcW w:w="3538" w:type="dxa"/>
            <w:vAlign w:val="center"/>
          </w:tcPr>
          <w:p w14:paraId="79D42740" w14:textId="211E5788" w:rsidR="000B1F3E" w:rsidRPr="008B1693" w:rsidRDefault="007E64FA" w:rsidP="00E05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both"/>
              <w:rPr>
                <w:rFonts w:cs="Arial"/>
                <w:szCs w:val="20"/>
              </w:rPr>
            </w:pPr>
            <w:r w:rsidRPr="008B1693">
              <w:rPr>
                <w:rFonts w:eastAsia="Arial Unicode MS" w:cs="Arial"/>
                <w:szCs w:val="20"/>
                <w:bdr w:val="nil"/>
              </w:rPr>
              <w:t xml:space="preserve">MCM5 is one the six subunits composing the </w:t>
            </w:r>
            <w:proofErr w:type="spellStart"/>
            <w:r w:rsidRPr="008B1693">
              <w:rPr>
                <w:rFonts w:eastAsia="Arial Unicode MS" w:cs="Arial"/>
                <w:szCs w:val="20"/>
                <w:bdr w:val="nil"/>
              </w:rPr>
              <w:t>minichromosome</w:t>
            </w:r>
            <w:proofErr w:type="spellEnd"/>
            <w:r w:rsidRPr="008B1693">
              <w:rPr>
                <w:rFonts w:eastAsia="Arial Unicode MS" w:cs="Arial"/>
                <w:szCs w:val="20"/>
                <w:bdr w:val="nil"/>
              </w:rPr>
              <w:t xml:space="preserve"> maintenance (MCM) complex involved in unwinding DNA</w:t>
            </w:r>
            <w:r w:rsidR="00E0542C" w:rsidRPr="008B1693">
              <w:rPr>
                <w:rFonts w:eastAsia="Arial Unicode MS" w:cs="Arial"/>
                <w:szCs w:val="20"/>
                <w:bdr w:val="nil"/>
              </w:rPr>
              <w:t>,</w:t>
            </w:r>
            <w:r w:rsidRPr="008B1693">
              <w:rPr>
                <w:rFonts w:eastAsia="Arial Unicode MS" w:cs="Arial"/>
                <w:szCs w:val="20"/>
                <w:bdr w:val="nil"/>
              </w:rPr>
              <w:t xml:space="preserve"> DNA replication licensing factor</w:t>
            </w:r>
            <w:r w:rsidR="00E0542C" w:rsidRPr="008B1693">
              <w:rPr>
                <w:rFonts w:eastAsia="Arial Unicode MS" w:cs="Arial"/>
                <w:szCs w:val="20"/>
                <w:bdr w:val="nil"/>
              </w:rPr>
              <w:t>,</w:t>
            </w:r>
            <w:r w:rsidRPr="008B1693">
              <w:rPr>
                <w:rFonts w:eastAsia="Arial Unicode MS" w:cs="Arial"/>
                <w:szCs w:val="20"/>
                <w:bdr w:val="nil"/>
              </w:rPr>
              <w:t xml:space="preserve"> limit</w:t>
            </w:r>
            <w:r w:rsidR="00E0542C" w:rsidRPr="008B1693">
              <w:rPr>
                <w:rFonts w:eastAsia="Arial Unicode MS" w:cs="Arial"/>
                <w:szCs w:val="20"/>
                <w:bdr w:val="nil"/>
              </w:rPr>
              <w:t>ing</w:t>
            </w:r>
            <w:r w:rsidRPr="008B1693">
              <w:rPr>
                <w:rFonts w:eastAsia="Arial Unicode MS" w:cs="Arial"/>
                <w:szCs w:val="20"/>
                <w:bdr w:val="nil"/>
              </w:rPr>
              <w:t xml:space="preserve"> the replication to once per cell cycle.</w:t>
            </w:r>
            <w:r w:rsidR="00E0542C" w:rsidRPr="008B1693">
              <w:rPr>
                <w:rFonts w:eastAsia="Arial Unicode MS" w:cs="Arial"/>
                <w:szCs w:val="20"/>
                <w:bdr w:val="nil"/>
                <w:vertAlign w:val="superscript"/>
              </w:rPr>
              <w:t>8</w:t>
            </w:r>
          </w:p>
        </w:tc>
      </w:tr>
      <w:tr w:rsidR="008B1693" w:rsidRPr="008B1693" w14:paraId="562991BF" w14:textId="77777777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70479ACB" w14:textId="71E4F0E8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</w:t>
            </w:r>
            <w:r w:rsidR="00AD5A4E" w:rsidRPr="008B1693">
              <w:rPr>
                <w:rFonts w:cs="Arial"/>
                <w:vertAlign w:val="superscript"/>
              </w:rPr>
              <w:t>11</w:t>
            </w:r>
          </w:p>
        </w:tc>
        <w:tc>
          <w:tcPr>
            <w:tcW w:w="1283" w:type="dxa"/>
            <w:vAlign w:val="center"/>
          </w:tcPr>
          <w:p w14:paraId="060A5423" w14:textId="36E3DA91" w:rsidR="0004718B" w:rsidRPr="008B1693" w:rsidRDefault="00E265DF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554A75E4" w14:textId="7015C912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249987FE" w14:textId="5F3C6248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MCM3</w:t>
            </w:r>
          </w:p>
        </w:tc>
        <w:tc>
          <w:tcPr>
            <w:tcW w:w="3538" w:type="dxa"/>
            <w:vAlign w:val="center"/>
          </w:tcPr>
          <w:p w14:paraId="3102DEC9" w14:textId="55E85DDF" w:rsidR="0004718B" w:rsidRPr="008B1693" w:rsidRDefault="00E0542C" w:rsidP="00E0542C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eastAsia="Arial Unicode MS" w:cs="Arial"/>
                <w:szCs w:val="20"/>
                <w:bdr w:val="nil"/>
              </w:rPr>
              <w:t>MCM3 is one the six subunits composing the MCM complex involved in unwinding DNA, DNA replication licensing factor, limiting the replication to once per cell cycle.</w:t>
            </w:r>
            <w:r w:rsidRPr="008B1693">
              <w:rPr>
                <w:rFonts w:eastAsia="Arial Unicode MS" w:cs="Arial"/>
                <w:szCs w:val="20"/>
                <w:bdr w:val="nil"/>
                <w:vertAlign w:val="superscript"/>
              </w:rPr>
              <w:t>8</w:t>
            </w:r>
          </w:p>
        </w:tc>
      </w:tr>
      <w:tr w:rsidR="008B1693" w:rsidRPr="008B1693" w14:paraId="11DFE680" w14:textId="77777777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1C12F0B4" w14:textId="11ADAB63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</w:t>
            </w:r>
            <w:r w:rsidR="00AD5A4E" w:rsidRPr="008B1693">
              <w:rPr>
                <w:rFonts w:cs="Arial"/>
                <w:vertAlign w:val="superscript"/>
              </w:rPr>
              <w:t>11</w:t>
            </w:r>
          </w:p>
        </w:tc>
        <w:tc>
          <w:tcPr>
            <w:tcW w:w="1283" w:type="dxa"/>
            <w:vAlign w:val="center"/>
          </w:tcPr>
          <w:p w14:paraId="1DA8E3E9" w14:textId="5E44B31B" w:rsidR="0004718B" w:rsidRPr="008B1693" w:rsidRDefault="00E265DF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733C3629" w14:textId="3BFA39B7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67F6BEE6" w14:textId="2FDCA0B2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MCM7</w:t>
            </w:r>
          </w:p>
        </w:tc>
        <w:tc>
          <w:tcPr>
            <w:tcW w:w="3538" w:type="dxa"/>
            <w:vAlign w:val="center"/>
          </w:tcPr>
          <w:p w14:paraId="00066F13" w14:textId="03C48E1D" w:rsidR="0004718B" w:rsidRPr="008B1693" w:rsidRDefault="00E0542C" w:rsidP="00E0542C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MCM7 is one the six subunits composing the MCM complex involved in unwinding DNA, DNA replication licensing factor, limiting the replication to once per cell cycle.</w:t>
            </w:r>
            <w:r w:rsidRPr="008B1693">
              <w:rPr>
                <w:rFonts w:cs="Arial"/>
                <w:vertAlign w:val="superscript"/>
              </w:rPr>
              <w:t>8</w:t>
            </w:r>
          </w:p>
        </w:tc>
      </w:tr>
      <w:tr w:rsidR="008B1693" w:rsidRPr="008B1693" w14:paraId="7B417603" w14:textId="77777777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2D78164A" w14:textId="2639E259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</w:t>
            </w:r>
            <w:r w:rsidR="00AD5A4E" w:rsidRPr="008B1693">
              <w:rPr>
                <w:rFonts w:cs="Arial"/>
                <w:vertAlign w:val="superscript"/>
              </w:rPr>
              <w:t>12</w:t>
            </w:r>
          </w:p>
        </w:tc>
        <w:tc>
          <w:tcPr>
            <w:tcW w:w="1283" w:type="dxa"/>
            <w:vAlign w:val="center"/>
          </w:tcPr>
          <w:p w14:paraId="72FBD0AD" w14:textId="0E6B4323" w:rsidR="0004718B" w:rsidRPr="008B1693" w:rsidRDefault="00E265DF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41816BBE" w14:textId="0984FCF9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1D0F2B45" w14:textId="4726042E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GINS2</w:t>
            </w:r>
          </w:p>
        </w:tc>
        <w:tc>
          <w:tcPr>
            <w:tcW w:w="3538" w:type="dxa"/>
            <w:vAlign w:val="center"/>
          </w:tcPr>
          <w:p w14:paraId="69FBC856" w14:textId="6C45D847" w:rsidR="0004718B" w:rsidRPr="008B1693" w:rsidRDefault="00A35444" w:rsidP="00A35444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 xml:space="preserve">GINS2 is </w:t>
            </w:r>
            <w:r w:rsidR="00821B11" w:rsidRPr="008B1693">
              <w:rPr>
                <w:rFonts w:cs="Arial"/>
              </w:rPr>
              <w:t>a</w:t>
            </w:r>
            <w:r w:rsidRPr="008B1693">
              <w:rPr>
                <w:rFonts w:cs="Arial"/>
              </w:rPr>
              <w:t xml:space="preserve"> unit of GINS complex playing role for establishing the initiation complex after </w:t>
            </w:r>
            <w:proofErr w:type="spellStart"/>
            <w:r w:rsidRPr="008B1693">
              <w:rPr>
                <w:rFonts w:cs="Arial"/>
              </w:rPr>
              <w:t>prereplicative</w:t>
            </w:r>
            <w:proofErr w:type="spellEnd"/>
            <w:r w:rsidRPr="008B1693">
              <w:rPr>
                <w:rFonts w:cs="Arial"/>
              </w:rPr>
              <w:t xml:space="preserve"> complex assembly and for the normal progression of the replisome.</w:t>
            </w:r>
            <w:r w:rsidRPr="008B1693">
              <w:rPr>
                <w:rFonts w:cs="Arial"/>
                <w:vertAlign w:val="superscript"/>
              </w:rPr>
              <w:t>9</w:t>
            </w:r>
          </w:p>
        </w:tc>
      </w:tr>
      <w:tr w:rsidR="003332A7" w:rsidRPr="008B1693" w14:paraId="3CF2CF75" w14:textId="77777777" w:rsidTr="00F011FE">
        <w:trPr>
          <w:trHeight w:val="460"/>
          <w:jc w:val="center"/>
        </w:trPr>
        <w:tc>
          <w:tcPr>
            <w:tcW w:w="2547" w:type="dxa"/>
            <w:vAlign w:val="center"/>
          </w:tcPr>
          <w:p w14:paraId="3F919A34" w14:textId="33D26DDB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Meier-Gorlin syndrome</w:t>
            </w:r>
            <w:r w:rsidR="00AD5A4E" w:rsidRPr="008B1693">
              <w:rPr>
                <w:rFonts w:cs="Arial"/>
                <w:vertAlign w:val="superscript"/>
              </w:rPr>
              <w:t>13</w:t>
            </w:r>
          </w:p>
        </w:tc>
        <w:tc>
          <w:tcPr>
            <w:tcW w:w="1283" w:type="dxa"/>
            <w:vAlign w:val="center"/>
          </w:tcPr>
          <w:p w14:paraId="4FD59BD3" w14:textId="6C307B0A" w:rsidR="0004718B" w:rsidRPr="008B1693" w:rsidRDefault="00F011FE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AR</w:t>
            </w:r>
          </w:p>
        </w:tc>
        <w:tc>
          <w:tcPr>
            <w:tcW w:w="985" w:type="dxa"/>
            <w:vAlign w:val="center"/>
          </w:tcPr>
          <w:p w14:paraId="50C7CCD0" w14:textId="4DE9879D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1C091544" w14:textId="4C285C03" w:rsidR="0004718B" w:rsidRPr="008B1693" w:rsidRDefault="0004718B" w:rsidP="003361A8">
            <w:pPr>
              <w:widowControl w:val="0"/>
              <w:spacing w:line="240" w:lineRule="auto"/>
              <w:jc w:val="center"/>
              <w:rPr>
                <w:rFonts w:cs="Arial"/>
                <w:i/>
                <w:iCs/>
              </w:rPr>
            </w:pPr>
            <w:r w:rsidRPr="008B1693">
              <w:rPr>
                <w:rFonts w:cs="Arial"/>
                <w:i/>
                <w:iCs/>
              </w:rPr>
              <w:t>DONSON</w:t>
            </w:r>
          </w:p>
        </w:tc>
        <w:tc>
          <w:tcPr>
            <w:tcW w:w="3538" w:type="dxa"/>
            <w:vAlign w:val="center"/>
          </w:tcPr>
          <w:p w14:paraId="2381930B" w14:textId="3B2CF1A3" w:rsidR="0004718B" w:rsidRPr="008B1693" w:rsidRDefault="0077785E" w:rsidP="003332A7">
            <w:pPr>
              <w:widowControl w:val="0"/>
              <w:spacing w:line="240" w:lineRule="auto"/>
              <w:jc w:val="both"/>
              <w:rPr>
                <w:rFonts w:cs="Arial"/>
              </w:rPr>
            </w:pPr>
            <w:r w:rsidRPr="008B1693">
              <w:rPr>
                <w:rFonts w:cs="Arial"/>
              </w:rPr>
              <w:t>DONSON</w:t>
            </w:r>
            <w:r w:rsidR="003332A7" w:rsidRPr="008B1693">
              <w:rPr>
                <w:rFonts w:cs="Arial"/>
              </w:rPr>
              <w:t xml:space="preserve"> is component of the replisome, ensuring replication fork stability, and promoting efficient activation of cell cycle checkpoints.</w:t>
            </w:r>
            <w:r w:rsidR="003332A7" w:rsidRPr="008B1693">
              <w:rPr>
                <w:rFonts w:cs="Arial"/>
                <w:vertAlign w:val="superscript"/>
              </w:rPr>
              <w:t>10</w:t>
            </w:r>
          </w:p>
        </w:tc>
      </w:tr>
      <w:bookmarkEnd w:id="0"/>
    </w:tbl>
    <w:p w14:paraId="7F883F5F" w14:textId="77777777" w:rsidR="00C83273" w:rsidRPr="008B1693" w:rsidRDefault="00C83273" w:rsidP="00C83273">
      <w:pPr>
        <w:widowControl w:val="0"/>
        <w:rPr>
          <w:rFonts w:cs="Arial"/>
        </w:rPr>
      </w:pPr>
    </w:p>
    <w:p w14:paraId="55DCBA1F" w14:textId="439AD5E8" w:rsidR="00C83273" w:rsidRPr="008B1693" w:rsidRDefault="00153379" w:rsidP="00C83273">
      <w:pPr>
        <w:widowControl w:val="0"/>
        <w:rPr>
          <w:rFonts w:ascii="Segoe UI" w:hAnsi="Segoe UI" w:cs="Segoe UI"/>
          <w:shd w:val="clear" w:color="auto" w:fill="FFFFFF"/>
        </w:rPr>
      </w:pPr>
      <w:bookmarkStart w:id="1" w:name="_Hlk84349506"/>
      <w:r w:rsidRPr="008B1693">
        <w:rPr>
          <w:rFonts w:cs="Arial"/>
        </w:rPr>
        <w:lastRenderedPageBreak/>
        <w:t>1.</w:t>
      </w:r>
      <w:r w:rsidRPr="008B1693">
        <w:rPr>
          <w:rFonts w:cs="Arial"/>
          <w:b/>
          <w:bCs/>
        </w:rPr>
        <w:t xml:space="preserve">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Hemerly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AS, Prasanth SG, Siddiqui K, Stillman B. Orc1 controls centriole and centrosome copy number in human cells. </w:t>
      </w:r>
      <w:r w:rsidRPr="008B1693">
        <w:rPr>
          <w:rFonts w:ascii="Segoe UI" w:hAnsi="Segoe UI" w:cs="Segoe UI"/>
          <w:i/>
          <w:iCs/>
          <w:shd w:val="clear" w:color="auto" w:fill="FFFFFF"/>
        </w:rPr>
        <w:t>Science</w:t>
      </w:r>
      <w:r w:rsidRPr="008B1693">
        <w:rPr>
          <w:rFonts w:ascii="Segoe UI" w:hAnsi="Segoe UI" w:cs="Segoe UI"/>
          <w:shd w:val="clear" w:color="auto" w:fill="FFFFFF"/>
        </w:rPr>
        <w:t>. 2009;323(5915):789-793. doi:10.1126/science.1166745</w:t>
      </w:r>
    </w:p>
    <w:p w14:paraId="260CF947" w14:textId="75827522" w:rsidR="005114C2" w:rsidRPr="008B1693" w:rsidRDefault="005114C2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2. Bicknell LS, Bongers EM, Leitch A, et al. Mutations in the pre-replication complex cause Meier-Gorlin syndrome. </w:t>
      </w:r>
      <w:r w:rsidRPr="008B1693">
        <w:rPr>
          <w:rFonts w:ascii="Segoe UI" w:hAnsi="Segoe UI" w:cs="Segoe UI"/>
          <w:i/>
          <w:iCs/>
          <w:shd w:val="clear" w:color="auto" w:fill="FFFFFF"/>
        </w:rPr>
        <w:t>Nat Genet.</w:t>
      </w:r>
      <w:r w:rsidRPr="008B1693">
        <w:rPr>
          <w:rFonts w:ascii="Segoe UI" w:hAnsi="Segoe UI" w:cs="Segoe UI"/>
          <w:shd w:val="clear" w:color="auto" w:fill="FFFFFF"/>
        </w:rPr>
        <w:t xml:space="preserve"> 2011;43(4):356-359. Published 2011 Feb 27. doi:10.1038/ng.775</w:t>
      </w:r>
    </w:p>
    <w:p w14:paraId="28D489BF" w14:textId="4066FA15" w:rsidR="000D7A96" w:rsidRPr="008B1693" w:rsidRDefault="000D7A96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3. Prasanth SG, Prasanth KV, Stillman B. Orc6 involved in DNA replication, chromosome segregation, and cytokinesis. </w:t>
      </w:r>
      <w:r w:rsidRPr="008B1693">
        <w:rPr>
          <w:rFonts w:ascii="Segoe UI" w:hAnsi="Segoe UI" w:cs="Segoe UI"/>
          <w:i/>
          <w:iCs/>
          <w:shd w:val="clear" w:color="auto" w:fill="FFFFFF"/>
        </w:rPr>
        <w:t>Science</w:t>
      </w:r>
      <w:r w:rsidRPr="008B1693">
        <w:rPr>
          <w:rFonts w:ascii="Segoe UI" w:hAnsi="Segoe UI" w:cs="Segoe UI"/>
          <w:shd w:val="clear" w:color="auto" w:fill="FFFFFF"/>
        </w:rPr>
        <w:t>. 2002;297(5583):1026-1031. doi:10.1126/science.1072802</w:t>
      </w:r>
    </w:p>
    <w:p w14:paraId="4994BBF7" w14:textId="267B9B39" w:rsidR="001D4490" w:rsidRPr="008B1693" w:rsidRDefault="001D4490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4. Wohlschlegel JA, Dwyer BT, Dhar SK,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Cvetic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C, Walter JC, Dutta A. Inhibition of eukaryotic DNA replication by geminin binding to Cdt1. </w:t>
      </w:r>
      <w:r w:rsidRPr="008B1693">
        <w:rPr>
          <w:rFonts w:ascii="Segoe UI" w:hAnsi="Segoe UI" w:cs="Segoe UI"/>
          <w:i/>
          <w:iCs/>
          <w:shd w:val="clear" w:color="auto" w:fill="FFFFFF"/>
        </w:rPr>
        <w:t>Science</w:t>
      </w:r>
      <w:r w:rsidRPr="008B1693">
        <w:rPr>
          <w:rFonts w:ascii="Segoe UI" w:hAnsi="Segoe UI" w:cs="Segoe UI"/>
          <w:shd w:val="clear" w:color="auto" w:fill="FFFFFF"/>
        </w:rPr>
        <w:t>. 2000;290(5500):2309-2312. doi:10.1126/science.290.5500.2309</w:t>
      </w:r>
    </w:p>
    <w:p w14:paraId="6EFEA010" w14:textId="4D7FCEBD" w:rsidR="008F20F0" w:rsidRPr="008B1693" w:rsidRDefault="008F20F0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>5. Borlado LR, Méndez J. CDC6: from DNA replication to cell cycle checkpoints and oncogenesis. </w:t>
      </w:r>
      <w:r w:rsidRPr="008B1693">
        <w:rPr>
          <w:rFonts w:ascii="Segoe UI" w:hAnsi="Segoe UI" w:cs="Segoe UI"/>
          <w:i/>
          <w:iCs/>
          <w:shd w:val="clear" w:color="auto" w:fill="FFFFFF"/>
        </w:rPr>
        <w:t>Carcinogenesis</w:t>
      </w:r>
      <w:r w:rsidRPr="008B1693">
        <w:rPr>
          <w:rFonts w:ascii="Segoe UI" w:hAnsi="Segoe UI" w:cs="Segoe UI"/>
          <w:shd w:val="clear" w:color="auto" w:fill="FFFFFF"/>
        </w:rPr>
        <w:t>. 2008;29(2):237-243. doi:10.1093/</w:t>
      </w:r>
      <w:proofErr w:type="spellStart"/>
      <w:r w:rsidRPr="008B1693">
        <w:rPr>
          <w:rFonts w:ascii="Segoe UI" w:hAnsi="Segoe UI" w:cs="Segoe UI"/>
          <w:shd w:val="clear" w:color="auto" w:fill="FFFFFF"/>
        </w:rPr>
        <w:t>carcin</w:t>
      </w:r>
      <w:proofErr w:type="spellEnd"/>
      <w:r w:rsidRPr="008B1693">
        <w:rPr>
          <w:rFonts w:ascii="Segoe UI" w:hAnsi="Segoe UI" w:cs="Segoe UI"/>
          <w:shd w:val="clear" w:color="auto" w:fill="FFFFFF"/>
        </w:rPr>
        <w:t>/bgm268</w:t>
      </w:r>
    </w:p>
    <w:p w14:paraId="3B2AF7C9" w14:textId="7CBAEACA" w:rsidR="00C62A02" w:rsidRPr="008B1693" w:rsidRDefault="00C62A02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6.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Burrage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LC,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Charng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WL,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Eldomery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MK, et al. De Novo GMNN Mutations Cause Autosomal-Dominant Primordial Dwarfism Associated with Meier-Gorlin Syndrome. </w:t>
      </w:r>
      <w:r w:rsidRPr="008B1693">
        <w:rPr>
          <w:rFonts w:ascii="Segoe UI" w:hAnsi="Segoe UI" w:cs="Segoe UI"/>
          <w:i/>
          <w:iCs/>
          <w:shd w:val="clear" w:color="auto" w:fill="FFFFFF"/>
        </w:rPr>
        <w:t>Am J Hum Genet</w:t>
      </w:r>
      <w:r w:rsidRPr="008B1693">
        <w:rPr>
          <w:rFonts w:ascii="Segoe UI" w:hAnsi="Segoe UI" w:cs="Segoe UI"/>
          <w:shd w:val="clear" w:color="auto" w:fill="FFFFFF"/>
        </w:rPr>
        <w:t>. 2015;97(6):904-913. doi:10.1016/j.ajhg.2015.11.006</w:t>
      </w:r>
    </w:p>
    <w:p w14:paraId="29CE53A6" w14:textId="013C4EF2" w:rsidR="007F29FE" w:rsidRPr="008B1693" w:rsidRDefault="007F29FE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7. Simon AC,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Sannino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V, Costanzo V, Pellegrini L. Structure of human Cdc45 and implications for CMG helicase function. </w:t>
      </w:r>
      <w:r w:rsidRPr="008B1693">
        <w:rPr>
          <w:rFonts w:ascii="Segoe UI" w:hAnsi="Segoe UI" w:cs="Segoe UI"/>
          <w:i/>
          <w:iCs/>
          <w:shd w:val="clear" w:color="auto" w:fill="FFFFFF"/>
        </w:rPr>
        <w:t xml:space="preserve">Nat </w:t>
      </w:r>
      <w:proofErr w:type="spellStart"/>
      <w:r w:rsidRPr="008B1693">
        <w:rPr>
          <w:rFonts w:ascii="Segoe UI" w:hAnsi="Segoe UI" w:cs="Segoe UI"/>
          <w:i/>
          <w:iCs/>
          <w:shd w:val="clear" w:color="auto" w:fill="FFFFFF"/>
        </w:rPr>
        <w:t>Commun</w:t>
      </w:r>
      <w:proofErr w:type="spellEnd"/>
      <w:r w:rsidRPr="008B1693">
        <w:rPr>
          <w:rFonts w:ascii="Segoe UI" w:hAnsi="Segoe UI" w:cs="Segoe UI"/>
          <w:shd w:val="clear" w:color="auto" w:fill="FFFFFF"/>
        </w:rPr>
        <w:t>. 2016;7:11638. Published 2016 May 18. doi:10.1038/ncomms11638</w:t>
      </w:r>
    </w:p>
    <w:p w14:paraId="01AD54D0" w14:textId="12B68CD6" w:rsidR="00E70BD4" w:rsidRPr="008B1693" w:rsidRDefault="00E70BD4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8.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Bochman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ML,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Schwacha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A. The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Mcm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complex: unwinding the mechanism of a replicative helicase. </w:t>
      </w:r>
      <w:r w:rsidRPr="008B1693">
        <w:rPr>
          <w:rFonts w:ascii="Segoe UI" w:hAnsi="Segoe UI" w:cs="Segoe UI"/>
          <w:i/>
          <w:iCs/>
          <w:shd w:val="clear" w:color="auto" w:fill="FFFFFF"/>
        </w:rPr>
        <w:t>Microbiol Mol Biol Rev</w:t>
      </w:r>
      <w:r w:rsidRPr="008B1693">
        <w:rPr>
          <w:rFonts w:ascii="Segoe UI" w:hAnsi="Segoe UI" w:cs="Segoe UI"/>
          <w:shd w:val="clear" w:color="auto" w:fill="FFFFFF"/>
        </w:rPr>
        <w:t>. 2009;73(4):652-683. doi:10.1128/MMBR.00019-09</w:t>
      </w:r>
    </w:p>
    <w:p w14:paraId="0045ABA3" w14:textId="1AC0E966" w:rsidR="00B72980" w:rsidRPr="008B1693" w:rsidRDefault="00B72980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9.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Kamada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K, Kubota Y, Arata T, </w:t>
      </w:r>
      <w:proofErr w:type="spellStart"/>
      <w:r w:rsidRPr="008B1693">
        <w:rPr>
          <w:rFonts w:ascii="Segoe UI" w:hAnsi="Segoe UI" w:cs="Segoe UI"/>
          <w:shd w:val="clear" w:color="auto" w:fill="FFFFFF"/>
        </w:rPr>
        <w:t>Shindo</w:t>
      </w:r>
      <w:proofErr w:type="spellEnd"/>
      <w:r w:rsidRPr="008B1693">
        <w:rPr>
          <w:rFonts w:ascii="Segoe UI" w:hAnsi="Segoe UI" w:cs="Segoe UI"/>
          <w:shd w:val="clear" w:color="auto" w:fill="FFFFFF"/>
        </w:rPr>
        <w:t xml:space="preserve"> Y, Hanaoka F. Structure of the human GINS complex and its assembly and functional interface in replication initiation. </w:t>
      </w:r>
      <w:r w:rsidRPr="008B1693">
        <w:rPr>
          <w:rFonts w:ascii="Segoe UI" w:hAnsi="Segoe UI" w:cs="Segoe UI"/>
          <w:i/>
          <w:iCs/>
          <w:shd w:val="clear" w:color="auto" w:fill="FFFFFF"/>
        </w:rPr>
        <w:t>Nat Struct Mol Biol</w:t>
      </w:r>
      <w:r w:rsidRPr="008B1693">
        <w:rPr>
          <w:rFonts w:ascii="Segoe UI" w:hAnsi="Segoe UI" w:cs="Segoe UI"/>
          <w:shd w:val="clear" w:color="auto" w:fill="FFFFFF"/>
        </w:rPr>
        <w:t>. 2007;14(5):388-396. doi:10.1038/nsmb1231</w:t>
      </w:r>
    </w:p>
    <w:p w14:paraId="75C69B89" w14:textId="1B81D592" w:rsidR="00AD5A4E" w:rsidRPr="008B1693" w:rsidRDefault="00AD5A4E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10. </w:t>
      </w:r>
      <w:r w:rsidR="0077785E" w:rsidRPr="008B1693">
        <w:rPr>
          <w:rFonts w:ascii="Segoe UI" w:hAnsi="Segoe UI" w:cs="Segoe UI"/>
          <w:shd w:val="clear" w:color="auto" w:fill="FFFFFF"/>
        </w:rPr>
        <w:t>Reynolds JJ, Bicknell LS, Carroll P, et al. Mutations in DONSON disrupt replication fork stability and cause microcephalic dwarfism. </w:t>
      </w:r>
      <w:r w:rsidR="0077785E" w:rsidRPr="008B1693">
        <w:rPr>
          <w:rFonts w:ascii="Segoe UI" w:hAnsi="Segoe UI" w:cs="Segoe UI"/>
          <w:i/>
          <w:iCs/>
          <w:shd w:val="clear" w:color="auto" w:fill="FFFFFF"/>
        </w:rPr>
        <w:t>Nat Genet</w:t>
      </w:r>
      <w:r w:rsidR="0077785E" w:rsidRPr="008B1693">
        <w:rPr>
          <w:rFonts w:ascii="Segoe UI" w:hAnsi="Segoe UI" w:cs="Segoe UI"/>
          <w:shd w:val="clear" w:color="auto" w:fill="FFFFFF"/>
        </w:rPr>
        <w:t>. 2017;49(4):537-549. doi:10.1038/ng.3790</w:t>
      </w:r>
    </w:p>
    <w:p w14:paraId="5EEB14AF" w14:textId="67E3E143" w:rsidR="003332A7" w:rsidRPr="008B1693" w:rsidRDefault="003332A7" w:rsidP="00C83273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>11. Knapp KM, Jenkins DE, Sullivan R, et al. MCM complex members MCM3 and MCM7 are associated with a phenotypic spectrum from Meier-Gorlin syndrome to lipodystrophy and adrenal insufficiency. </w:t>
      </w:r>
      <w:r w:rsidRPr="008B1693">
        <w:rPr>
          <w:rFonts w:ascii="Segoe UI" w:hAnsi="Segoe UI" w:cs="Segoe UI"/>
          <w:i/>
          <w:iCs/>
          <w:shd w:val="clear" w:color="auto" w:fill="FFFFFF"/>
        </w:rPr>
        <w:t>Eur J Hum Genet</w:t>
      </w:r>
      <w:r w:rsidRPr="008B1693">
        <w:rPr>
          <w:rFonts w:ascii="Segoe UI" w:hAnsi="Segoe UI" w:cs="Segoe UI"/>
          <w:shd w:val="clear" w:color="auto" w:fill="FFFFFF"/>
        </w:rPr>
        <w:t>. 2021;29(7):1110-1120. doi:10.1038/s41431-021-00839-4</w:t>
      </w:r>
    </w:p>
    <w:p w14:paraId="603A7037" w14:textId="6B3EAA84" w:rsidR="003332A7" w:rsidRPr="008B1693" w:rsidRDefault="003332A7" w:rsidP="003332A7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 xml:space="preserve">12. Biallelic </w:t>
      </w:r>
      <w:r w:rsidRPr="008B1693">
        <w:rPr>
          <w:rFonts w:ascii="Segoe UI" w:hAnsi="Segoe UI" w:cs="Segoe UI"/>
          <w:i/>
          <w:iCs/>
          <w:shd w:val="clear" w:color="auto" w:fill="FFFFFF"/>
        </w:rPr>
        <w:t xml:space="preserve">GINS2 </w:t>
      </w:r>
      <w:r w:rsidRPr="008B1693">
        <w:rPr>
          <w:rFonts w:ascii="Segoe UI" w:hAnsi="Segoe UI" w:cs="Segoe UI"/>
          <w:shd w:val="clear" w:color="auto" w:fill="FFFFFF"/>
        </w:rPr>
        <w:t>variant p.(Arg114Leu) causes Meier-Gorlin</w:t>
      </w:r>
    </w:p>
    <w:p w14:paraId="5E2089EE" w14:textId="77777777" w:rsidR="005B488A" w:rsidRPr="008B1693" w:rsidRDefault="005B488A" w:rsidP="003332A7">
      <w:pPr>
        <w:widowControl w:val="0"/>
        <w:rPr>
          <w:rFonts w:ascii="Segoe UI" w:hAnsi="Segoe UI" w:cs="Segoe UI"/>
          <w:shd w:val="clear" w:color="auto" w:fill="FFFFFF"/>
        </w:rPr>
      </w:pPr>
    </w:p>
    <w:p w14:paraId="0B13E49E" w14:textId="3CEFE292" w:rsidR="003332A7" w:rsidRPr="008B1693" w:rsidRDefault="003332A7" w:rsidP="003332A7">
      <w:pPr>
        <w:widowControl w:val="0"/>
        <w:rPr>
          <w:rFonts w:ascii="Segoe UI" w:hAnsi="Segoe UI" w:cs="Segoe UI"/>
          <w:shd w:val="clear" w:color="auto" w:fill="FFFFFF"/>
        </w:rPr>
      </w:pPr>
      <w:r w:rsidRPr="008B1693">
        <w:rPr>
          <w:rFonts w:ascii="Segoe UI" w:hAnsi="Segoe UI" w:cs="Segoe UI"/>
          <w:shd w:val="clear" w:color="auto" w:fill="FFFFFF"/>
        </w:rPr>
        <w:t>syndrome with craniosynostosis</w:t>
      </w:r>
    </w:p>
    <w:p w14:paraId="00431C04" w14:textId="6D6572ED" w:rsidR="003332A7" w:rsidRPr="008B1693" w:rsidRDefault="003332A7" w:rsidP="00C83273">
      <w:pPr>
        <w:widowControl w:val="0"/>
        <w:rPr>
          <w:rFonts w:cs="Arial"/>
          <w:b/>
          <w:bCs/>
        </w:rPr>
      </w:pPr>
      <w:r w:rsidRPr="008B1693">
        <w:rPr>
          <w:rFonts w:ascii="Segoe UI" w:hAnsi="Segoe UI" w:cs="Segoe UI"/>
          <w:shd w:val="clear" w:color="auto" w:fill="FFFFFF"/>
        </w:rPr>
        <w:t>13. Knapp KM, Sullivan R, Murray J, et al. Linked-read genome sequencing identifies biallelic pathogenic variants in </w:t>
      </w:r>
      <w:r w:rsidRPr="008B1693">
        <w:rPr>
          <w:rFonts w:ascii="Segoe UI" w:hAnsi="Segoe UI" w:cs="Segoe UI"/>
          <w:i/>
          <w:iCs/>
          <w:shd w:val="clear" w:color="auto" w:fill="FFFFFF"/>
        </w:rPr>
        <w:t>DONSON</w:t>
      </w:r>
      <w:r w:rsidRPr="008B1693">
        <w:rPr>
          <w:rFonts w:ascii="Segoe UI" w:hAnsi="Segoe UI" w:cs="Segoe UI"/>
          <w:shd w:val="clear" w:color="auto" w:fill="FFFFFF"/>
        </w:rPr>
        <w:t> as a novel cause of Meier-Gorlin syndrome. </w:t>
      </w:r>
      <w:r w:rsidRPr="008B1693">
        <w:rPr>
          <w:rFonts w:ascii="Segoe UI" w:hAnsi="Segoe UI" w:cs="Segoe UI"/>
          <w:i/>
          <w:iCs/>
          <w:shd w:val="clear" w:color="auto" w:fill="FFFFFF"/>
        </w:rPr>
        <w:t>J Med Genet</w:t>
      </w:r>
      <w:r w:rsidRPr="008B1693">
        <w:rPr>
          <w:rFonts w:ascii="Segoe UI" w:hAnsi="Segoe UI" w:cs="Segoe UI"/>
          <w:shd w:val="clear" w:color="auto" w:fill="FFFFFF"/>
        </w:rPr>
        <w:t>. 2020;57(3):195-202. doi:10.1136/jmedgenet-2019-106396</w:t>
      </w:r>
    </w:p>
    <w:p w14:paraId="3277FAFE" w14:textId="77777777" w:rsidR="00C83273" w:rsidRPr="008B1693" w:rsidRDefault="00C83273" w:rsidP="00C83273">
      <w:pPr>
        <w:widowControl w:val="0"/>
        <w:rPr>
          <w:rFonts w:cs="Arial"/>
          <w:b/>
          <w:bCs/>
        </w:rPr>
      </w:pPr>
    </w:p>
    <w:p w14:paraId="44148196" w14:textId="6C34E1B2" w:rsidR="00C83273" w:rsidRPr="008B1693" w:rsidRDefault="00C83273" w:rsidP="00C83273">
      <w:pPr>
        <w:widowControl w:val="0"/>
        <w:rPr>
          <w:rFonts w:cs="Arial"/>
          <w:b/>
          <w:bCs/>
        </w:rPr>
      </w:pPr>
    </w:p>
    <w:p w14:paraId="43C34DFE" w14:textId="3693EB81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3BE92B8" w14:textId="210F9B66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EC969E0" w14:textId="3FEF9DB4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681C872" w14:textId="1BF3B740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FC9D30F" w14:textId="2CB2EB39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6F6BE73" w14:textId="22F52C54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32B2513B" w14:textId="7DE31F8B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0D3E12E8" w14:textId="2168080E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2F09B649" w14:textId="22A2E703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5E85256C" w14:textId="34F97714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15A01BF" w14:textId="5501E12A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4427EDDC" w14:textId="4ADCF673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19E77857" w14:textId="60005DEC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0920090B" w14:textId="2D07AA76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1A2344F0" w14:textId="56187D62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048EFC69" w14:textId="7C75F985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54F2580E" w14:textId="7028EAEC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CC957C4" w14:textId="0338FA1C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3BDFBA0C" w14:textId="10F128D8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0EB89FB8" w14:textId="5BD400A0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6F28EF76" w14:textId="10776CF1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509B22C1" w14:textId="6A9131B5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5F2CE6A9" w14:textId="5899CF8A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1FBBBB6C" w14:textId="0011F35B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4BB1AAB9" w14:textId="79EF4BAE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4DC11F4F" w14:textId="2556327E" w:rsidR="003A5A74" w:rsidRPr="008B1693" w:rsidRDefault="008B1693" w:rsidP="003A5A74">
      <w:pPr>
        <w:widowControl w:val="0"/>
        <w:rPr>
          <w:rFonts w:cs="Arial"/>
        </w:rPr>
      </w:pPr>
      <w:r w:rsidRPr="008B1693">
        <w:rPr>
          <w:rFonts w:cs="Arial"/>
          <w:b/>
          <w:bCs/>
        </w:rPr>
        <w:t xml:space="preserve">Supplementary </w:t>
      </w:r>
      <w:r w:rsidR="003A5A74" w:rsidRPr="008B1693">
        <w:rPr>
          <w:rFonts w:cs="Arial"/>
          <w:b/>
          <w:bCs/>
        </w:rPr>
        <w:t>Table 2</w:t>
      </w:r>
      <w:r w:rsidR="003A5A74" w:rsidRPr="008B1693">
        <w:rPr>
          <w:rFonts w:cs="Arial"/>
        </w:rPr>
        <w:t xml:space="preserve"> Characterization of identified variants in the </w:t>
      </w:r>
      <w:r w:rsidR="003A5A74" w:rsidRPr="008B1693">
        <w:rPr>
          <w:rFonts w:cs="Arial"/>
          <w:i/>
          <w:iCs/>
        </w:rPr>
        <w:t>CDC6</w:t>
      </w:r>
      <w:r w:rsidR="003A5A74" w:rsidRPr="008B1693">
        <w:rPr>
          <w:rFonts w:cs="Arial"/>
        </w:rPr>
        <w:t xml:space="preserve"> gene (NM_001254.3)</w:t>
      </w:r>
    </w:p>
    <w:tbl>
      <w:tblPr>
        <w:tblW w:w="8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30" w:type="dxa"/>
          <w:bottom w:w="15" w:type="dxa"/>
          <w:right w:w="30" w:type="dxa"/>
        </w:tblCellMar>
        <w:tblLook w:val="0000" w:firstRow="0" w:lastRow="0" w:firstColumn="0" w:lastColumn="0" w:noHBand="0" w:noVBand="0"/>
      </w:tblPr>
      <w:tblGrid>
        <w:gridCol w:w="2130"/>
        <w:gridCol w:w="667"/>
        <w:gridCol w:w="1064"/>
        <w:gridCol w:w="1369"/>
        <w:gridCol w:w="1216"/>
        <w:gridCol w:w="1135"/>
        <w:gridCol w:w="1342"/>
      </w:tblGrid>
      <w:tr w:rsidR="008B1693" w:rsidRPr="008B1693" w14:paraId="5F7B5EF4" w14:textId="77777777" w:rsidTr="005B0564">
        <w:trPr>
          <w:trHeight w:val="434"/>
          <w:jc w:val="center"/>
        </w:trPr>
        <w:tc>
          <w:tcPr>
            <w:tcW w:w="2130" w:type="dxa"/>
            <w:tcBorders>
              <w:bottom w:val="single" w:sz="8" w:space="0" w:color="auto"/>
            </w:tcBorders>
            <w:vAlign w:val="center"/>
          </w:tcPr>
          <w:p w14:paraId="04DAF065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  <w:b/>
              </w:rPr>
            </w:pPr>
            <w:r w:rsidRPr="008B1693">
              <w:rPr>
                <w:rFonts w:cs="Arial"/>
                <w:b/>
              </w:rPr>
              <w:t>Position (GRCh37/hg19)</w:t>
            </w:r>
          </w:p>
        </w:tc>
        <w:tc>
          <w:tcPr>
            <w:tcW w:w="667" w:type="dxa"/>
            <w:tcBorders>
              <w:bottom w:val="single" w:sz="8" w:space="0" w:color="auto"/>
            </w:tcBorders>
            <w:vAlign w:val="center"/>
          </w:tcPr>
          <w:p w14:paraId="5E450C3C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  <w:b/>
              </w:rPr>
            </w:pPr>
            <w:r w:rsidRPr="008B1693">
              <w:rPr>
                <w:rFonts w:cs="Arial"/>
                <w:b/>
              </w:rPr>
              <w:t>Exon</w:t>
            </w:r>
          </w:p>
        </w:tc>
        <w:tc>
          <w:tcPr>
            <w:tcW w:w="1064" w:type="dxa"/>
            <w:tcBorders>
              <w:bottom w:val="single" w:sz="8" w:space="0" w:color="auto"/>
            </w:tcBorders>
            <w:vAlign w:val="center"/>
          </w:tcPr>
          <w:p w14:paraId="19F346D2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  <w:b/>
              </w:rPr>
            </w:pPr>
            <w:r w:rsidRPr="008B1693">
              <w:rPr>
                <w:rFonts w:cs="Arial"/>
                <w:b/>
              </w:rPr>
              <w:t>Position, cDNA</w:t>
            </w:r>
          </w:p>
        </w:tc>
        <w:tc>
          <w:tcPr>
            <w:tcW w:w="1369" w:type="dxa"/>
            <w:tcBorders>
              <w:bottom w:val="single" w:sz="8" w:space="0" w:color="auto"/>
            </w:tcBorders>
            <w:vAlign w:val="center"/>
          </w:tcPr>
          <w:p w14:paraId="24F0A4C8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  <w:b/>
              </w:rPr>
            </w:pPr>
            <w:r w:rsidRPr="008B1693">
              <w:rPr>
                <w:rFonts w:cs="Arial"/>
                <w:b/>
              </w:rPr>
              <w:t>Impact</w:t>
            </w:r>
          </w:p>
        </w:tc>
        <w:tc>
          <w:tcPr>
            <w:tcW w:w="1216" w:type="dxa"/>
            <w:tcBorders>
              <w:bottom w:val="single" w:sz="8" w:space="0" w:color="auto"/>
            </w:tcBorders>
            <w:vAlign w:val="center"/>
          </w:tcPr>
          <w:p w14:paraId="3EEE52DD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  <w:b/>
              </w:rPr>
            </w:pPr>
            <w:r w:rsidRPr="008B1693">
              <w:rPr>
                <w:rFonts w:cs="Arial"/>
                <w:b/>
              </w:rPr>
              <w:t>Allele frequency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vAlign w:val="center"/>
          </w:tcPr>
          <w:p w14:paraId="57EDC9B1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  <w:b/>
              </w:rPr>
              <w:t>Coverage Depth</w:t>
            </w:r>
          </w:p>
        </w:tc>
        <w:tc>
          <w:tcPr>
            <w:tcW w:w="1342" w:type="dxa"/>
            <w:tcBorders>
              <w:bottom w:val="single" w:sz="8" w:space="0" w:color="auto"/>
            </w:tcBorders>
            <w:vAlign w:val="center"/>
          </w:tcPr>
          <w:p w14:paraId="585F6A3C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  <w:b/>
              </w:rPr>
            </w:pPr>
            <w:r w:rsidRPr="008B1693">
              <w:rPr>
                <w:rFonts w:cs="Arial"/>
                <w:b/>
              </w:rPr>
              <w:t>Inheritance</w:t>
            </w:r>
          </w:p>
        </w:tc>
      </w:tr>
      <w:tr w:rsidR="008B1693" w:rsidRPr="008B1693" w14:paraId="1EC3B0DB" w14:textId="77777777" w:rsidTr="005B0564">
        <w:trPr>
          <w:trHeight w:val="459"/>
          <w:jc w:val="center"/>
        </w:trPr>
        <w:tc>
          <w:tcPr>
            <w:tcW w:w="2130" w:type="dxa"/>
            <w:vAlign w:val="center"/>
          </w:tcPr>
          <w:p w14:paraId="1AF6AAB5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bookmarkStart w:id="2" w:name="_Hlk71608541"/>
            <w:r w:rsidRPr="008B1693">
              <w:rPr>
                <w:rFonts w:cs="Arial"/>
              </w:rPr>
              <w:t>chr17:38447361A&gt;G</w:t>
            </w:r>
          </w:p>
        </w:tc>
        <w:tc>
          <w:tcPr>
            <w:tcW w:w="667" w:type="dxa"/>
            <w:vAlign w:val="center"/>
          </w:tcPr>
          <w:p w14:paraId="03FFA318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3</w:t>
            </w:r>
          </w:p>
        </w:tc>
        <w:tc>
          <w:tcPr>
            <w:tcW w:w="1064" w:type="dxa"/>
            <w:vAlign w:val="center"/>
          </w:tcPr>
          <w:p w14:paraId="0120922F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c.230A&gt;G</w:t>
            </w:r>
          </w:p>
        </w:tc>
        <w:tc>
          <w:tcPr>
            <w:tcW w:w="1369" w:type="dxa"/>
            <w:vAlign w:val="center"/>
          </w:tcPr>
          <w:p w14:paraId="5994CCF8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p.(Lys77Arg)</w:t>
            </w:r>
          </w:p>
        </w:tc>
        <w:tc>
          <w:tcPr>
            <w:tcW w:w="1216" w:type="dxa"/>
            <w:vAlign w:val="center"/>
          </w:tcPr>
          <w:p w14:paraId="3C883344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n/d</w:t>
            </w:r>
          </w:p>
        </w:tc>
        <w:tc>
          <w:tcPr>
            <w:tcW w:w="1135" w:type="dxa"/>
            <w:vAlign w:val="center"/>
          </w:tcPr>
          <w:p w14:paraId="50238F98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62х</w:t>
            </w:r>
          </w:p>
        </w:tc>
        <w:tc>
          <w:tcPr>
            <w:tcW w:w="1342" w:type="dxa"/>
            <w:vAlign w:val="center"/>
          </w:tcPr>
          <w:p w14:paraId="7F489687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maternal</w:t>
            </w:r>
          </w:p>
        </w:tc>
      </w:tr>
      <w:tr w:rsidR="003A5A74" w:rsidRPr="008B1693" w14:paraId="15C1909D" w14:textId="77777777" w:rsidTr="005B0564">
        <w:trPr>
          <w:trHeight w:val="459"/>
          <w:jc w:val="center"/>
        </w:trPr>
        <w:tc>
          <w:tcPr>
            <w:tcW w:w="2130" w:type="dxa"/>
            <w:vAlign w:val="center"/>
          </w:tcPr>
          <w:p w14:paraId="5464861E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chr17:38447363C&gt;T</w:t>
            </w:r>
          </w:p>
        </w:tc>
        <w:tc>
          <w:tcPr>
            <w:tcW w:w="667" w:type="dxa"/>
            <w:vAlign w:val="center"/>
          </w:tcPr>
          <w:p w14:paraId="2F7A0E75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3</w:t>
            </w:r>
          </w:p>
        </w:tc>
        <w:tc>
          <w:tcPr>
            <w:tcW w:w="1064" w:type="dxa"/>
            <w:vAlign w:val="center"/>
          </w:tcPr>
          <w:p w14:paraId="78896502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c.232C&gt;T</w:t>
            </w:r>
          </w:p>
        </w:tc>
        <w:tc>
          <w:tcPr>
            <w:tcW w:w="1369" w:type="dxa"/>
            <w:vAlign w:val="center"/>
          </w:tcPr>
          <w:p w14:paraId="49F4FB02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p.(Gln78Ter)</w:t>
            </w:r>
          </w:p>
        </w:tc>
        <w:tc>
          <w:tcPr>
            <w:tcW w:w="1216" w:type="dxa"/>
            <w:vAlign w:val="center"/>
          </w:tcPr>
          <w:p w14:paraId="564E4A2D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n/d</w:t>
            </w:r>
          </w:p>
        </w:tc>
        <w:tc>
          <w:tcPr>
            <w:tcW w:w="1135" w:type="dxa"/>
            <w:vAlign w:val="center"/>
          </w:tcPr>
          <w:p w14:paraId="14808102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62х</w:t>
            </w:r>
          </w:p>
        </w:tc>
        <w:tc>
          <w:tcPr>
            <w:tcW w:w="1342" w:type="dxa"/>
            <w:vAlign w:val="center"/>
          </w:tcPr>
          <w:p w14:paraId="20E1E958" w14:textId="77777777" w:rsidR="003A5A74" w:rsidRPr="008B1693" w:rsidRDefault="003A5A74" w:rsidP="005B0564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8B1693">
              <w:rPr>
                <w:rFonts w:cs="Arial"/>
              </w:rPr>
              <w:t>paternal</w:t>
            </w:r>
          </w:p>
        </w:tc>
      </w:tr>
      <w:bookmarkEnd w:id="2"/>
    </w:tbl>
    <w:p w14:paraId="3DD5A0FD" w14:textId="77777777" w:rsidR="003A5A74" w:rsidRPr="008B1693" w:rsidRDefault="003A5A74" w:rsidP="003A5A74">
      <w:pPr>
        <w:widowControl w:val="0"/>
        <w:rPr>
          <w:rFonts w:cs="Arial"/>
        </w:rPr>
      </w:pPr>
    </w:p>
    <w:p w14:paraId="6C373CD5" w14:textId="1E25A381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24FE4389" w14:textId="4971B709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2A87AD10" w14:textId="77777777" w:rsidR="003A5A74" w:rsidRPr="008B1693" w:rsidRDefault="003A5A74" w:rsidP="00C83273">
      <w:pPr>
        <w:widowControl w:val="0"/>
        <w:rPr>
          <w:rFonts w:cs="Arial"/>
          <w:b/>
          <w:bCs/>
        </w:rPr>
      </w:pPr>
    </w:p>
    <w:p w14:paraId="0E46FE54" w14:textId="77777777" w:rsidR="00C83273" w:rsidRPr="008B1693" w:rsidRDefault="00C83273" w:rsidP="00C83273">
      <w:pPr>
        <w:widowControl w:val="0"/>
        <w:rPr>
          <w:rFonts w:cs="Arial"/>
          <w:b/>
          <w:bCs/>
        </w:rPr>
      </w:pPr>
    </w:p>
    <w:p w14:paraId="53D26816" w14:textId="77777777" w:rsidR="00C83273" w:rsidRPr="008B1693" w:rsidRDefault="00C83273" w:rsidP="00C83273">
      <w:pPr>
        <w:widowControl w:val="0"/>
        <w:rPr>
          <w:rFonts w:cs="Arial"/>
          <w:b/>
          <w:bCs/>
        </w:rPr>
      </w:pPr>
    </w:p>
    <w:bookmarkEnd w:id="1"/>
    <w:p w14:paraId="13DD1D8E" w14:textId="77777777" w:rsidR="00C83273" w:rsidRPr="008B1693" w:rsidRDefault="00C83273" w:rsidP="00C83273">
      <w:pPr>
        <w:widowControl w:val="0"/>
        <w:rPr>
          <w:rFonts w:cs="Arial"/>
          <w:b/>
          <w:bCs/>
        </w:rPr>
      </w:pPr>
    </w:p>
    <w:sectPr w:rsidR="00C83273" w:rsidRPr="008B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73"/>
    <w:rsid w:val="0004718B"/>
    <w:rsid w:val="000B1F3E"/>
    <w:rsid w:val="000D7A96"/>
    <w:rsid w:val="00153379"/>
    <w:rsid w:val="001D4490"/>
    <w:rsid w:val="003332A7"/>
    <w:rsid w:val="003A5A74"/>
    <w:rsid w:val="00401BD3"/>
    <w:rsid w:val="0048322C"/>
    <w:rsid w:val="005114C2"/>
    <w:rsid w:val="005B488A"/>
    <w:rsid w:val="00674C5F"/>
    <w:rsid w:val="0077785E"/>
    <w:rsid w:val="007E64FA"/>
    <w:rsid w:val="007F29FE"/>
    <w:rsid w:val="00821B11"/>
    <w:rsid w:val="008B1693"/>
    <w:rsid w:val="008F20F0"/>
    <w:rsid w:val="00970B4D"/>
    <w:rsid w:val="00A35444"/>
    <w:rsid w:val="00AD5A4E"/>
    <w:rsid w:val="00B72980"/>
    <w:rsid w:val="00C1171F"/>
    <w:rsid w:val="00C13096"/>
    <w:rsid w:val="00C62A02"/>
    <w:rsid w:val="00C83273"/>
    <w:rsid w:val="00DA46AB"/>
    <w:rsid w:val="00E0542C"/>
    <w:rsid w:val="00E265DF"/>
    <w:rsid w:val="00E70BD4"/>
    <w:rsid w:val="00F011FE"/>
    <w:rsid w:val="00F4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528F"/>
  <w15:chartTrackingRefBased/>
  <w15:docId w15:val="{67D86B41-FF67-4158-B5F1-553F9DBB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73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Забненкова</dc:creator>
  <cp:keywords/>
  <dc:description/>
  <cp:lastModifiedBy>Виктория Забненкова</cp:lastModifiedBy>
  <cp:revision>3</cp:revision>
  <dcterms:created xsi:type="dcterms:W3CDTF">2021-12-20T07:55:00Z</dcterms:created>
  <dcterms:modified xsi:type="dcterms:W3CDTF">2021-12-20T07:58:00Z</dcterms:modified>
</cp:coreProperties>
</file>