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02"/>
        <w:gridCol w:w="2065"/>
        <w:gridCol w:w="2066"/>
        <w:gridCol w:w="2073"/>
      </w:tblGrid>
      <w:tr w:rsidR="00A404C3" w14:paraId="36F7A630" w14:textId="77777777" w:rsidTr="004E3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31D791E0" w14:textId="51473221" w:rsidR="00544949" w:rsidRPr="0005464D" w:rsidRDefault="00544949" w:rsidP="004E3D3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14:paraId="360415D1" w14:textId="77777777" w:rsidR="00A404C3" w:rsidRPr="0005464D" w:rsidRDefault="00A404C3" w:rsidP="004E3D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HR</w:t>
            </w:r>
          </w:p>
        </w:tc>
        <w:tc>
          <w:tcPr>
            <w:tcW w:w="2131" w:type="dxa"/>
          </w:tcPr>
          <w:p w14:paraId="55C5CBCA" w14:textId="77777777" w:rsidR="00A404C3" w:rsidRPr="0005464D" w:rsidRDefault="00A404C3" w:rsidP="004E3D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CI</w:t>
            </w:r>
          </w:p>
        </w:tc>
        <w:tc>
          <w:tcPr>
            <w:tcW w:w="2131" w:type="dxa"/>
          </w:tcPr>
          <w:p w14:paraId="2027EE8F" w14:textId="77777777" w:rsidR="00A404C3" w:rsidRPr="0005464D" w:rsidRDefault="00A404C3" w:rsidP="004E3D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i/>
                <w:sz w:val="28"/>
                <w:szCs w:val="28"/>
              </w:rPr>
              <w:t>P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-value</w:t>
            </w:r>
          </w:p>
        </w:tc>
      </w:tr>
      <w:tr w:rsidR="00A404C3" w14:paraId="638EAD7B" w14:textId="77777777" w:rsidTr="004E3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55AF48CB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MSX1</w:t>
            </w:r>
          </w:p>
        </w:tc>
        <w:tc>
          <w:tcPr>
            <w:tcW w:w="2130" w:type="dxa"/>
          </w:tcPr>
          <w:p w14:paraId="408866EB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0.870 </w:t>
            </w:r>
          </w:p>
        </w:tc>
        <w:tc>
          <w:tcPr>
            <w:tcW w:w="2131" w:type="dxa"/>
          </w:tcPr>
          <w:p w14:paraId="4BE110AC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0.817</w:t>
            </w: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 xml:space="preserve"> -</w:t>
            </w: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0.927 </w:t>
            </w:r>
          </w:p>
        </w:tc>
        <w:tc>
          <w:tcPr>
            <w:tcW w:w="2131" w:type="dxa"/>
          </w:tcPr>
          <w:p w14:paraId="14498562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0.0000</w:t>
            </w:r>
          </w:p>
        </w:tc>
      </w:tr>
      <w:tr w:rsidR="00A404C3" w14:paraId="596EC5A5" w14:textId="77777777" w:rsidTr="004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73A24051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ERMN</w:t>
            </w:r>
          </w:p>
        </w:tc>
        <w:tc>
          <w:tcPr>
            <w:tcW w:w="2130" w:type="dxa"/>
          </w:tcPr>
          <w:p w14:paraId="328A4E33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0.853 </w:t>
            </w:r>
          </w:p>
        </w:tc>
        <w:tc>
          <w:tcPr>
            <w:tcW w:w="2131" w:type="dxa"/>
          </w:tcPr>
          <w:p w14:paraId="7EE6CE38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0.790</w:t>
            </w:r>
            <w:r>
              <w:rPr>
                <w:rFonts w:ascii="Times New Roman" w:hAnsi="Times New Roman" w:hint="eastAsia"/>
                <w:color w:val="000000"/>
                <w:sz w:val="28"/>
                <w:szCs w:val="28"/>
              </w:rPr>
              <w:t xml:space="preserve"> -</w:t>
            </w: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0.921 </w:t>
            </w:r>
          </w:p>
        </w:tc>
        <w:tc>
          <w:tcPr>
            <w:tcW w:w="2131" w:type="dxa"/>
          </w:tcPr>
          <w:p w14:paraId="7782366C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0.0001</w:t>
            </w:r>
          </w:p>
        </w:tc>
      </w:tr>
      <w:tr w:rsidR="00A404C3" w14:paraId="37040ECB" w14:textId="77777777" w:rsidTr="004E3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09A120E3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RP11-968O1.5</w:t>
            </w:r>
          </w:p>
        </w:tc>
        <w:tc>
          <w:tcPr>
            <w:tcW w:w="2130" w:type="dxa"/>
          </w:tcPr>
          <w:p w14:paraId="0577650F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1.37 </w:t>
            </w:r>
          </w:p>
        </w:tc>
        <w:tc>
          <w:tcPr>
            <w:tcW w:w="2131" w:type="dxa"/>
          </w:tcPr>
          <w:p w14:paraId="506C9397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1.171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1.611</w:t>
            </w:r>
          </w:p>
        </w:tc>
        <w:tc>
          <w:tcPr>
            <w:tcW w:w="2131" w:type="dxa"/>
          </w:tcPr>
          <w:p w14:paraId="7066E8F6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0.0001</w:t>
            </w:r>
          </w:p>
        </w:tc>
      </w:tr>
      <w:tr w:rsidR="00A404C3" w14:paraId="003758FC" w14:textId="77777777" w:rsidTr="004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31B84B1A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DCAF12L1</w:t>
            </w:r>
          </w:p>
        </w:tc>
        <w:tc>
          <w:tcPr>
            <w:tcW w:w="2130" w:type="dxa"/>
          </w:tcPr>
          <w:p w14:paraId="0625F79F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1.139 </w:t>
            </w:r>
          </w:p>
        </w:tc>
        <w:tc>
          <w:tcPr>
            <w:tcW w:w="2131" w:type="dxa"/>
          </w:tcPr>
          <w:p w14:paraId="799933B3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1.064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1.219</w:t>
            </w:r>
          </w:p>
        </w:tc>
        <w:tc>
          <w:tcPr>
            <w:tcW w:w="2131" w:type="dxa"/>
          </w:tcPr>
          <w:p w14:paraId="056148ED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0.0002</w:t>
            </w:r>
          </w:p>
        </w:tc>
      </w:tr>
      <w:tr w:rsidR="00A404C3" w14:paraId="5561CF56" w14:textId="77777777" w:rsidTr="004E3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665D6774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ALS2CR11</w:t>
            </w:r>
          </w:p>
        </w:tc>
        <w:tc>
          <w:tcPr>
            <w:tcW w:w="2130" w:type="dxa"/>
          </w:tcPr>
          <w:p w14:paraId="2856B7EB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1.200 </w:t>
            </w:r>
          </w:p>
        </w:tc>
        <w:tc>
          <w:tcPr>
            <w:tcW w:w="2131" w:type="dxa"/>
          </w:tcPr>
          <w:p w14:paraId="21DA6E04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1.087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1.324</w:t>
            </w:r>
          </w:p>
        </w:tc>
        <w:tc>
          <w:tcPr>
            <w:tcW w:w="2131" w:type="dxa"/>
          </w:tcPr>
          <w:p w14:paraId="53BB5968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0.0003</w:t>
            </w:r>
          </w:p>
        </w:tc>
      </w:tr>
      <w:tr w:rsidR="00A404C3" w14:paraId="2977FFB2" w14:textId="77777777" w:rsidTr="004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245BE6F1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PDCL2</w:t>
            </w:r>
          </w:p>
        </w:tc>
        <w:tc>
          <w:tcPr>
            <w:tcW w:w="2130" w:type="dxa"/>
          </w:tcPr>
          <w:p w14:paraId="74B77713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1.144 </w:t>
            </w:r>
          </w:p>
        </w:tc>
        <w:tc>
          <w:tcPr>
            <w:tcW w:w="2131" w:type="dxa"/>
          </w:tcPr>
          <w:p w14:paraId="3D6017B4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1.060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1.236</w:t>
            </w:r>
          </w:p>
        </w:tc>
        <w:tc>
          <w:tcPr>
            <w:tcW w:w="2131" w:type="dxa"/>
          </w:tcPr>
          <w:p w14:paraId="2A7A1B59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0.0006</w:t>
            </w:r>
          </w:p>
        </w:tc>
      </w:tr>
      <w:tr w:rsidR="00A404C3" w14:paraId="778B5515" w14:textId="77777777" w:rsidTr="004E3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7B992BBF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AQP5</w:t>
            </w:r>
          </w:p>
        </w:tc>
        <w:tc>
          <w:tcPr>
            <w:tcW w:w="2130" w:type="dxa"/>
          </w:tcPr>
          <w:p w14:paraId="3E3047A8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0.886 </w:t>
            </w:r>
          </w:p>
        </w:tc>
        <w:tc>
          <w:tcPr>
            <w:tcW w:w="2131" w:type="dxa"/>
          </w:tcPr>
          <w:p w14:paraId="5D39C8E1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0.825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0.951</w:t>
            </w:r>
          </w:p>
        </w:tc>
        <w:tc>
          <w:tcPr>
            <w:tcW w:w="2131" w:type="dxa"/>
          </w:tcPr>
          <w:p w14:paraId="0CDC3935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0.0008</w:t>
            </w:r>
          </w:p>
        </w:tc>
      </w:tr>
      <w:tr w:rsidR="00A404C3" w14:paraId="4E9EE6BE" w14:textId="77777777" w:rsidTr="004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374BF4A0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SIT1</w:t>
            </w:r>
          </w:p>
        </w:tc>
        <w:tc>
          <w:tcPr>
            <w:tcW w:w="2130" w:type="dxa"/>
          </w:tcPr>
          <w:p w14:paraId="77F46A79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0.807 </w:t>
            </w:r>
          </w:p>
        </w:tc>
        <w:tc>
          <w:tcPr>
            <w:tcW w:w="2131" w:type="dxa"/>
          </w:tcPr>
          <w:p w14:paraId="76A5A7AE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0.710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0.918</w:t>
            </w:r>
          </w:p>
        </w:tc>
        <w:tc>
          <w:tcPr>
            <w:tcW w:w="2131" w:type="dxa"/>
          </w:tcPr>
          <w:p w14:paraId="4C1EA4A3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0.0011</w:t>
            </w:r>
          </w:p>
        </w:tc>
      </w:tr>
      <w:tr w:rsidR="00A404C3" w14:paraId="5F1FCE5E" w14:textId="77777777" w:rsidTr="004E3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4106E595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ZNF354C</w:t>
            </w:r>
          </w:p>
        </w:tc>
        <w:tc>
          <w:tcPr>
            <w:tcW w:w="2130" w:type="dxa"/>
          </w:tcPr>
          <w:p w14:paraId="40A267CF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1.323 </w:t>
            </w:r>
          </w:p>
        </w:tc>
        <w:tc>
          <w:tcPr>
            <w:tcW w:w="2131" w:type="dxa"/>
          </w:tcPr>
          <w:p w14:paraId="31755282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1.113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1.574</w:t>
            </w:r>
          </w:p>
        </w:tc>
        <w:tc>
          <w:tcPr>
            <w:tcW w:w="2131" w:type="dxa"/>
          </w:tcPr>
          <w:p w14:paraId="7CEB04B0" w14:textId="77777777" w:rsidR="00A404C3" w:rsidRPr="0005464D" w:rsidRDefault="00A404C3" w:rsidP="004E3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0.0015</w:t>
            </w:r>
          </w:p>
        </w:tc>
      </w:tr>
      <w:tr w:rsidR="00A404C3" w14:paraId="68955946" w14:textId="77777777" w:rsidTr="004E3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</w:tcPr>
          <w:p w14:paraId="623CE4DB" w14:textId="77777777" w:rsidR="00A404C3" w:rsidRPr="0005464D" w:rsidRDefault="00A404C3" w:rsidP="004E3D3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>RPS6KA6</w:t>
            </w:r>
          </w:p>
        </w:tc>
        <w:tc>
          <w:tcPr>
            <w:tcW w:w="2130" w:type="dxa"/>
          </w:tcPr>
          <w:p w14:paraId="5524974C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1.137 </w:t>
            </w:r>
          </w:p>
        </w:tc>
        <w:tc>
          <w:tcPr>
            <w:tcW w:w="2131" w:type="dxa"/>
          </w:tcPr>
          <w:p w14:paraId="77CD3478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1.048</w:t>
            </w:r>
            <w:r>
              <w:rPr>
                <w:rFonts w:ascii="Times New Roman" w:hAnsi="Times New Roman" w:hint="eastAsia"/>
                <w:sz w:val="28"/>
                <w:szCs w:val="28"/>
              </w:rPr>
              <w:t xml:space="preserve"> - </w:t>
            </w:r>
            <w:r w:rsidRPr="0005464D">
              <w:rPr>
                <w:rFonts w:ascii="Times New Roman" w:hAnsi="Times New Roman"/>
                <w:sz w:val="28"/>
                <w:szCs w:val="28"/>
              </w:rPr>
              <w:t>1.233</w:t>
            </w:r>
          </w:p>
        </w:tc>
        <w:tc>
          <w:tcPr>
            <w:tcW w:w="2131" w:type="dxa"/>
          </w:tcPr>
          <w:p w14:paraId="1662D516" w14:textId="77777777" w:rsidR="00A404C3" w:rsidRPr="0005464D" w:rsidRDefault="00A404C3" w:rsidP="004E3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05464D">
              <w:rPr>
                <w:rFonts w:ascii="Times New Roman" w:hAnsi="Times New Roman"/>
                <w:sz w:val="28"/>
                <w:szCs w:val="28"/>
              </w:rPr>
              <w:t>0.0020</w:t>
            </w:r>
          </w:p>
        </w:tc>
      </w:tr>
    </w:tbl>
    <w:p w14:paraId="02AD1437" w14:textId="0BB95224" w:rsidR="00F66899" w:rsidRDefault="00522893"/>
    <w:p w14:paraId="57AE8C75" w14:textId="77777777" w:rsidR="00A404C3" w:rsidRPr="00D5743B" w:rsidRDefault="00A404C3" w:rsidP="00A404C3">
      <w:pPr>
        <w:rPr>
          <w:rFonts w:ascii="Times New Roman" w:hAnsi="Times New Roman"/>
          <w:b/>
          <w:sz w:val="28"/>
          <w:szCs w:val="28"/>
        </w:rPr>
      </w:pPr>
      <w:r w:rsidRPr="00453BEA">
        <w:rPr>
          <w:rFonts w:ascii="Times New Roman" w:hAnsi="Times New Roman"/>
          <w:b/>
          <w:sz w:val="28"/>
          <w:szCs w:val="28"/>
        </w:rPr>
        <w:t>Supporting Table 1</w:t>
      </w:r>
    </w:p>
    <w:p w14:paraId="5E4F5B90" w14:textId="77777777" w:rsidR="00A404C3" w:rsidRDefault="00A404C3" w:rsidP="00A404C3">
      <w:pPr>
        <w:rPr>
          <w:rFonts w:ascii="Times New Roman" w:hAnsi="Times New Roman"/>
          <w:sz w:val="28"/>
          <w:szCs w:val="28"/>
        </w:rPr>
      </w:pPr>
      <w:r w:rsidRPr="00453BEA">
        <w:rPr>
          <w:rFonts w:ascii="Times New Roman" w:hAnsi="Times New Roman"/>
          <w:sz w:val="28"/>
          <w:szCs w:val="28"/>
        </w:rPr>
        <w:t xml:space="preserve">The top ten significantly prognosis-related methylation-driven genes in the results of the </w:t>
      </w:r>
      <w:r w:rsidRPr="00453BEA">
        <w:rPr>
          <w:rFonts w:ascii="Times New Roman" w:hAnsi="Times New Roman"/>
          <w:color w:val="000000"/>
          <w:sz w:val="28"/>
          <w:szCs w:val="28"/>
        </w:rPr>
        <w:t>univariate</w:t>
      </w:r>
      <w:r w:rsidRPr="00453BEA">
        <w:rPr>
          <w:rFonts w:ascii="Times New Roman" w:hAnsi="Times New Roman"/>
          <w:sz w:val="28"/>
          <w:szCs w:val="28"/>
        </w:rPr>
        <w:t xml:space="preserve"> Cox </w:t>
      </w:r>
      <w:r w:rsidRPr="00453BEA">
        <w:rPr>
          <w:rFonts w:ascii="Times New Roman" w:hAnsi="Times New Roman"/>
          <w:kern w:val="0"/>
          <w:sz w:val="28"/>
          <w:szCs w:val="28"/>
        </w:rPr>
        <w:t>regression</w:t>
      </w:r>
      <w:r>
        <w:rPr>
          <w:rFonts w:ascii="Times New Roman" w:hAnsi="Times New Roman"/>
          <w:sz w:val="28"/>
          <w:szCs w:val="28"/>
        </w:rPr>
        <w:t xml:space="preserve"> analys</w:t>
      </w:r>
      <w:r>
        <w:rPr>
          <w:rFonts w:ascii="Times New Roman" w:hAnsi="Times New Roman" w:hint="eastAsia"/>
          <w:sz w:val="28"/>
          <w:szCs w:val="28"/>
        </w:rPr>
        <w:t>is.</w:t>
      </w:r>
    </w:p>
    <w:p w14:paraId="25789535" w14:textId="77777777" w:rsidR="00A404C3" w:rsidRPr="00D43432" w:rsidRDefault="00A404C3" w:rsidP="00A404C3">
      <w:pPr>
        <w:autoSpaceDE w:val="0"/>
        <w:autoSpaceDN w:val="0"/>
        <w:adjustRightInd w:val="0"/>
        <w:spacing w:line="360" w:lineRule="auto"/>
        <w:ind w:leftChars="68" w:left="233" w:rightChars="175" w:right="368" w:hangingChars="32" w:hanging="90"/>
        <w:rPr>
          <w:rFonts w:ascii="Times New Roman" w:hAnsi="Times New Roman"/>
          <w:noProof/>
          <w:sz w:val="28"/>
          <w:szCs w:val="28"/>
        </w:rPr>
      </w:pPr>
    </w:p>
    <w:p w14:paraId="55B00E9F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20CC0D8B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0E52676B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27724485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64579F0C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383F03EC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1648D862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1E00C954" w14:textId="3D0224C1" w:rsidR="00A404C3" w:rsidRDefault="00A404C3" w:rsidP="00A404C3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942A3C">
        <w:rPr>
          <w:rFonts w:ascii="Times New Roman" w:hAnsi="Times New Roman" w:hint="eastAsia"/>
          <w:b/>
          <w:noProof/>
          <w:sz w:val="28"/>
          <w:szCs w:val="28"/>
        </w:rPr>
        <w:lastRenderedPageBreak/>
        <w:t>Supporting</w:t>
      </w:r>
      <w:r w:rsidRPr="00942A3C">
        <w:rPr>
          <w:rFonts w:ascii="Times New Roman" w:hAnsi="Times New Roman"/>
          <w:b/>
          <w:noProof/>
          <w:sz w:val="28"/>
          <w:szCs w:val="28"/>
        </w:rPr>
        <w:t xml:space="preserve"> Figure </w:t>
      </w:r>
      <w:r>
        <w:rPr>
          <w:rFonts w:ascii="Times New Roman" w:hAnsi="Times New Roman" w:hint="eastAsia"/>
          <w:b/>
          <w:noProof/>
          <w:sz w:val="28"/>
          <w:szCs w:val="28"/>
        </w:rPr>
        <w:t>1</w:t>
      </w:r>
      <w:r w:rsidRPr="00942A3C">
        <w:rPr>
          <w:rFonts w:ascii="Times New Roman" w:hAnsi="Times New Roman" w:hint="eastAsia"/>
          <w:b/>
          <w:noProof/>
          <w:sz w:val="28"/>
          <w:szCs w:val="28"/>
        </w:rPr>
        <w:t xml:space="preserve">. </w:t>
      </w:r>
      <w:r>
        <w:rPr>
          <w:rFonts w:ascii="Times New Roman" w:hAnsi="Times New Roman" w:hint="eastAsia"/>
          <w:noProof/>
          <w:sz w:val="28"/>
          <w:szCs w:val="28"/>
        </w:rPr>
        <w:t>P</w:t>
      </w:r>
      <w:r w:rsidRPr="00150D6F">
        <w:rPr>
          <w:rFonts w:ascii="Times New Roman" w:hAnsi="Times New Roman"/>
          <w:noProof/>
          <w:sz w:val="28"/>
          <w:szCs w:val="28"/>
        </w:rPr>
        <w:t xml:space="preserve">PI network </w:t>
      </w:r>
      <w:r>
        <w:rPr>
          <w:rFonts w:ascii="Times New Roman" w:hAnsi="Times New Roman"/>
          <w:noProof/>
          <w:sz w:val="28"/>
          <w:szCs w:val="28"/>
        </w:rPr>
        <w:t>shown in STRING database, which</w:t>
      </w:r>
    </w:p>
    <w:p w14:paraId="5123B673" w14:textId="7886073F" w:rsidR="00A404C3" w:rsidRDefault="0010589F" w:rsidP="00A404C3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ED81A0" wp14:editId="4D12CB11">
            <wp:simplePos x="0" y="0"/>
            <wp:positionH relativeFrom="margin">
              <wp:posOffset>29183</wp:posOffset>
            </wp:positionH>
            <wp:positionV relativeFrom="paragraph">
              <wp:posOffset>1455745</wp:posOffset>
            </wp:positionV>
            <wp:extent cx="5353050" cy="535305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4C3" w:rsidRPr="00D87FBF">
        <w:rPr>
          <w:rFonts w:ascii="Times New Roman" w:hAnsi="Times New Roman"/>
          <w:noProof/>
          <w:sz w:val="28"/>
          <w:szCs w:val="28"/>
        </w:rPr>
        <w:t>contained</w:t>
      </w:r>
      <w:r w:rsidR="00A404C3" w:rsidRPr="00004295">
        <w:rPr>
          <w:rFonts w:ascii="Times New Roman" w:hAnsi="Times New Roman" w:hint="eastAsia"/>
          <w:color w:val="000000"/>
          <w:sz w:val="28"/>
          <w:szCs w:val="28"/>
        </w:rPr>
        <w:t xml:space="preserve"> </w:t>
      </w:r>
      <w:r w:rsidR="00A404C3">
        <w:rPr>
          <w:rFonts w:ascii="Times New Roman" w:hAnsi="Times New Roman"/>
          <w:sz w:val="28"/>
          <w:szCs w:val="28"/>
        </w:rPr>
        <w:t xml:space="preserve">101 </w:t>
      </w:r>
      <w:r w:rsidR="00A404C3" w:rsidRPr="00811597">
        <w:rPr>
          <w:rFonts w:ascii="Times New Roman" w:hAnsi="Times New Roman"/>
          <w:sz w:val="28"/>
          <w:szCs w:val="28"/>
        </w:rPr>
        <w:t xml:space="preserve">nodes and </w:t>
      </w:r>
      <w:r w:rsidR="00A404C3">
        <w:rPr>
          <w:rFonts w:ascii="Times New Roman" w:hAnsi="Times New Roman"/>
          <w:sz w:val="28"/>
          <w:szCs w:val="28"/>
        </w:rPr>
        <w:t xml:space="preserve">21 </w:t>
      </w:r>
      <w:r w:rsidR="00A404C3" w:rsidRPr="00811597">
        <w:rPr>
          <w:rFonts w:ascii="Times New Roman" w:hAnsi="Times New Roman"/>
          <w:sz w:val="28"/>
          <w:szCs w:val="28"/>
        </w:rPr>
        <w:t>edges</w:t>
      </w:r>
      <w:r w:rsidR="00A404C3">
        <w:rPr>
          <w:rFonts w:ascii="Times New Roman" w:hAnsi="Times New Roman" w:hint="eastAsia"/>
          <w:sz w:val="28"/>
          <w:szCs w:val="28"/>
        </w:rPr>
        <w:t xml:space="preserve"> formed in</w:t>
      </w:r>
      <w:r w:rsidR="00A404C3">
        <w:rPr>
          <w:rFonts w:ascii="Times New Roman" w:hAnsi="Times New Roman" w:hint="eastAsia"/>
          <w:color w:val="000000"/>
          <w:sz w:val="28"/>
          <w:szCs w:val="28"/>
        </w:rPr>
        <w:t xml:space="preserve"> t</w:t>
      </w:r>
      <w:r w:rsidR="00A404C3">
        <w:rPr>
          <w:rFonts w:ascii="Times New Roman" w:hAnsi="Times New Roman"/>
          <w:color w:val="000000"/>
          <w:sz w:val="28"/>
          <w:szCs w:val="28"/>
        </w:rPr>
        <w:t>he network of 127</w:t>
      </w:r>
      <w:r w:rsidR="00A404C3">
        <w:rPr>
          <w:rFonts w:ascii="Times New Roman" w:hAnsi="Times New Roman" w:hint="eastAsia"/>
          <w:color w:val="000000"/>
          <w:sz w:val="28"/>
          <w:szCs w:val="28"/>
        </w:rPr>
        <w:t xml:space="preserve"> </w:t>
      </w:r>
      <w:r w:rsidR="00A404C3">
        <w:rPr>
          <w:rFonts w:ascii="Times New Roman" w:hAnsi="Times New Roman"/>
          <w:color w:val="000000"/>
          <w:sz w:val="28"/>
          <w:szCs w:val="28"/>
        </w:rPr>
        <w:t>methylation</w:t>
      </w:r>
      <w:r w:rsidR="00A404C3">
        <w:rPr>
          <w:rFonts w:ascii="Times New Roman" w:hAnsi="Times New Roman" w:hint="eastAsia"/>
          <w:color w:val="000000"/>
          <w:sz w:val="28"/>
          <w:szCs w:val="28"/>
        </w:rPr>
        <w:t>-</w:t>
      </w:r>
      <w:r w:rsidR="00A404C3">
        <w:rPr>
          <w:rFonts w:ascii="Times New Roman" w:hAnsi="Times New Roman"/>
          <w:color w:val="000000"/>
          <w:sz w:val="28"/>
          <w:szCs w:val="28"/>
        </w:rPr>
        <w:t>drive</w:t>
      </w:r>
      <w:r w:rsidR="00A404C3">
        <w:rPr>
          <w:rFonts w:ascii="Times New Roman" w:hAnsi="Times New Roman" w:hint="eastAsia"/>
          <w:color w:val="000000"/>
          <w:sz w:val="28"/>
          <w:szCs w:val="28"/>
        </w:rPr>
        <w:t>n</w:t>
      </w:r>
      <w:r w:rsidR="00A404C3">
        <w:rPr>
          <w:rFonts w:ascii="Times New Roman" w:hAnsi="Times New Roman"/>
          <w:color w:val="000000"/>
          <w:sz w:val="28"/>
          <w:szCs w:val="28"/>
        </w:rPr>
        <w:t xml:space="preserve"> gene</w:t>
      </w:r>
      <w:r w:rsidR="00A404C3">
        <w:rPr>
          <w:rFonts w:ascii="Times New Roman" w:hAnsi="Times New Roman" w:hint="eastAsia"/>
          <w:color w:val="000000"/>
          <w:sz w:val="28"/>
          <w:szCs w:val="28"/>
        </w:rPr>
        <w:t>s.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04C3">
        <w:rPr>
          <w:rFonts w:ascii="Times New Roman" w:hAnsi="Times New Roman" w:hint="eastAsia"/>
          <w:color w:val="000000"/>
          <w:sz w:val="28"/>
          <w:szCs w:val="28"/>
        </w:rPr>
        <w:t>PPI, protein-protein interaction; STRING,</w:t>
      </w:r>
      <w:r w:rsidR="00A404C3" w:rsidRPr="00982D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404C3" w:rsidRPr="005A66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Search Tool for the Retrieval of Interacting Genes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6AFA905F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6784D6E2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6E248A24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16006AC9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01B123D1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3D0B12D7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31CF170F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621B39FC" w14:textId="3A893D73" w:rsidR="00A404C3" w:rsidRDefault="00A404C3" w:rsidP="00A404C3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942A3C">
        <w:rPr>
          <w:rFonts w:ascii="Times New Roman" w:hAnsi="Times New Roman" w:hint="eastAsia"/>
          <w:b/>
          <w:noProof/>
          <w:sz w:val="28"/>
          <w:szCs w:val="28"/>
        </w:rPr>
        <w:t>Supporting</w:t>
      </w:r>
      <w:r w:rsidRPr="00942A3C">
        <w:rPr>
          <w:rFonts w:ascii="Times New Roman" w:hAnsi="Times New Roman"/>
          <w:b/>
          <w:noProof/>
          <w:sz w:val="28"/>
          <w:szCs w:val="28"/>
        </w:rPr>
        <w:t xml:space="preserve"> Figure 2. </w:t>
      </w:r>
      <w:r w:rsidRPr="007E3687">
        <w:rPr>
          <w:rFonts w:ascii="Times New Roman" w:hAnsi="Times New Roman"/>
          <w:noProof/>
          <w:sz w:val="28"/>
          <w:szCs w:val="28"/>
        </w:rPr>
        <w:t>Results of multivariate Cox proportional hazards regression analysis</w:t>
      </w:r>
      <w:r w:rsidR="00263EDE">
        <w:rPr>
          <w:rFonts w:ascii="Times New Roman" w:hAnsi="Times New Roman"/>
          <w:noProof/>
          <w:sz w:val="28"/>
          <w:szCs w:val="28"/>
        </w:rPr>
        <w:t xml:space="preserve">. *P&lt;0.05, **P&lt;0.01. </w:t>
      </w:r>
    </w:p>
    <w:p w14:paraId="433DAA4E" w14:textId="4C5B7389" w:rsidR="00544949" w:rsidRDefault="00544949" w:rsidP="00544949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E98DCA" wp14:editId="13A85991">
            <wp:extent cx="5086350" cy="5086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6F53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4CBF2124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247DA082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04F30419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295CA988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5B3487CE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498C5B14" w14:textId="3784AFE9" w:rsidR="00A404C3" w:rsidRDefault="00A404C3" w:rsidP="00A404C3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942A3C">
        <w:rPr>
          <w:rFonts w:ascii="Times New Roman" w:hAnsi="Times New Roman" w:hint="eastAsia"/>
          <w:b/>
          <w:noProof/>
          <w:sz w:val="28"/>
          <w:szCs w:val="28"/>
        </w:rPr>
        <w:t>Supporting</w:t>
      </w:r>
      <w:r w:rsidRPr="00942A3C">
        <w:rPr>
          <w:rFonts w:ascii="Times New Roman" w:hAnsi="Times New Roman"/>
          <w:b/>
          <w:noProof/>
          <w:sz w:val="28"/>
          <w:szCs w:val="28"/>
        </w:rPr>
        <w:t xml:space="preserve"> Figure 3. </w:t>
      </w:r>
      <w:r>
        <w:rPr>
          <w:rFonts w:ascii="Times New Roman" w:hAnsi="Times New Roman"/>
          <w:noProof/>
          <w:sz w:val="28"/>
          <w:szCs w:val="28"/>
        </w:rPr>
        <w:t xml:space="preserve">(A) The </w:t>
      </w:r>
      <w:r w:rsidRPr="00247A26">
        <w:rPr>
          <w:rFonts w:ascii="Times New Roman" w:hAnsi="Times New Roman"/>
          <w:noProof/>
          <w:sz w:val="28"/>
          <w:szCs w:val="28"/>
        </w:rPr>
        <w:t>Univariate analysis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3F1B1D">
        <w:rPr>
          <w:rFonts w:ascii="Times New Roman" w:hAnsi="Times New Roman"/>
          <w:sz w:val="28"/>
          <w:szCs w:val="28"/>
        </w:rPr>
        <w:t xml:space="preserve">of the association between </w:t>
      </w:r>
      <w:r w:rsidRPr="003F1B1D">
        <w:rPr>
          <w:rFonts w:ascii="Times New Roman" w:hAnsi="Times New Roman"/>
          <w:bCs/>
          <w:sz w:val="28"/>
          <w:szCs w:val="28"/>
        </w:rPr>
        <w:t>clinical parameters</w:t>
      </w:r>
      <w:r w:rsidRPr="003F1B1D">
        <w:rPr>
          <w:rFonts w:ascii="Times New Roman" w:hAnsi="Times New Roman"/>
          <w:sz w:val="28"/>
          <w:szCs w:val="28"/>
        </w:rPr>
        <w:t xml:space="preserve"> (including the risk score) and overall survival of patients based on the TGGA</w:t>
      </w:r>
      <w:r>
        <w:rPr>
          <w:rFonts w:ascii="Times New Roman" w:hAnsi="Times New Roman"/>
          <w:noProof/>
          <w:sz w:val="28"/>
          <w:szCs w:val="28"/>
        </w:rPr>
        <w:t xml:space="preserve"> (B) The multivariate analysis</w:t>
      </w:r>
      <w:r w:rsidRPr="003F1B1D">
        <w:rPr>
          <w:rFonts w:ascii="Times New Roman" w:hAnsi="Times New Roman"/>
          <w:sz w:val="28"/>
          <w:szCs w:val="28"/>
        </w:rPr>
        <w:t xml:space="preserve"> of the association between </w:t>
      </w:r>
      <w:r w:rsidRPr="003F1B1D">
        <w:rPr>
          <w:rFonts w:ascii="Times New Roman" w:hAnsi="Times New Roman"/>
          <w:bCs/>
          <w:sz w:val="28"/>
          <w:szCs w:val="28"/>
        </w:rPr>
        <w:t>clinical parameters</w:t>
      </w:r>
      <w:r w:rsidRPr="003F1B1D">
        <w:rPr>
          <w:rFonts w:ascii="Times New Roman" w:hAnsi="Times New Roman"/>
          <w:sz w:val="28"/>
          <w:szCs w:val="28"/>
        </w:rPr>
        <w:t xml:space="preserve"> (including the risk score) and overall survival of patients based on the TGGA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3B26E916" w14:textId="263A9E77" w:rsidR="00544949" w:rsidRDefault="00544949" w:rsidP="00A404C3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18919D" wp14:editId="0386B829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A5D9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5D546A40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77E25B60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551467AB" w14:textId="77777777" w:rsidR="00D66C7D" w:rsidRDefault="00D66C7D" w:rsidP="00A404C3">
      <w:pPr>
        <w:spacing w:line="360" w:lineRule="auto"/>
        <w:rPr>
          <w:rFonts w:ascii="Times New Roman" w:hAnsi="Times New Roman"/>
          <w:b/>
          <w:noProof/>
          <w:sz w:val="28"/>
          <w:szCs w:val="28"/>
        </w:rPr>
      </w:pPr>
    </w:p>
    <w:p w14:paraId="288EE2A3" w14:textId="2A624A8D" w:rsidR="00A404C3" w:rsidRDefault="00A404C3" w:rsidP="00A404C3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42A3C">
        <w:rPr>
          <w:rFonts w:ascii="Times New Roman" w:hAnsi="Times New Roman" w:hint="eastAsia"/>
          <w:b/>
          <w:noProof/>
          <w:sz w:val="28"/>
          <w:szCs w:val="28"/>
        </w:rPr>
        <w:t>Supporting Figure 4.</w:t>
      </w:r>
      <w:r w:rsidRPr="00982DF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82DFE">
        <w:rPr>
          <w:rFonts w:ascii="Times New Roman" w:hAnsi="Times New Roman" w:hint="eastAsia"/>
          <w:bCs/>
          <w:color w:val="000000"/>
          <w:sz w:val="28"/>
          <w:szCs w:val="28"/>
        </w:rPr>
        <w:t>T</w:t>
      </w:r>
      <w:r w:rsidRPr="00982DFE">
        <w:rPr>
          <w:rFonts w:ascii="Times New Roman" w:hAnsi="Times New Roman"/>
          <w:bCs/>
          <w:color w:val="000000"/>
          <w:sz w:val="28"/>
          <w:szCs w:val="28"/>
        </w:rPr>
        <w:t xml:space="preserve">he heatmap </w:t>
      </w:r>
      <w:r w:rsidRPr="00982DFE">
        <w:rPr>
          <w:rFonts w:ascii="Times New Roman" w:hAnsi="Times New Roman" w:hint="eastAsia"/>
          <w:bCs/>
          <w:color w:val="000000"/>
          <w:sz w:val="28"/>
          <w:szCs w:val="28"/>
        </w:rPr>
        <w:t xml:space="preserve">of the four-gene </w:t>
      </w:r>
      <w:r w:rsidRPr="00982DFE">
        <w:rPr>
          <w:rFonts w:ascii="Times New Roman" w:hAnsi="Times New Roman"/>
          <w:bCs/>
          <w:color w:val="000000"/>
          <w:sz w:val="28"/>
          <w:szCs w:val="28"/>
        </w:rPr>
        <w:t>expression</w:t>
      </w:r>
      <w:r w:rsidRPr="00982DFE">
        <w:rPr>
          <w:rFonts w:ascii="Times New Roman" w:hAnsi="Times New Roman" w:hint="eastAsia"/>
          <w:bCs/>
          <w:color w:val="000000"/>
          <w:sz w:val="28"/>
          <w:szCs w:val="28"/>
        </w:rPr>
        <w:t xml:space="preserve"> levels</w:t>
      </w:r>
      <w:r w:rsidRPr="00982DF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82DFE">
        <w:rPr>
          <w:rFonts w:ascii="Times New Roman" w:hAnsi="Times New Roman" w:hint="eastAsia"/>
          <w:bCs/>
          <w:color w:val="000000"/>
          <w:sz w:val="28"/>
          <w:szCs w:val="28"/>
        </w:rPr>
        <w:t>between</w:t>
      </w:r>
      <w:r w:rsidRPr="00982DFE">
        <w:rPr>
          <w:rFonts w:ascii="Times New Roman" w:hAnsi="Times New Roman"/>
          <w:bCs/>
          <w:color w:val="000000"/>
          <w:sz w:val="28"/>
          <w:szCs w:val="28"/>
        </w:rPr>
        <w:t xml:space="preserve"> high- and low-risk</w:t>
      </w:r>
      <w:r w:rsidRPr="00982DFE">
        <w:rPr>
          <w:rFonts w:ascii="Times New Roman" w:hAnsi="Times New Roman" w:hint="eastAsia"/>
          <w:bCs/>
          <w:color w:val="000000"/>
          <w:sz w:val="28"/>
          <w:szCs w:val="28"/>
        </w:rPr>
        <w:t xml:space="preserve"> groups in</w:t>
      </w:r>
      <w:r w:rsidRPr="00982DFE">
        <w:rPr>
          <w:rFonts w:ascii="Times New Roman" w:hAnsi="Times New Roman"/>
          <w:noProof/>
          <w:sz w:val="28"/>
          <w:szCs w:val="28"/>
        </w:rPr>
        <w:t xml:space="preserve"> clinical</w:t>
      </w:r>
      <w:r w:rsidRPr="00982DFE">
        <w:rPr>
          <w:rFonts w:ascii="Times New Roman" w:hAnsi="Times New Roman" w:hint="eastAsia"/>
          <w:noProof/>
          <w:sz w:val="28"/>
          <w:szCs w:val="28"/>
        </w:rPr>
        <w:t xml:space="preserve"> information</w:t>
      </w:r>
      <w:r w:rsidRPr="00982DFE">
        <w:rPr>
          <w:rFonts w:ascii="Times New Roman" w:hAnsi="Times New Roman" w:hint="eastAsia"/>
          <w:bCs/>
          <w:color w:val="000000"/>
          <w:sz w:val="28"/>
          <w:szCs w:val="28"/>
        </w:rPr>
        <w:t xml:space="preserve"> </w:t>
      </w:r>
      <w:r w:rsidRPr="00982DFE">
        <w:rPr>
          <w:rFonts w:ascii="Times New Roman" w:hAnsi="Times New Roman"/>
          <w:bCs/>
          <w:color w:val="000000"/>
          <w:sz w:val="28"/>
          <w:szCs w:val="28"/>
        </w:rPr>
        <w:t>based on the TCGA dataset</w:t>
      </w:r>
      <w:r>
        <w:rPr>
          <w:rFonts w:ascii="Times New Roman" w:hAnsi="Times New Roman" w:hint="eastAsia"/>
          <w:bCs/>
          <w:color w:val="000000"/>
          <w:sz w:val="28"/>
          <w:szCs w:val="28"/>
        </w:rPr>
        <w:t xml:space="preserve">. </w:t>
      </w:r>
      <w:r w:rsidR="0010589F">
        <w:rPr>
          <w:rFonts w:ascii="Times New Roman" w:hAnsi="Times New Roman"/>
          <w:bCs/>
          <w:color w:val="000000"/>
          <w:sz w:val="28"/>
          <w:szCs w:val="28"/>
        </w:rPr>
        <w:t xml:space="preserve">**P&lt;0.01, ***P&lt;0.001. </w:t>
      </w:r>
    </w:p>
    <w:p w14:paraId="5F90F908" w14:textId="489FF1A2" w:rsidR="00A404C3" w:rsidRPr="00A404C3" w:rsidRDefault="00544949" w:rsidP="00544949">
      <w:pPr>
        <w:jc w:val="center"/>
      </w:pPr>
      <w:r>
        <w:rPr>
          <w:noProof/>
        </w:rPr>
        <w:drawing>
          <wp:inline distT="0" distB="0" distL="0" distR="0" wp14:anchorId="76871D5C" wp14:editId="7F8B0C12">
            <wp:extent cx="5181600" cy="5181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4C3" w:rsidRPr="00A404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6FA5D" w14:textId="77777777" w:rsidR="00522893" w:rsidRDefault="00522893" w:rsidP="00A404C3">
      <w:r>
        <w:separator/>
      </w:r>
    </w:p>
  </w:endnote>
  <w:endnote w:type="continuationSeparator" w:id="0">
    <w:p w14:paraId="1F278DEC" w14:textId="77777777" w:rsidR="00522893" w:rsidRDefault="00522893" w:rsidP="00A4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17E7" w14:textId="77777777" w:rsidR="00522893" w:rsidRDefault="00522893" w:rsidP="00A404C3">
      <w:r>
        <w:separator/>
      </w:r>
    </w:p>
  </w:footnote>
  <w:footnote w:type="continuationSeparator" w:id="0">
    <w:p w14:paraId="2F2E61F0" w14:textId="77777777" w:rsidR="00522893" w:rsidRDefault="00522893" w:rsidP="00A40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CDC"/>
    <w:rsid w:val="0008562A"/>
    <w:rsid w:val="0010589F"/>
    <w:rsid w:val="00263EDE"/>
    <w:rsid w:val="002E545B"/>
    <w:rsid w:val="00421D12"/>
    <w:rsid w:val="00522893"/>
    <w:rsid w:val="00544949"/>
    <w:rsid w:val="00A404C3"/>
    <w:rsid w:val="00BF5E7F"/>
    <w:rsid w:val="00D66C7D"/>
    <w:rsid w:val="00EC5CDC"/>
    <w:rsid w:val="00FA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2C8AB"/>
  <w15:chartTrackingRefBased/>
  <w15:docId w15:val="{ADA81953-FF92-48CF-B812-FE867961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4C3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04C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04C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04C3"/>
    <w:rPr>
      <w:sz w:val="18"/>
      <w:szCs w:val="18"/>
    </w:rPr>
  </w:style>
  <w:style w:type="table" w:customStyle="1" w:styleId="1">
    <w:name w:val="浅色底纹1"/>
    <w:basedOn w:val="TableNormal"/>
    <w:uiPriority w:val="60"/>
    <w:rsid w:val="00A404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Patel, Sonam Kajal</cp:lastModifiedBy>
  <cp:revision>6</cp:revision>
  <dcterms:created xsi:type="dcterms:W3CDTF">2020-12-08T13:35:00Z</dcterms:created>
  <dcterms:modified xsi:type="dcterms:W3CDTF">2021-12-14T02:27:00Z</dcterms:modified>
</cp:coreProperties>
</file>