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</w:p>
    <w:p>
      <w:pPr>
        <w:spacing w:line="360" w:lineRule="auto"/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Correlation between Apelin and Collateral Circulation </w:t>
      </w:r>
      <w:r>
        <w:rPr>
          <w:rFonts w:hint="eastAsia" w:ascii="Times New Roman" w:hAnsi="Times New Roman"/>
          <w:sz w:val="28"/>
          <w:szCs w:val="36"/>
        </w:rPr>
        <w:t>i</w:t>
      </w:r>
      <w:r>
        <w:rPr>
          <w:rFonts w:ascii="Times New Roman" w:hAnsi="Times New Roman"/>
          <w:sz w:val="28"/>
          <w:szCs w:val="36"/>
        </w:rPr>
        <w:t>n Patients with Middle Cerebral Artery Occlusion and Moyamoya Disease</w:t>
      </w:r>
    </w:p>
    <w:p>
      <w:pPr>
        <w:spacing w:line="360" w:lineRule="auto"/>
        <w:ind w:firstLine="240" w:firstLineChars="100"/>
        <w:rPr>
          <w:rFonts w:ascii="Times New Roman" w:hAnsi="Times New Roman"/>
          <w:i/>
          <w:iCs/>
          <w:sz w:val="24"/>
          <w:szCs w:val="32"/>
          <w:vertAlign w:val="superscript"/>
        </w:rPr>
      </w:pPr>
      <w:r>
        <w:rPr>
          <w:rFonts w:ascii="Times New Roman" w:hAnsi="Times New Roman"/>
          <w:i/>
          <w:iCs/>
          <w:sz w:val="24"/>
          <w:szCs w:val="32"/>
        </w:rPr>
        <w:t xml:space="preserve">Hanlin </w:t>
      </w:r>
      <w:r>
        <w:rPr>
          <w:rFonts w:hint="eastAsia" w:ascii="Times New Roman" w:hAnsi="Times New Roman"/>
          <w:i/>
          <w:iCs/>
          <w:sz w:val="24"/>
          <w:szCs w:val="32"/>
        </w:rPr>
        <w:t>Wu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 xml:space="preserve"> 1</w:t>
      </w:r>
      <w:r>
        <w:rPr>
          <w:rFonts w:ascii="Times New Roman" w:hAnsi="Times New Roman"/>
          <w:i/>
          <w:iCs/>
          <w:sz w:val="24"/>
          <w:szCs w:val="32"/>
        </w:rPr>
        <w:t>, Cheng</w:t>
      </w:r>
      <w:r>
        <w:rPr>
          <w:rFonts w:hint="eastAsia" w:ascii="Times New Roman" w:hAnsi="Times New Roman"/>
          <w:i/>
          <w:iCs/>
          <w:sz w:val="24"/>
          <w:szCs w:val="32"/>
        </w:rPr>
        <w:t>y</w:t>
      </w:r>
      <w:r>
        <w:rPr>
          <w:rFonts w:ascii="Times New Roman" w:hAnsi="Times New Roman"/>
          <w:i/>
          <w:iCs/>
          <w:sz w:val="24"/>
          <w:szCs w:val="32"/>
        </w:rPr>
        <w:t>u Xia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 xml:space="preserve"> 2</w:t>
      </w:r>
      <w:r>
        <w:rPr>
          <w:rFonts w:ascii="Times New Roman" w:hAnsi="Times New Roman"/>
          <w:i/>
          <w:iCs/>
          <w:sz w:val="24"/>
          <w:szCs w:val="32"/>
        </w:rPr>
        <w:t xml:space="preserve">, Rui Li 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32"/>
        </w:rPr>
        <w:t xml:space="preserve">,Chunrong Tao 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32"/>
        </w:rPr>
        <w:t xml:space="preserve">,Qiqiang Tang 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32"/>
        </w:rPr>
        <w:t xml:space="preserve">, Wei Hu </w:t>
      </w:r>
      <w:r>
        <w:rPr>
          <w:rFonts w:ascii="Times New Roman" w:hAnsi="Times New Roman"/>
          <w:i/>
          <w:iCs/>
          <w:sz w:val="24"/>
          <w:szCs w:val="32"/>
          <w:vertAlign w:val="superscript"/>
        </w:rPr>
        <w:t>1</w:t>
      </w:r>
      <w:bookmarkStart w:id="0" w:name="_GoBack"/>
      <w:bookmarkEnd w:id="0"/>
    </w:p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p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Propensity matching analysis between MMD and occlusion group</w:t>
      </w:r>
    </w:p>
    <w:p/>
    <w:p>
      <w:pPr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: Paired sample t-test after Propensity matching for MMD and MCAO group</w:t>
      </w:r>
    </w:p>
    <w:tbl>
      <w:tblPr>
        <w:tblStyle w:val="7"/>
        <w:tblW w:w="4864" w:type="pct"/>
        <w:tblInd w:w="0" w:type="dxa"/>
        <w:tblBorders>
          <w:top w:val="single" w:color="152935" w:sz="8" w:space="0"/>
          <w:left w:val="none" w:color="auto" w:sz="0" w:space="0"/>
          <w:bottom w:val="single" w:color="152935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701"/>
        <w:gridCol w:w="709"/>
        <w:gridCol w:w="992"/>
        <w:gridCol w:w="1134"/>
        <w:gridCol w:w="994"/>
        <w:gridCol w:w="995"/>
        <w:gridCol w:w="845"/>
      </w:tblGrid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MingLiU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average value</w:t>
            </w:r>
          </w:p>
        </w:tc>
        <w:tc>
          <w:tcPr>
            <w:tcW w:w="614" w:type="pct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Standard deviation</w:t>
            </w:r>
          </w:p>
        </w:tc>
        <w:tc>
          <w:tcPr>
            <w:tcW w:w="1317" w:type="pct"/>
            <w:gridSpan w:val="2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95% confidence interval of the difference</w:t>
            </w:r>
          </w:p>
        </w:tc>
        <w:tc>
          <w:tcPr>
            <w:tcW w:w="616" w:type="pct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T value</w:t>
            </w:r>
          </w:p>
        </w:tc>
        <w:tc>
          <w:tcPr>
            <w:tcW w:w="523" w:type="pct"/>
            <w:tcBorders>
              <w:top w:val="single" w:color="152935" w:sz="8" w:space="0"/>
              <w:bottom w:val="single" w:color="152935" w:sz="8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P-value</w:t>
            </w:r>
          </w:p>
        </w:tc>
      </w:tr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Pair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 xml:space="preserve"> 1</w:t>
            </w:r>
          </w:p>
        </w:tc>
        <w:tc>
          <w:tcPr>
            <w:tcW w:w="1052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MMD-MCAO 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>apelin13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1121.1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4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1905.4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105.78</w:t>
            </w:r>
          </w:p>
        </w:tc>
        <w:tc>
          <w:tcPr>
            <w:tcW w:w="615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2136.45</w:t>
            </w:r>
          </w:p>
        </w:tc>
        <w:tc>
          <w:tcPr>
            <w:tcW w:w="616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2.354</w:t>
            </w:r>
          </w:p>
        </w:tc>
        <w:tc>
          <w:tcPr>
            <w:tcW w:w="523" w:type="pct"/>
            <w:tcBorders>
              <w:top w:val="single" w:color="152935" w:sz="8" w:space="0"/>
            </w:tcBorders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.033</w:t>
            </w:r>
          </w:p>
        </w:tc>
      </w:tr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Pair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 xml:space="preserve"> 2</w:t>
            </w:r>
          </w:p>
        </w:tc>
        <w:tc>
          <w:tcPr>
            <w:tcW w:w="1052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MMD-MCAO 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>apelin17</w:t>
            </w:r>
          </w:p>
        </w:tc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61.58</w:t>
            </w:r>
          </w:p>
        </w:tc>
        <w:tc>
          <w:tcPr>
            <w:tcW w:w="614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100.8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2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11.4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111.73</w:t>
            </w:r>
          </w:p>
        </w:tc>
        <w:tc>
          <w:tcPr>
            <w:tcW w:w="616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2.591</w:t>
            </w:r>
          </w:p>
        </w:tc>
        <w:tc>
          <w:tcPr>
            <w:tcW w:w="523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.019</w:t>
            </w:r>
          </w:p>
        </w:tc>
      </w:tr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Pair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 xml:space="preserve"> 3</w:t>
            </w:r>
          </w:p>
        </w:tc>
        <w:tc>
          <w:tcPr>
            <w:tcW w:w="1052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MMD-MCAO 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>apelin36</w:t>
            </w:r>
          </w:p>
        </w:tc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237.7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4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738.9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2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-129.7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5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605.2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6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1.365</w:t>
            </w:r>
          </w:p>
        </w:tc>
        <w:tc>
          <w:tcPr>
            <w:tcW w:w="523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.190</w:t>
            </w:r>
          </w:p>
        </w:tc>
      </w:tr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Pair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 xml:space="preserve"> 4</w:t>
            </w:r>
          </w:p>
        </w:tc>
        <w:tc>
          <w:tcPr>
            <w:tcW w:w="1052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MMD-MCAO 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>NO</w:t>
            </w:r>
          </w:p>
        </w:tc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-23.8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4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156.0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2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-101.4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53.74</w:t>
            </w:r>
          </w:p>
        </w:tc>
        <w:tc>
          <w:tcPr>
            <w:tcW w:w="616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-.648</w:t>
            </w:r>
          </w:p>
        </w:tc>
        <w:tc>
          <w:tcPr>
            <w:tcW w:w="523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.525</w:t>
            </w:r>
          </w:p>
        </w:tc>
      </w:tr>
      <w:tr>
        <w:tblPrEx>
          <w:tblBorders>
            <w:top w:val="single" w:color="152935" w:sz="8" w:space="0"/>
            <w:left w:val="none" w:color="auto" w:sz="0" w:space="0"/>
            <w:bottom w:val="single" w:color="15293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Pair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 xml:space="preserve"> 5</w:t>
            </w:r>
          </w:p>
        </w:tc>
        <w:tc>
          <w:tcPr>
            <w:tcW w:w="1052" w:type="pct"/>
            <w:shd w:val="clear" w:color="auto" w:fill="auto"/>
          </w:tcPr>
          <w:p>
            <w:pPr>
              <w:spacing w:line="320" w:lineRule="atLeast"/>
              <w:ind w:left="60" w:right="60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MMD-MCAO </w:t>
            </w:r>
            <w:r>
              <w:rPr>
                <w:rFonts w:ascii="Times New Roman" w:hAnsi="Times New Roman" w:eastAsia="MingLiU"/>
                <w:sz w:val="18"/>
                <w:szCs w:val="18"/>
              </w:rPr>
              <w:t>VEGF</w:t>
            </w:r>
          </w:p>
        </w:tc>
        <w:tc>
          <w:tcPr>
            <w:tcW w:w="439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-28.82</w:t>
            </w:r>
          </w:p>
        </w:tc>
        <w:tc>
          <w:tcPr>
            <w:tcW w:w="614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114.5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2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-94.96</w:t>
            </w:r>
          </w:p>
        </w:tc>
        <w:tc>
          <w:tcPr>
            <w:tcW w:w="615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37.32</w:t>
            </w:r>
          </w:p>
        </w:tc>
        <w:tc>
          <w:tcPr>
            <w:tcW w:w="616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-.941</w:t>
            </w:r>
          </w:p>
        </w:tc>
        <w:tc>
          <w:tcPr>
            <w:tcW w:w="523" w:type="pct"/>
            <w:shd w:val="clear" w:color="auto" w:fill="auto"/>
          </w:tcPr>
          <w:p>
            <w:pPr>
              <w:spacing w:line="320" w:lineRule="atLeast"/>
              <w:ind w:left="60" w:right="60"/>
              <w:jc w:val="right"/>
              <w:rPr>
                <w:rFonts w:ascii="Times New Roman" w:hAnsi="Times New Roman" w:eastAsia="MingLiU"/>
                <w:sz w:val="18"/>
                <w:szCs w:val="18"/>
              </w:rPr>
            </w:pPr>
            <w:r>
              <w:rPr>
                <w:rFonts w:ascii="Times New Roman" w:hAnsi="Times New Roman" w:eastAsia="MingLiU"/>
                <w:sz w:val="18"/>
                <w:szCs w:val="18"/>
              </w:rPr>
              <w:t>.364</w:t>
            </w:r>
          </w:p>
        </w:tc>
      </w:tr>
    </w:tbl>
    <w:p>
      <w:pPr>
        <w:rPr>
          <w:rFonts w:ascii="Times New Roman" w:hAnsi="Times New Roman"/>
          <w:sz w:val="24"/>
          <w:szCs w:val="32"/>
        </w:rPr>
      </w:pPr>
    </w:p>
    <w:p>
      <w:r>
        <w:rPr>
          <w:rFonts w:hint="eastAsia" w:ascii="Times New Roman" w:hAnsi="Times New Roman"/>
          <w:sz w:val="24"/>
          <w:szCs w:val="32"/>
        </w:rPr>
        <w:t>Supplementary file: After propensity matching, w</w:t>
      </w:r>
      <w:r>
        <w:rPr>
          <w:rFonts w:ascii="Times New Roman" w:hAnsi="Times New Roman"/>
          <w:sz w:val="24"/>
          <w:szCs w:val="32"/>
        </w:rPr>
        <w:t xml:space="preserve">e conducted an intergroup test on 18 pairs of samples corrected for age, gender and BMI, </w:t>
      </w:r>
      <w:r>
        <w:rPr>
          <w:rFonts w:hint="eastAsia" w:ascii="Times New Roman" w:hAnsi="Times New Roman"/>
          <w:sz w:val="24"/>
          <w:szCs w:val="32"/>
        </w:rPr>
        <w:t xml:space="preserve">and the results </w:t>
      </w:r>
      <w:r>
        <w:rPr>
          <w:rFonts w:ascii="Times New Roman" w:hAnsi="Times New Roman"/>
          <w:sz w:val="24"/>
          <w:szCs w:val="32"/>
        </w:rPr>
        <w:t>showed that plasma apelin-13 and apelin-17 levels were still significantly higher in the MMD group</w:t>
      </w:r>
      <w:r>
        <w:rPr>
          <w:rFonts w:hint="eastAsia" w:ascii="Times New Roman" w:hAnsi="Times New Roman"/>
          <w:sz w:val="24"/>
          <w:szCs w:val="32"/>
        </w:rPr>
        <w:t xml:space="preserve"> than MCA occlusion group.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4F"/>
    <w:rsid w:val="00154194"/>
    <w:rsid w:val="001616A6"/>
    <w:rsid w:val="001672AE"/>
    <w:rsid w:val="001E3723"/>
    <w:rsid w:val="0032246F"/>
    <w:rsid w:val="00350C85"/>
    <w:rsid w:val="004A459C"/>
    <w:rsid w:val="00577E9A"/>
    <w:rsid w:val="006E6C3F"/>
    <w:rsid w:val="00715E12"/>
    <w:rsid w:val="00764E16"/>
    <w:rsid w:val="007819BB"/>
    <w:rsid w:val="00845D4F"/>
    <w:rsid w:val="00865FE8"/>
    <w:rsid w:val="00950DB0"/>
    <w:rsid w:val="009666C1"/>
    <w:rsid w:val="00A76222"/>
    <w:rsid w:val="00B91D71"/>
    <w:rsid w:val="00C237F0"/>
    <w:rsid w:val="00D27ED7"/>
    <w:rsid w:val="00E00F8F"/>
    <w:rsid w:val="00E22CD6"/>
    <w:rsid w:val="00E2432A"/>
    <w:rsid w:val="00ED7DBA"/>
    <w:rsid w:val="00F67B76"/>
    <w:rsid w:val="095F1C3A"/>
    <w:rsid w:val="1B0847D6"/>
    <w:rsid w:val="1B2C1425"/>
    <w:rsid w:val="2F7F1DC4"/>
    <w:rsid w:val="363738B2"/>
    <w:rsid w:val="5647115F"/>
    <w:rsid w:val="61C50E4C"/>
    <w:rsid w:val="7B3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16"/>
      <w:szCs w:val="16"/>
    </w:rPr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Comment Text Char"/>
    <w:basedOn w:val="9"/>
    <w:link w:val="2"/>
    <w:semiHidden/>
    <w:uiPriority w:val="99"/>
    <w:rPr>
      <w:rFonts w:ascii="Calibri" w:hAnsi="Calibri" w:eastAsia="宋体" w:cs="Times New Roman"/>
      <w:kern w:val="2"/>
      <w:lang w:val="en-US" w:eastAsia="zh-CN"/>
    </w:rPr>
  </w:style>
  <w:style w:type="character" w:customStyle="1" w:styleId="15">
    <w:name w:val="Comment Subject Char"/>
    <w:basedOn w:val="14"/>
    <w:link w:val="6"/>
    <w:semiHidden/>
    <w:uiPriority w:val="99"/>
    <w:rPr>
      <w:rFonts w:ascii="Calibri" w:hAnsi="Calibri" w:eastAsia="宋体" w:cs="Times New Roman"/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75545-7EBE-498E-9663-8EB42477E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884</Characters>
  <Lines>7</Lines>
  <Paragraphs>2</Paragraphs>
  <TotalTime>134</TotalTime>
  <ScaleCrop>false</ScaleCrop>
  <LinksUpToDate>false</LinksUpToDate>
  <CharactersWithSpaces>1037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2021-01-03T12:48:00Z</dcterms:created>
  <dc:creator>旱淋 吴</dc:creator>
  <cp:lastModifiedBy>纸片人</cp:lastModifiedBy>
  <dcterms:modified xsi:type="dcterms:W3CDTF">2021-12-13T07:47:34Z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7ACBA9EF608044CA8DBA847EE24BFFC0</vt:lpwstr>
  </property>
  <property fmtid="{D5CDD505-2E9C-101B-9397-08002B2CF9AE}" pid="4" name="grammarly_documentId">
    <vt:lpwstr>documentId_2677</vt:lpwstr>
  </property>
  <property fmtid="{D5CDD505-2E9C-101B-9397-08002B2CF9AE}" pid="5" name="grammarly_documentContext">
    <vt:lpwstr>{"goals":[],"domain":"general","emotions":[],"dialect":"american"}</vt:lpwstr>
  </property>
</Properties>
</file>