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580F" w14:textId="77777777" w:rsidR="00301448" w:rsidRPr="00E8249C" w:rsidRDefault="00301448" w:rsidP="00301448">
      <w:pPr>
        <w:adjustRightInd w:val="0"/>
        <w:snapToGrid w:val="0"/>
        <w:spacing w:line="360" w:lineRule="auto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bookmarkStart w:id="0" w:name="_Hlk75466495"/>
      <w:r w:rsidRPr="00E8249C">
        <w:rPr>
          <w:rFonts w:ascii="Arial" w:hAnsi="Arial" w:cs="Arial"/>
          <w:b/>
          <w:bCs/>
          <w:color w:val="000000" w:themeColor="text1"/>
          <w:sz w:val="16"/>
          <w:szCs w:val="16"/>
        </w:rPr>
        <w:t>Supplement Table 1, Clinical characteristics of RA patients at baseline (0 week) and after triple therapy (14 weeks)</w:t>
      </w:r>
    </w:p>
    <w:tbl>
      <w:tblPr>
        <w:tblStyle w:val="a7"/>
        <w:tblpPr w:leftFromText="180" w:rightFromText="180" w:vertAnchor="text" w:horzAnchor="margin" w:tblpXSpec="center" w:tblpY="82"/>
        <w:tblW w:w="5973" w:type="pct"/>
        <w:tblLayout w:type="fixed"/>
        <w:tblLook w:val="04A0" w:firstRow="1" w:lastRow="0" w:firstColumn="1" w:lastColumn="0" w:noHBand="0" w:noVBand="1"/>
      </w:tblPr>
      <w:tblGrid>
        <w:gridCol w:w="1842"/>
        <w:gridCol w:w="1135"/>
        <w:gridCol w:w="1133"/>
        <w:gridCol w:w="1286"/>
        <w:gridCol w:w="262"/>
        <w:gridCol w:w="1145"/>
        <w:gridCol w:w="1135"/>
        <w:gridCol w:w="1133"/>
        <w:gridCol w:w="851"/>
      </w:tblGrid>
      <w:tr w:rsidR="00301448" w:rsidRPr="00E8249C" w14:paraId="2FF4E5A6" w14:textId="77777777" w:rsidTr="00E8249C">
        <w:trPr>
          <w:trHeight w:val="31"/>
        </w:trPr>
        <w:tc>
          <w:tcPr>
            <w:tcW w:w="928" w:type="pct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E39153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bookmarkStart w:id="1" w:name="_Hlk75466993"/>
          </w:p>
        </w:tc>
        <w:tc>
          <w:tcPr>
            <w:tcW w:w="17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E8ED5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Non-responder Group (n=5)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A444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AAC98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Responder Group (n=15)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BF14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P-value</w:t>
            </w:r>
          </w:p>
        </w:tc>
      </w:tr>
      <w:tr w:rsidR="00301448" w:rsidRPr="00E8249C" w14:paraId="7E065FB1" w14:textId="77777777" w:rsidTr="00E8249C">
        <w:trPr>
          <w:trHeight w:val="73"/>
        </w:trPr>
        <w:tc>
          <w:tcPr>
            <w:tcW w:w="928" w:type="pct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1AE081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238E7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ind w:firstLineChars="100" w:firstLine="160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 week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1DC17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14 weeks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933E8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Changed Values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D2B4A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69755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 week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C82CA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14 weeks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65E186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Changed Values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89D03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01448" w:rsidRPr="00E8249C" w14:paraId="78C7A038" w14:textId="77777777" w:rsidTr="00E8249C">
        <w:trPr>
          <w:trHeight w:val="364"/>
        </w:trPr>
        <w:tc>
          <w:tcPr>
            <w:tcW w:w="9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1F7A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Pain assessment, VAS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74A6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59.80±16.25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DAE0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44.40±18.89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B0CC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15.40±8.64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50E79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900F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57.73±9.87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5CDE1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29.2±14.16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810A6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28.53±18.74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376F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0.152</w:t>
            </w:r>
          </w:p>
        </w:tc>
      </w:tr>
      <w:tr w:rsidR="00301448" w:rsidRPr="00E8249C" w14:paraId="3D78E88D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A70E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SJC, n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AA27E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8.60±1.14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7B4F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8.00 ±1.92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F8719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0.60±0.89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BE99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2B87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8.20±2.24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A9E1E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3.20±2.34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0C148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5.00±2.72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E5F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0.002**</w:t>
            </w:r>
          </w:p>
        </w:tc>
      </w:tr>
      <w:tr w:rsidR="00301448" w:rsidRPr="00E8249C" w14:paraId="15278E9F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E442F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TJC, n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AAC8C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12.40±1.14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A38CC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10.20±1.64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1BDF5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2.20±0.83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11D4C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DB66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11.66±2.47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D72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4.46±2.29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8BF9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7.20±3.54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9E875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0.006**</w:t>
            </w:r>
          </w:p>
        </w:tc>
      </w:tr>
      <w:tr w:rsidR="00301448" w:rsidRPr="00E8249C" w14:paraId="63AA26EE" w14:textId="77777777" w:rsidTr="00E8249C">
        <w:trPr>
          <w:trHeight w:val="101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7337E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PGA, VAS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F386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58.00±16.43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4644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46.00±18.17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8820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12.00±8.36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0952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751A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59.66±14.69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3AAD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21.66±11.17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DBEA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38.00±19.16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8615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0.009**</w:t>
            </w:r>
          </w:p>
        </w:tc>
      </w:tr>
      <w:tr w:rsidR="00301448" w:rsidRPr="00E8249C" w14:paraId="245775B8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475D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PtGA</w:t>
            </w:r>
            <w:proofErr w:type="spellEnd"/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, VAS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8A85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57.20±21.51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F148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42.00±15.23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27F4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15.20±8.31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A1F5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0FDD5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60.26±13.66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6BB2E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25.33±14.06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7B5A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34.93±15.51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3E0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0.015*</w:t>
            </w:r>
          </w:p>
        </w:tc>
      </w:tr>
      <w:tr w:rsidR="00301448" w:rsidRPr="00E8249C" w14:paraId="06715F9E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BE70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HAQ, scores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A5D8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1.60±0.68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3763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1.29±0.58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AD1D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6.20±4.81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8909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30D3C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1.49±0.50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FB76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0.83±0.35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AC0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13.13±5.91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64D55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0.029*</w:t>
            </w:r>
          </w:p>
        </w:tc>
      </w:tr>
      <w:tr w:rsidR="00301448" w:rsidRPr="00E8249C" w14:paraId="2DBFEBA4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DEA8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CRP, mg/L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BAE8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37.20±8.45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A80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20.50±3.59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1910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16.63±4.92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56F6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0265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36.36±12.68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C134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9.89±5.53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D4B2F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26.47±13.41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A3E9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0.132</w:t>
            </w:r>
          </w:p>
        </w:tc>
      </w:tr>
      <w:tr w:rsidR="00301448" w:rsidRPr="00E8249C" w14:paraId="7FC0E779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FC2A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ESR, mm/h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C475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63.00±15.48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A461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40.60±11.12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01769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22.4±11.32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C0F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D381E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65.53±17.39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AAE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33.86±12.49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EDE6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31.66±14.93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796C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0.223</w:t>
            </w:r>
          </w:p>
        </w:tc>
      </w:tr>
      <w:tr w:rsidR="00301448" w:rsidRPr="00E8249C" w14:paraId="08DB551A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D0538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ALB, g/L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DFD5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hAnsi="Arial" w:cs="Arial"/>
                <w:color w:val="000000" w:themeColor="text1"/>
                <w:sz w:val="16"/>
                <w:szCs w:val="16"/>
              </w:rPr>
              <w:t>36.10±1.67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D2E86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hAnsi="Arial" w:cs="Arial"/>
                <w:color w:val="000000" w:themeColor="text1"/>
                <w:sz w:val="16"/>
                <w:szCs w:val="16"/>
              </w:rPr>
              <w:t>35.66±2.11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EB9C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hAnsi="Arial" w:cs="Arial"/>
                <w:color w:val="000000" w:themeColor="text1"/>
                <w:sz w:val="16"/>
                <w:szCs w:val="16"/>
              </w:rPr>
              <w:t>0.44±3.23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AAF4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2634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hAnsi="Arial" w:cs="Arial"/>
                <w:color w:val="000000" w:themeColor="text1"/>
                <w:sz w:val="16"/>
                <w:szCs w:val="16"/>
              </w:rPr>
              <w:t>32.63±9.28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653C8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hAnsi="Arial" w:cs="Arial"/>
                <w:color w:val="000000" w:themeColor="text1"/>
                <w:sz w:val="16"/>
                <w:szCs w:val="16"/>
              </w:rPr>
              <w:t>36.87±3.22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90F1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hAnsi="Arial" w:cs="Arial"/>
                <w:color w:val="000000" w:themeColor="text1"/>
                <w:sz w:val="16"/>
                <w:szCs w:val="16"/>
              </w:rPr>
              <w:t>-4.24±9.82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4299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0.32</w:t>
            </w:r>
          </w:p>
        </w:tc>
      </w:tr>
      <w:tr w:rsidR="00301448" w:rsidRPr="00E8249C" w14:paraId="69E574FD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8D7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CDAI, scores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62A7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32.52±2.30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178A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27.00±2.63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DC221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5.52±2.23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D5FA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C5B1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31.86±3.73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E989B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12.37±6.68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14EB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19.49±7.50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4DB1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0.001**</w:t>
            </w:r>
          </w:p>
        </w:tc>
      </w:tr>
      <w:tr w:rsidR="00301448" w:rsidRPr="00E8249C" w14:paraId="081DE399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60F50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SDAI, scores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63E2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69.72±67.63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AA8E5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47.56±45.85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E2D68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22.16±21.51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0F548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E806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68.22±12.95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1DB6C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22.30±11.00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8199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46.00±17.56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7895F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0.007**</w:t>
            </w:r>
          </w:p>
        </w:tc>
      </w:tr>
      <w:tr w:rsidR="00301448" w:rsidRPr="00E8249C" w14:paraId="3EA89C5A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10F2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DAS28 -ESR, scores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EB88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6.48±0.26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94AB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5.79±0.36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503A3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0.70±0.31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948E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F753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5.68±0.23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116B4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4.10±0.53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0A8B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1.61±0.61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47C1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0.005**</w:t>
            </w:r>
          </w:p>
        </w:tc>
      </w:tr>
      <w:tr w:rsidR="00301448" w:rsidRPr="00E8249C" w14:paraId="06A74AF3" w14:textId="77777777" w:rsidTr="00E8249C">
        <w:trPr>
          <w:trHeight w:val="97"/>
        </w:trPr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2EC0E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DAS28 -CRP, scores</w:t>
            </w: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</w:rPr>
              <w:t>&amp;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6BA3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5.86±0.19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3983E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5.22±0.15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45372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0.63±0.15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21CD8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981E8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5.77±0.3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9694A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3.72±0.75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904B6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2.05±0.81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6A93D" w14:textId="77777777" w:rsidR="00301448" w:rsidRPr="00E8249C" w:rsidRDefault="00301448" w:rsidP="00510709">
            <w:pPr>
              <w:adjustRightInd w:val="0"/>
              <w:snapToGrid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</w:pPr>
            <w:r w:rsidRPr="00E8249C">
              <w:rPr>
                <w:rFonts w:ascii="Arial" w:eastAsia="等线" w:hAnsi="Arial" w:cs="Arial"/>
                <w:color w:val="000000" w:themeColor="text1"/>
                <w:sz w:val="16"/>
                <w:szCs w:val="16"/>
              </w:rPr>
              <w:t>0.001**</w:t>
            </w:r>
          </w:p>
        </w:tc>
      </w:tr>
      <w:bookmarkEnd w:id="1"/>
    </w:tbl>
    <w:p w14:paraId="5AF3122F" w14:textId="77777777" w:rsidR="00301448" w:rsidRPr="00E8249C" w:rsidRDefault="00301448" w:rsidP="00301448">
      <w:pPr>
        <w:adjustRightInd w:val="0"/>
        <w:snapToGrid w:val="0"/>
        <w:spacing w:line="360" w:lineRule="auto"/>
        <w:rPr>
          <w:rFonts w:ascii="Arial" w:eastAsia="等线" w:hAnsi="Arial" w:cs="Arial"/>
          <w:color w:val="000000" w:themeColor="text1"/>
          <w:sz w:val="16"/>
          <w:szCs w:val="16"/>
        </w:rPr>
      </w:pPr>
    </w:p>
    <w:p w14:paraId="3A0D80F9" w14:textId="77777777" w:rsidR="00301448" w:rsidRPr="00E8249C" w:rsidRDefault="00301448" w:rsidP="00301448">
      <w:pPr>
        <w:adjustRightInd w:val="0"/>
        <w:snapToGrid w:val="0"/>
        <w:spacing w:line="360" w:lineRule="auto"/>
        <w:rPr>
          <w:rFonts w:ascii="Arial" w:eastAsia="等线" w:hAnsi="Arial" w:cs="Arial"/>
          <w:color w:val="000000" w:themeColor="text1"/>
          <w:sz w:val="16"/>
          <w:szCs w:val="16"/>
        </w:rPr>
      </w:pPr>
      <w:bookmarkStart w:id="2" w:name="_Hlk75467143"/>
      <w:r w:rsidRPr="00E8249C">
        <w:rPr>
          <w:rFonts w:ascii="Arial" w:eastAsia="等线" w:hAnsi="Arial" w:cs="Arial"/>
          <w:color w:val="000000" w:themeColor="text1"/>
          <w:sz w:val="16"/>
          <w:szCs w:val="16"/>
        </w:rPr>
        <w:t xml:space="preserve">*, P&lt;0.05; **, P&lt;0.01. </w:t>
      </w:r>
    </w:p>
    <w:p w14:paraId="33199983" w14:textId="77777777" w:rsidR="00301448" w:rsidRPr="00E8249C" w:rsidRDefault="00301448" w:rsidP="00301448">
      <w:pPr>
        <w:adjustRightInd w:val="0"/>
        <w:snapToGrid w:val="0"/>
        <w:spacing w:line="360" w:lineRule="auto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E8249C">
        <w:rPr>
          <w:rFonts w:ascii="Arial" w:hAnsi="Arial" w:cs="Arial"/>
          <w:sz w:val="16"/>
          <w:szCs w:val="16"/>
        </w:rPr>
        <w:t>&amp;, these results had been published in our first paper of the study (</w:t>
      </w:r>
      <w:r w:rsidRPr="00E8249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Chen J, Tang MS, Xu LC, Li S, Ge Y, Du JF, </w:t>
      </w:r>
      <w:proofErr w:type="spellStart"/>
      <w:r w:rsidRPr="00E8249C">
        <w:rPr>
          <w:rFonts w:ascii="Arial" w:hAnsi="Arial" w:cs="Arial"/>
          <w:color w:val="000000"/>
          <w:sz w:val="16"/>
          <w:szCs w:val="16"/>
          <w:shd w:val="clear" w:color="auto" w:fill="FFFFFF"/>
        </w:rPr>
        <w:t>Xie</w:t>
      </w:r>
      <w:proofErr w:type="spellEnd"/>
      <w:r w:rsidRPr="00E8249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X, Tian J, Chen JW, Li F. Proteomic analysis of biomarkers predicting the response to triple therapy in patients with rheumatoid arthritis. Biomed </w:t>
      </w:r>
      <w:proofErr w:type="spellStart"/>
      <w:r w:rsidRPr="00E8249C">
        <w:rPr>
          <w:rFonts w:ascii="Arial" w:hAnsi="Arial" w:cs="Arial"/>
          <w:color w:val="000000"/>
          <w:sz w:val="16"/>
          <w:szCs w:val="16"/>
          <w:shd w:val="clear" w:color="auto" w:fill="FFFFFF"/>
        </w:rPr>
        <w:t>Pharmacother</w:t>
      </w:r>
      <w:proofErr w:type="spellEnd"/>
      <w:r w:rsidRPr="00E8249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2019 Aug; 116:109026. </w:t>
      </w:r>
      <w:proofErr w:type="spellStart"/>
      <w:r w:rsidRPr="00E8249C">
        <w:rPr>
          <w:rFonts w:ascii="Arial" w:hAnsi="Arial" w:cs="Arial"/>
          <w:color w:val="000000"/>
          <w:sz w:val="16"/>
          <w:szCs w:val="16"/>
          <w:shd w:val="clear" w:color="auto" w:fill="FFFFFF"/>
        </w:rPr>
        <w:t>doi</w:t>
      </w:r>
      <w:proofErr w:type="spellEnd"/>
      <w:r w:rsidRPr="00E8249C">
        <w:rPr>
          <w:rFonts w:ascii="Arial" w:hAnsi="Arial" w:cs="Arial"/>
          <w:color w:val="000000"/>
          <w:sz w:val="16"/>
          <w:szCs w:val="16"/>
          <w:shd w:val="clear" w:color="auto" w:fill="FFFFFF"/>
        </w:rPr>
        <w:t>: 10.1016/j.biopha.2019.109026.)</w:t>
      </w:r>
    </w:p>
    <w:p w14:paraId="7823143F" w14:textId="77777777" w:rsidR="00301448" w:rsidRPr="00E8249C" w:rsidRDefault="00301448" w:rsidP="00301448">
      <w:pPr>
        <w:adjustRightInd w:val="0"/>
        <w:snapToGrid w:val="0"/>
        <w:spacing w:line="360" w:lineRule="auto"/>
        <w:rPr>
          <w:rFonts w:ascii="Arial" w:eastAsia="等线" w:hAnsi="Arial" w:cs="Arial"/>
          <w:color w:val="000000" w:themeColor="text1"/>
          <w:sz w:val="16"/>
          <w:szCs w:val="16"/>
        </w:rPr>
      </w:pPr>
      <w:r w:rsidRPr="00E8249C">
        <w:rPr>
          <w:rFonts w:ascii="Arial" w:eastAsia="等线" w:hAnsi="Arial" w:cs="Arial"/>
          <w:color w:val="000000" w:themeColor="text1"/>
          <w:sz w:val="16"/>
          <w:szCs w:val="16"/>
        </w:rPr>
        <w:t xml:space="preserve">Abbreviation: </w:t>
      </w:r>
      <w:r w:rsidRPr="00E8249C">
        <w:rPr>
          <w:rFonts w:ascii="Arial" w:hAnsi="Arial" w:cs="Arial"/>
          <w:sz w:val="16"/>
          <w:szCs w:val="16"/>
        </w:rPr>
        <w:t xml:space="preserve">CDAI, clinical disease activity index; </w:t>
      </w:r>
      <w:r w:rsidRPr="00E8249C">
        <w:rPr>
          <w:rFonts w:ascii="Arial" w:eastAsia="等线" w:hAnsi="Arial" w:cs="Arial"/>
          <w:color w:val="000000" w:themeColor="text1"/>
          <w:sz w:val="16"/>
          <w:szCs w:val="16"/>
        </w:rPr>
        <w:t>DAS28, disease activity score in 28 joints;</w:t>
      </w:r>
      <w:r w:rsidRPr="00E8249C">
        <w:rPr>
          <w:rFonts w:ascii="Arial" w:hAnsi="Arial" w:cs="Arial"/>
          <w:sz w:val="16"/>
          <w:szCs w:val="16"/>
        </w:rPr>
        <w:t xml:space="preserve"> </w:t>
      </w:r>
      <w:r w:rsidRPr="00E8249C">
        <w:rPr>
          <w:rFonts w:ascii="Arial" w:eastAsia="等线" w:hAnsi="Arial" w:cs="Arial"/>
          <w:color w:val="000000" w:themeColor="text1"/>
          <w:sz w:val="16"/>
          <w:szCs w:val="16"/>
        </w:rPr>
        <w:t>HAQ,</w:t>
      </w:r>
      <w:r w:rsidRPr="00E8249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8249C">
        <w:rPr>
          <w:rFonts w:ascii="Arial" w:eastAsia="等线" w:hAnsi="Arial" w:cs="Arial"/>
          <w:color w:val="000000" w:themeColor="text1"/>
          <w:sz w:val="16"/>
          <w:szCs w:val="16"/>
        </w:rPr>
        <w:t xml:space="preserve">Health Assessment Questionnaire; NR, non-responder; PGA, physician’s global assessment; </w:t>
      </w:r>
      <w:proofErr w:type="spellStart"/>
      <w:r w:rsidRPr="00E8249C">
        <w:rPr>
          <w:rFonts w:ascii="Arial" w:eastAsia="等线" w:hAnsi="Arial" w:cs="Arial"/>
          <w:color w:val="000000" w:themeColor="text1"/>
          <w:sz w:val="16"/>
          <w:szCs w:val="16"/>
        </w:rPr>
        <w:t>PtGA</w:t>
      </w:r>
      <w:proofErr w:type="spellEnd"/>
      <w:r w:rsidRPr="00E8249C">
        <w:rPr>
          <w:rFonts w:ascii="Arial" w:eastAsia="等线" w:hAnsi="Arial" w:cs="Arial"/>
          <w:color w:val="000000" w:themeColor="text1"/>
          <w:sz w:val="16"/>
          <w:szCs w:val="16"/>
        </w:rPr>
        <w:t xml:space="preserve">, patient global assessment; R, responder; </w:t>
      </w:r>
      <w:r w:rsidRPr="00E8249C">
        <w:rPr>
          <w:rFonts w:ascii="Arial" w:hAnsi="Arial" w:cs="Arial"/>
          <w:sz w:val="16"/>
          <w:szCs w:val="16"/>
        </w:rPr>
        <w:t xml:space="preserve">SDAI, simplified disease activity index; </w:t>
      </w:r>
      <w:r w:rsidRPr="00E8249C">
        <w:rPr>
          <w:rFonts w:ascii="Arial" w:eastAsia="等线" w:hAnsi="Arial" w:cs="Arial"/>
          <w:color w:val="000000" w:themeColor="text1"/>
          <w:sz w:val="16"/>
          <w:szCs w:val="16"/>
        </w:rPr>
        <w:t>SJC, swollen joint counts; TJC, tender joint counts; VAS, visual analogue scale.</w:t>
      </w:r>
    </w:p>
    <w:bookmarkEnd w:id="0"/>
    <w:bookmarkEnd w:id="2"/>
    <w:p w14:paraId="74CCB709" w14:textId="77777777" w:rsidR="00301448" w:rsidRPr="00E8249C" w:rsidRDefault="00301448" w:rsidP="00301448">
      <w:pPr>
        <w:rPr>
          <w:rFonts w:ascii="Arial" w:eastAsia="等线" w:hAnsi="Arial" w:cs="Arial"/>
          <w:szCs w:val="21"/>
        </w:rPr>
      </w:pPr>
    </w:p>
    <w:p w14:paraId="0CEFFA67" w14:textId="77777777" w:rsidR="007545B0" w:rsidRPr="00E8249C" w:rsidRDefault="007545B0">
      <w:pPr>
        <w:rPr>
          <w:rFonts w:ascii="Arial" w:hAnsi="Arial" w:cs="Arial"/>
        </w:rPr>
      </w:pPr>
    </w:p>
    <w:sectPr w:rsidR="007545B0" w:rsidRPr="00E82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9FC9" w14:textId="77777777" w:rsidR="00B723E6" w:rsidRDefault="00B723E6" w:rsidP="00301448">
      <w:r>
        <w:separator/>
      </w:r>
    </w:p>
  </w:endnote>
  <w:endnote w:type="continuationSeparator" w:id="0">
    <w:p w14:paraId="24BC16EA" w14:textId="77777777" w:rsidR="00B723E6" w:rsidRDefault="00B723E6" w:rsidP="0030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C39B" w14:textId="77777777" w:rsidR="00B723E6" w:rsidRDefault="00B723E6" w:rsidP="00301448">
      <w:r>
        <w:separator/>
      </w:r>
    </w:p>
  </w:footnote>
  <w:footnote w:type="continuationSeparator" w:id="0">
    <w:p w14:paraId="11CF91B9" w14:textId="77777777" w:rsidR="00B723E6" w:rsidRDefault="00B723E6" w:rsidP="00301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22"/>
    <w:rsid w:val="00301448"/>
    <w:rsid w:val="00657C22"/>
    <w:rsid w:val="007545B0"/>
    <w:rsid w:val="00A7202F"/>
    <w:rsid w:val="00B723E6"/>
    <w:rsid w:val="00E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5607FF-9D14-4E97-A5F6-DF08F379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4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448"/>
    <w:rPr>
      <w:sz w:val="18"/>
      <w:szCs w:val="18"/>
    </w:rPr>
  </w:style>
  <w:style w:type="table" w:styleId="a7">
    <w:name w:val="Table Grid"/>
    <w:basedOn w:val="a1"/>
    <w:uiPriority w:val="39"/>
    <w:qFormat/>
    <w:rsid w:val="003014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sa</dc:creator>
  <cp:keywords/>
  <dc:description/>
  <cp:lastModifiedBy>li sa</cp:lastModifiedBy>
  <cp:revision>3</cp:revision>
  <dcterms:created xsi:type="dcterms:W3CDTF">2021-11-16T15:24:00Z</dcterms:created>
  <dcterms:modified xsi:type="dcterms:W3CDTF">2021-11-22T16:35:00Z</dcterms:modified>
</cp:coreProperties>
</file>