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571127" w14:textId="3B66CFC4" w:rsidR="0067021D" w:rsidRPr="00FC2432" w:rsidRDefault="0067021D" w:rsidP="0067021D">
      <w:pPr>
        <w:rPr>
          <w:rFonts w:cs="Arial"/>
          <w:color w:val="000000" w:themeColor="text1"/>
          <w:kern w:val="32"/>
          <w:sz w:val="22"/>
          <w:szCs w:val="22"/>
        </w:rPr>
      </w:pPr>
      <w:r w:rsidRPr="00FC2432">
        <w:rPr>
          <w:rFonts w:cs="Arial"/>
          <w:color w:val="000000" w:themeColor="text1"/>
          <w:kern w:val="32"/>
          <w:sz w:val="22"/>
          <w:szCs w:val="22"/>
        </w:rPr>
        <w:t xml:space="preserve">Supplementary material </w:t>
      </w:r>
    </w:p>
    <w:p w14:paraId="723D5A48" w14:textId="77777777" w:rsidR="0067021D" w:rsidRPr="00FC2432" w:rsidRDefault="0067021D" w:rsidP="0067021D">
      <w:pPr>
        <w:rPr>
          <w:rFonts w:cs="Arial"/>
          <w:color w:val="000000" w:themeColor="text1"/>
          <w:kern w:val="32"/>
          <w:sz w:val="22"/>
          <w:szCs w:val="22"/>
        </w:rPr>
      </w:pPr>
    </w:p>
    <w:p w14:paraId="3320E136" w14:textId="498BC6D1" w:rsidR="0067021D" w:rsidRPr="00FC2432" w:rsidRDefault="0067021D" w:rsidP="0067021D">
      <w:pPr>
        <w:rPr>
          <w:rFonts w:cs="Arial"/>
          <w:b/>
          <w:bCs/>
          <w:color w:val="000000" w:themeColor="text1"/>
          <w:kern w:val="32"/>
          <w:sz w:val="32"/>
          <w:szCs w:val="32"/>
        </w:rPr>
      </w:pPr>
      <w:r w:rsidRPr="00FC2432">
        <w:rPr>
          <w:rFonts w:cs="Arial"/>
          <w:b/>
          <w:bCs/>
          <w:color w:val="000000" w:themeColor="text1"/>
          <w:kern w:val="32"/>
          <w:sz w:val="32"/>
          <w:szCs w:val="32"/>
        </w:rPr>
        <w:t xml:space="preserve">Silver nanoparticles as chlorhexidine and metronidazole drug delivery platforms potential use in periodontitis treatment </w:t>
      </w:r>
    </w:p>
    <w:p w14:paraId="2830E814" w14:textId="77777777" w:rsidR="00FC13FC" w:rsidRPr="00FC13FC" w:rsidRDefault="00FC13FC" w:rsidP="00FC13FC">
      <w:pPr>
        <w:rPr>
          <w:color w:val="000000" w:themeColor="text1"/>
        </w:rPr>
      </w:pPr>
      <w:r w:rsidRPr="00FC13FC">
        <w:rPr>
          <w:color w:val="000000" w:themeColor="text1"/>
        </w:rPr>
        <w:t>Karol P. Steckiewicz</w:t>
      </w:r>
      <w:r w:rsidRPr="00FC13FC">
        <w:rPr>
          <w:color w:val="000000" w:themeColor="text1"/>
          <w:vertAlign w:val="superscript"/>
        </w:rPr>
        <w:t>1</w:t>
      </w:r>
      <w:r w:rsidRPr="00FC13FC">
        <w:rPr>
          <w:color w:val="000000" w:themeColor="text1"/>
        </w:rPr>
        <w:t>, Piotr, Cieciórski</w:t>
      </w:r>
      <w:r w:rsidRPr="00FC13FC">
        <w:rPr>
          <w:color w:val="000000" w:themeColor="text1"/>
          <w:vertAlign w:val="superscript"/>
        </w:rPr>
        <w:t>2</w:t>
      </w:r>
      <w:r w:rsidRPr="00FC13FC">
        <w:rPr>
          <w:color w:val="000000" w:themeColor="text1"/>
        </w:rPr>
        <w:t>,</w:t>
      </w:r>
      <w:r w:rsidRPr="00FC13FC">
        <w:rPr>
          <w:color w:val="000000" w:themeColor="text1"/>
          <w:vertAlign w:val="superscript"/>
        </w:rPr>
        <w:t xml:space="preserve"> </w:t>
      </w:r>
      <w:r w:rsidRPr="00FC13FC">
        <w:rPr>
          <w:color w:val="000000" w:themeColor="text1"/>
        </w:rPr>
        <w:t>Ewelina Barcińska</w:t>
      </w:r>
      <w:r w:rsidRPr="00FC13FC">
        <w:rPr>
          <w:color w:val="000000" w:themeColor="text1"/>
          <w:vertAlign w:val="superscript"/>
        </w:rPr>
        <w:t>1</w:t>
      </w:r>
      <w:r w:rsidRPr="00FC13FC">
        <w:rPr>
          <w:color w:val="000000" w:themeColor="text1"/>
        </w:rPr>
        <w:t>, Maciej Jaśkiewicz</w:t>
      </w:r>
      <w:r w:rsidRPr="00FC13FC">
        <w:rPr>
          <w:color w:val="000000" w:themeColor="text1"/>
          <w:vertAlign w:val="superscript"/>
        </w:rPr>
        <w:t>3</w:t>
      </w:r>
      <w:r w:rsidRPr="00FC13FC">
        <w:rPr>
          <w:color w:val="000000" w:themeColor="text1"/>
        </w:rPr>
        <w:t>, Magdalena Narajczyk</w:t>
      </w:r>
      <w:r w:rsidRPr="00FC13FC">
        <w:rPr>
          <w:color w:val="000000" w:themeColor="text1"/>
          <w:vertAlign w:val="superscript"/>
        </w:rPr>
        <w:t>4</w:t>
      </w:r>
      <w:r w:rsidRPr="00FC13FC">
        <w:rPr>
          <w:color w:val="000000" w:themeColor="text1"/>
        </w:rPr>
        <w:t>, Marta Bauer</w:t>
      </w:r>
      <w:r w:rsidRPr="00FC13FC">
        <w:rPr>
          <w:color w:val="000000" w:themeColor="text1"/>
          <w:vertAlign w:val="superscript"/>
        </w:rPr>
        <w:t>3</w:t>
      </w:r>
      <w:r w:rsidRPr="00FC13FC">
        <w:rPr>
          <w:color w:val="000000" w:themeColor="text1"/>
        </w:rPr>
        <w:t>, Wojciech Kamysz</w:t>
      </w:r>
      <w:r w:rsidRPr="00FC13FC">
        <w:rPr>
          <w:color w:val="000000" w:themeColor="text1"/>
          <w:vertAlign w:val="superscript"/>
        </w:rPr>
        <w:t>3</w:t>
      </w:r>
      <w:r w:rsidRPr="00FC13FC">
        <w:rPr>
          <w:color w:val="000000" w:themeColor="text1"/>
        </w:rPr>
        <w:t xml:space="preserve">, </w:t>
      </w:r>
      <w:proofErr w:type="spellStart"/>
      <w:r w:rsidRPr="00FC13FC">
        <w:rPr>
          <w:color w:val="000000" w:themeColor="text1"/>
        </w:rPr>
        <w:t>Elżbieta</w:t>
      </w:r>
      <w:proofErr w:type="spellEnd"/>
      <w:r w:rsidRPr="00FC13FC">
        <w:rPr>
          <w:color w:val="000000" w:themeColor="text1"/>
        </w:rPr>
        <w:t xml:space="preserve"> Megiel</w:t>
      </w:r>
      <w:r w:rsidRPr="00FC13FC">
        <w:rPr>
          <w:color w:val="000000" w:themeColor="text1"/>
          <w:vertAlign w:val="superscript"/>
        </w:rPr>
        <w:t>2</w:t>
      </w:r>
      <w:r w:rsidRPr="00FC13FC">
        <w:rPr>
          <w:color w:val="000000" w:themeColor="text1"/>
        </w:rPr>
        <w:t xml:space="preserve">, Iwona </w:t>
      </w:r>
      <w:proofErr w:type="spellStart"/>
      <w:r w:rsidRPr="00FC13FC">
        <w:rPr>
          <w:color w:val="000000" w:themeColor="text1"/>
        </w:rPr>
        <w:t>Inkielewicz</w:t>
      </w:r>
      <w:proofErr w:type="spellEnd"/>
      <w:r w:rsidRPr="00FC13FC">
        <w:rPr>
          <w:color w:val="000000" w:themeColor="text1"/>
        </w:rPr>
        <w:t xml:space="preserve"> – Stepniak</w:t>
      </w:r>
      <w:r w:rsidRPr="00FC13FC">
        <w:rPr>
          <w:color w:val="000000" w:themeColor="text1"/>
          <w:vertAlign w:val="superscript"/>
        </w:rPr>
        <w:t>1*</w:t>
      </w:r>
    </w:p>
    <w:p w14:paraId="7744060D" w14:textId="77777777" w:rsidR="00FC13FC" w:rsidRPr="00FC13FC" w:rsidRDefault="00FC13FC" w:rsidP="00FC13FC">
      <w:pPr>
        <w:rPr>
          <w:color w:val="000000" w:themeColor="text1"/>
        </w:rPr>
      </w:pPr>
    </w:p>
    <w:p w14:paraId="07A9292C" w14:textId="77777777" w:rsidR="00FC13FC" w:rsidRPr="00FC13FC" w:rsidRDefault="00FC13FC" w:rsidP="00FC13FC">
      <w:pPr>
        <w:rPr>
          <w:color w:val="000000" w:themeColor="text1"/>
        </w:rPr>
      </w:pPr>
      <w:r w:rsidRPr="00FC13FC">
        <w:rPr>
          <w:color w:val="000000" w:themeColor="text1"/>
          <w:vertAlign w:val="superscript"/>
        </w:rPr>
        <w:t>1</w:t>
      </w:r>
      <w:r w:rsidRPr="00FC13FC">
        <w:rPr>
          <w:color w:val="000000" w:themeColor="text1"/>
        </w:rPr>
        <w:t xml:space="preserve"> Department of Pharmaceutical Pathophysiology, Faculty of Pharmacy, Medical University of Gdansk, Gdansk, Poland</w:t>
      </w:r>
      <w:r w:rsidRPr="00FC13FC" w:rsidDel="00FE4C11">
        <w:rPr>
          <w:color w:val="000000" w:themeColor="text1"/>
        </w:rPr>
        <w:t xml:space="preserve"> </w:t>
      </w:r>
    </w:p>
    <w:p w14:paraId="7F9D279D" w14:textId="77777777" w:rsidR="00FC13FC" w:rsidRPr="00FC13FC" w:rsidRDefault="00FC13FC" w:rsidP="00FC13FC">
      <w:pPr>
        <w:rPr>
          <w:color w:val="000000" w:themeColor="text1"/>
        </w:rPr>
      </w:pPr>
      <w:r w:rsidRPr="00FC13FC">
        <w:rPr>
          <w:color w:val="000000" w:themeColor="text1"/>
          <w:vertAlign w:val="superscript"/>
        </w:rPr>
        <w:t xml:space="preserve">2 </w:t>
      </w:r>
      <w:r w:rsidRPr="00FC13FC">
        <w:rPr>
          <w:color w:val="000000" w:themeColor="text1"/>
        </w:rPr>
        <w:t>Faculty of Chemistry, University of Warsaw, Warsaw, Poland</w:t>
      </w:r>
    </w:p>
    <w:p w14:paraId="4B05BFCD" w14:textId="77777777" w:rsidR="00FC13FC" w:rsidRPr="00FC13FC" w:rsidRDefault="00FC13FC" w:rsidP="00FC13FC">
      <w:pPr>
        <w:rPr>
          <w:color w:val="000000" w:themeColor="text1"/>
        </w:rPr>
      </w:pPr>
      <w:r w:rsidRPr="00FC13FC">
        <w:rPr>
          <w:color w:val="000000" w:themeColor="text1"/>
          <w:vertAlign w:val="superscript"/>
        </w:rPr>
        <w:t xml:space="preserve">3 </w:t>
      </w:r>
      <w:r w:rsidRPr="00FC13FC">
        <w:rPr>
          <w:color w:val="000000" w:themeColor="text1"/>
        </w:rPr>
        <w:t>Department of Inorganic Chemistry, Faculty of Pharmacy, Medical University of Gdansk, Gdansk, Poland</w:t>
      </w:r>
    </w:p>
    <w:p w14:paraId="369BE86D" w14:textId="77777777" w:rsidR="00FC13FC" w:rsidRPr="00FC13FC" w:rsidRDefault="00FC13FC" w:rsidP="00FC13FC">
      <w:pPr>
        <w:rPr>
          <w:color w:val="000000" w:themeColor="text1"/>
        </w:rPr>
      </w:pPr>
      <w:r w:rsidRPr="00FC13FC">
        <w:rPr>
          <w:color w:val="000000" w:themeColor="text1"/>
          <w:vertAlign w:val="superscript"/>
        </w:rPr>
        <w:t>4</w:t>
      </w:r>
      <w:r w:rsidRPr="00FC13FC">
        <w:rPr>
          <w:color w:val="000000" w:themeColor="text1"/>
        </w:rPr>
        <w:t xml:space="preserve"> Laboratory of Electron Microscopy, Faculty of Biology, University of Gdansk, Gdansk, Poland</w:t>
      </w:r>
    </w:p>
    <w:p w14:paraId="7810BF55" w14:textId="35891452" w:rsidR="006822ED" w:rsidRPr="00FC2432" w:rsidRDefault="006822ED" w:rsidP="0067021D">
      <w:pPr>
        <w:rPr>
          <w:color w:val="000000" w:themeColor="text1"/>
          <w:szCs w:val="20"/>
        </w:rPr>
      </w:pPr>
    </w:p>
    <w:p w14:paraId="66DD4BC1" w14:textId="52B00D45" w:rsidR="006822ED" w:rsidRPr="00FC2432" w:rsidRDefault="006822ED" w:rsidP="0067021D">
      <w:pPr>
        <w:rPr>
          <w:color w:val="000000" w:themeColor="text1"/>
          <w:szCs w:val="20"/>
        </w:rPr>
      </w:pPr>
    </w:p>
    <w:p w14:paraId="46F9E7F5" w14:textId="7C447E50" w:rsidR="006822ED" w:rsidRPr="00FC2432" w:rsidRDefault="006822ED" w:rsidP="0067021D">
      <w:pPr>
        <w:rPr>
          <w:color w:val="000000" w:themeColor="text1"/>
          <w:szCs w:val="20"/>
        </w:rPr>
      </w:pPr>
    </w:p>
    <w:p w14:paraId="6AAEBADF" w14:textId="4C43E7EF" w:rsidR="006822ED" w:rsidRPr="00FC2432" w:rsidRDefault="006822ED" w:rsidP="0067021D">
      <w:pPr>
        <w:rPr>
          <w:color w:val="000000" w:themeColor="text1"/>
          <w:szCs w:val="20"/>
        </w:rPr>
      </w:pPr>
    </w:p>
    <w:p w14:paraId="64259D61" w14:textId="12137F1D" w:rsidR="006822ED" w:rsidRPr="00FC2432" w:rsidRDefault="006822ED" w:rsidP="0067021D">
      <w:pPr>
        <w:rPr>
          <w:color w:val="000000" w:themeColor="text1"/>
          <w:szCs w:val="20"/>
        </w:rPr>
      </w:pPr>
    </w:p>
    <w:p w14:paraId="11002C18" w14:textId="4EA83CCE" w:rsidR="006822ED" w:rsidRPr="00FC2432" w:rsidRDefault="006822ED" w:rsidP="0067021D">
      <w:pPr>
        <w:rPr>
          <w:color w:val="000000" w:themeColor="text1"/>
          <w:szCs w:val="20"/>
        </w:rPr>
      </w:pPr>
    </w:p>
    <w:p w14:paraId="27318B7F" w14:textId="32C146C1" w:rsidR="006822ED" w:rsidRPr="00FC2432" w:rsidRDefault="006822ED" w:rsidP="0067021D">
      <w:pPr>
        <w:rPr>
          <w:color w:val="000000" w:themeColor="text1"/>
          <w:szCs w:val="20"/>
        </w:rPr>
      </w:pPr>
    </w:p>
    <w:p w14:paraId="3BC415C2" w14:textId="6C837D6E" w:rsidR="006822ED" w:rsidRPr="00FC2432" w:rsidRDefault="006822ED" w:rsidP="0067021D">
      <w:pPr>
        <w:rPr>
          <w:color w:val="000000" w:themeColor="text1"/>
          <w:szCs w:val="20"/>
        </w:rPr>
      </w:pPr>
    </w:p>
    <w:p w14:paraId="0B6FC985" w14:textId="5A929DCD" w:rsidR="006822ED" w:rsidRPr="00FC2432" w:rsidRDefault="006822ED" w:rsidP="0067021D">
      <w:pPr>
        <w:rPr>
          <w:color w:val="000000" w:themeColor="text1"/>
          <w:szCs w:val="20"/>
        </w:rPr>
      </w:pPr>
    </w:p>
    <w:p w14:paraId="45BC9AF0" w14:textId="6F90BE61" w:rsidR="006822ED" w:rsidRPr="00FC2432" w:rsidRDefault="006822ED" w:rsidP="0067021D">
      <w:pPr>
        <w:rPr>
          <w:color w:val="000000" w:themeColor="text1"/>
          <w:szCs w:val="20"/>
        </w:rPr>
      </w:pPr>
    </w:p>
    <w:p w14:paraId="1EE47D3C" w14:textId="3EA53326" w:rsidR="006822ED" w:rsidRPr="00FC2432" w:rsidRDefault="006822ED" w:rsidP="0067021D">
      <w:pPr>
        <w:rPr>
          <w:color w:val="000000" w:themeColor="text1"/>
          <w:szCs w:val="20"/>
        </w:rPr>
      </w:pPr>
    </w:p>
    <w:p w14:paraId="2E3EE230" w14:textId="7919995D" w:rsidR="006822ED" w:rsidRPr="00FC2432" w:rsidRDefault="006822ED" w:rsidP="006822ED">
      <w:pPr>
        <w:widowControl w:val="0"/>
        <w:jc w:val="center"/>
        <w:rPr>
          <w:rFonts w:cs="Arial"/>
          <w:b/>
          <w:bCs/>
          <w:color w:val="000000" w:themeColor="text1"/>
        </w:rPr>
      </w:pPr>
      <w:r w:rsidRPr="00FC2432">
        <w:rPr>
          <w:rFonts w:cs="Arial"/>
          <w:b/>
          <w:bCs/>
          <w:noProof/>
          <w:color w:val="000000" w:themeColor="text1"/>
        </w:rPr>
        <w:lastRenderedPageBreak/>
        <w:drawing>
          <wp:inline distT="0" distB="0" distL="0" distR="0" wp14:anchorId="661D87AF" wp14:editId="41EC4865">
            <wp:extent cx="4203326" cy="5700408"/>
            <wp:effectExtent l="0" t="0" r="635" b="1905"/>
            <wp:docPr id="7" name="Obraz 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tekst&#10;&#10;Opis wygenerowany automatycznie"/>
                    <pic:cNvPicPr/>
                  </pic:nvPicPr>
                  <pic:blipFill>
                    <a:blip r:embed="rId4">
                      <a:extLst>
                        <a:ext uri="{28A0092B-C50C-407E-A947-70E740481C1C}">
                          <a14:useLocalDpi xmlns:a14="http://schemas.microsoft.com/office/drawing/2010/main" val="0"/>
                        </a:ext>
                      </a:extLst>
                    </a:blip>
                    <a:stretch>
                      <a:fillRect/>
                    </a:stretch>
                  </pic:blipFill>
                  <pic:spPr>
                    <a:xfrm>
                      <a:off x="0" y="0"/>
                      <a:ext cx="4224726" cy="5729430"/>
                    </a:xfrm>
                    <a:prstGeom prst="rect">
                      <a:avLst/>
                    </a:prstGeom>
                  </pic:spPr>
                </pic:pic>
              </a:graphicData>
            </a:graphic>
          </wp:inline>
        </w:drawing>
      </w:r>
    </w:p>
    <w:p w14:paraId="21EB319F" w14:textId="15BDD270" w:rsidR="006822ED" w:rsidRPr="00FC2432" w:rsidRDefault="006822ED" w:rsidP="006822ED">
      <w:pPr>
        <w:widowControl w:val="0"/>
        <w:rPr>
          <w:rFonts w:cs="Arial"/>
          <w:color w:val="000000" w:themeColor="text1"/>
        </w:rPr>
      </w:pPr>
      <w:r w:rsidRPr="00FC2432">
        <w:rPr>
          <w:rFonts w:cs="Arial"/>
          <w:b/>
          <w:bCs/>
          <w:color w:val="000000" w:themeColor="text1"/>
        </w:rPr>
        <w:t>Supplementary figure 1</w:t>
      </w:r>
      <w:r w:rsidRPr="00FC2432">
        <w:rPr>
          <w:rFonts w:cs="Arial"/>
          <w:color w:val="000000" w:themeColor="text1"/>
        </w:rPr>
        <w:t xml:space="preserve"> Effect of AgNPs-CHL and AgNPs-PEG-MET on viability of cells. Viability was measure by MTT assay after 24h of treatment. a) HGF-1 cells, b) hFOB1.19 cells, c) RAW264.7 cells. Data are presented as mean ± SD. * p&lt;0.05, *** p&lt;0.001</w:t>
      </w:r>
    </w:p>
    <w:p w14:paraId="65672F88" w14:textId="56DB5F53" w:rsidR="006822ED" w:rsidRPr="00FC2432" w:rsidRDefault="006822ED" w:rsidP="006822ED">
      <w:pPr>
        <w:widowControl w:val="0"/>
        <w:rPr>
          <w:rFonts w:cs="Arial"/>
          <w:color w:val="000000" w:themeColor="text1"/>
        </w:rPr>
      </w:pPr>
    </w:p>
    <w:p w14:paraId="62A8162A" w14:textId="77777777" w:rsidR="006822ED" w:rsidRPr="00FC2432" w:rsidRDefault="006822ED" w:rsidP="0067021D">
      <w:pPr>
        <w:rPr>
          <w:color w:val="000000" w:themeColor="text1"/>
          <w:szCs w:val="20"/>
        </w:rPr>
      </w:pPr>
    </w:p>
    <w:p w14:paraId="15038697" w14:textId="48ADE29B" w:rsidR="0067021D" w:rsidRPr="00FC2432" w:rsidRDefault="0067021D" w:rsidP="0067021D">
      <w:pPr>
        <w:jc w:val="center"/>
        <w:rPr>
          <w:color w:val="000000" w:themeColor="text1"/>
          <w:szCs w:val="20"/>
        </w:rPr>
      </w:pPr>
      <w:r w:rsidRPr="00FC2432">
        <w:rPr>
          <w:noProof/>
          <w:color w:val="000000" w:themeColor="text1"/>
          <w:szCs w:val="20"/>
        </w:rPr>
        <w:lastRenderedPageBreak/>
        <w:drawing>
          <wp:inline distT="0" distB="0" distL="0" distR="0" wp14:anchorId="51DB3E55" wp14:editId="326297EA">
            <wp:extent cx="5394251" cy="4968949"/>
            <wp:effectExtent l="0" t="0" r="381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r="6300" b="40234"/>
                    <a:stretch/>
                  </pic:blipFill>
                  <pic:spPr bwMode="auto">
                    <a:xfrm>
                      <a:off x="0" y="0"/>
                      <a:ext cx="5394251" cy="4968949"/>
                    </a:xfrm>
                    <a:prstGeom prst="rect">
                      <a:avLst/>
                    </a:prstGeom>
                    <a:ln>
                      <a:noFill/>
                    </a:ln>
                    <a:extLst>
                      <a:ext uri="{53640926-AAD7-44D8-BBD7-CCE9431645EC}">
                        <a14:shadowObscured xmlns:a14="http://schemas.microsoft.com/office/drawing/2010/main"/>
                      </a:ext>
                    </a:extLst>
                  </pic:spPr>
                </pic:pic>
              </a:graphicData>
            </a:graphic>
          </wp:inline>
        </w:drawing>
      </w:r>
    </w:p>
    <w:p w14:paraId="2BC91448" w14:textId="267A5219" w:rsidR="00340312" w:rsidRPr="00FC2432" w:rsidRDefault="0067021D" w:rsidP="0067021D">
      <w:pPr>
        <w:widowControl w:val="0"/>
        <w:rPr>
          <w:rFonts w:cs="Arial"/>
          <w:color w:val="000000" w:themeColor="text1"/>
        </w:rPr>
      </w:pPr>
      <w:r w:rsidRPr="00FC2432">
        <w:rPr>
          <w:rFonts w:cs="Arial"/>
          <w:b/>
          <w:bCs/>
          <w:color w:val="000000" w:themeColor="text1"/>
        </w:rPr>
        <w:t xml:space="preserve">Supplementary figure </w:t>
      </w:r>
      <w:r w:rsidR="006822ED" w:rsidRPr="00FC2432">
        <w:rPr>
          <w:rFonts w:cs="Arial"/>
          <w:b/>
          <w:bCs/>
          <w:color w:val="000000" w:themeColor="text1"/>
        </w:rPr>
        <w:t>2</w:t>
      </w:r>
      <w:r w:rsidRPr="00FC2432">
        <w:rPr>
          <w:rFonts w:cs="Arial"/>
          <w:color w:val="000000" w:themeColor="text1"/>
        </w:rPr>
        <w:t xml:space="preserve"> Intracellular production of cytokines by HGF-1 cells. Cells were treated with AgNPs for 24h and LPS was used to stimulate inflammation. Production of IL-1ß a), production of IL-6 b), production of TNFα c), production of IL-8 d). Data are presented as mean ± SD. </w:t>
      </w:r>
    </w:p>
    <w:p w14:paraId="1920F3EC" w14:textId="18D92587" w:rsidR="0067021D" w:rsidRPr="00FC2432" w:rsidRDefault="0067021D" w:rsidP="0067021D">
      <w:pPr>
        <w:widowControl w:val="0"/>
        <w:jc w:val="center"/>
        <w:rPr>
          <w:rFonts w:cs="Arial"/>
          <w:color w:val="000000" w:themeColor="text1"/>
        </w:rPr>
      </w:pPr>
      <w:r w:rsidRPr="00FC2432">
        <w:rPr>
          <w:rFonts w:cs="Arial"/>
          <w:noProof/>
          <w:color w:val="000000" w:themeColor="text1"/>
        </w:rPr>
        <w:lastRenderedPageBreak/>
        <w:drawing>
          <wp:inline distT="0" distB="0" distL="0" distR="0" wp14:anchorId="5D817B64" wp14:editId="75BDD41F">
            <wp:extent cx="3671776" cy="7676763"/>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r="30914"/>
                    <a:stretch/>
                  </pic:blipFill>
                  <pic:spPr bwMode="auto">
                    <a:xfrm>
                      <a:off x="0" y="0"/>
                      <a:ext cx="3692810" cy="7720740"/>
                    </a:xfrm>
                    <a:prstGeom prst="rect">
                      <a:avLst/>
                    </a:prstGeom>
                    <a:ln>
                      <a:noFill/>
                    </a:ln>
                    <a:extLst>
                      <a:ext uri="{53640926-AAD7-44D8-BBD7-CCE9431645EC}">
                        <a14:shadowObscured xmlns:a14="http://schemas.microsoft.com/office/drawing/2010/main"/>
                      </a:ext>
                    </a:extLst>
                  </pic:spPr>
                </pic:pic>
              </a:graphicData>
            </a:graphic>
          </wp:inline>
        </w:drawing>
      </w:r>
    </w:p>
    <w:p w14:paraId="537E4C14" w14:textId="169E68F7" w:rsidR="0033501C" w:rsidRPr="00FC2432" w:rsidRDefault="0067021D" w:rsidP="0067021D">
      <w:pPr>
        <w:widowControl w:val="0"/>
        <w:rPr>
          <w:rFonts w:cs="Arial"/>
          <w:color w:val="000000" w:themeColor="text1"/>
        </w:rPr>
      </w:pPr>
      <w:r w:rsidRPr="00FC2432">
        <w:rPr>
          <w:rFonts w:cs="Arial"/>
          <w:b/>
          <w:bCs/>
          <w:color w:val="000000" w:themeColor="text1"/>
        </w:rPr>
        <w:t xml:space="preserve">Supplementary figure </w:t>
      </w:r>
      <w:r w:rsidR="006822ED" w:rsidRPr="00FC2432">
        <w:rPr>
          <w:rFonts w:cs="Arial"/>
          <w:b/>
          <w:bCs/>
          <w:color w:val="000000" w:themeColor="text1"/>
        </w:rPr>
        <w:t>3</w:t>
      </w:r>
      <w:r w:rsidRPr="00FC2432">
        <w:rPr>
          <w:rFonts w:cs="Arial"/>
          <w:color w:val="000000" w:themeColor="text1"/>
        </w:rPr>
        <w:t xml:space="preserve"> Metalloproteinase levels in HGF-1 cells. Cells were treated with AgNPs for 24h and LPS was used to stimulate inflammation representative western blots a), quantification of MMP3 levels b), quantification of MMP8 levels c), quantification of MMP9 levels d). Data are presented as mean ± SD. *p&lt;0.05 (vs control treated with LPS).</w:t>
      </w:r>
    </w:p>
    <w:sectPr w:rsidR="0033501C" w:rsidRPr="00FC2432" w:rsidSect="00FB08F4">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72E4"/>
    <w:rsid w:val="001B72E4"/>
    <w:rsid w:val="003008B9"/>
    <w:rsid w:val="0033501C"/>
    <w:rsid w:val="00340312"/>
    <w:rsid w:val="0067021D"/>
    <w:rsid w:val="006822ED"/>
    <w:rsid w:val="00FB08F4"/>
    <w:rsid w:val="00FC13FC"/>
    <w:rsid w:val="00FC2432"/>
  </w:rsids>
  <m:mathPr>
    <m:mathFont m:val="Cambria Math"/>
    <m:brkBin m:val="before"/>
    <m:brkBinSub m:val="--"/>
    <m:smallFrac m:val="0"/>
    <m:dispDef/>
    <m:lMargin m:val="0"/>
    <m:rMargin m:val="0"/>
    <m:defJc m:val="centerGroup"/>
    <m:wrapIndent m:val="1440"/>
    <m:intLim m:val="subSup"/>
    <m:naryLim m:val="undOvr"/>
  </m:mathPr>
  <w:themeFontLang w:val="pl-PL"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0F2153"/>
  <w15:chartTrackingRefBased/>
  <w15:docId w15:val="{2B9524C9-27C5-FF4E-B0FA-3CD3D168C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pl-P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021D"/>
    <w:pPr>
      <w:spacing w:line="480" w:lineRule="auto"/>
    </w:pPr>
    <w:rPr>
      <w:rFonts w:ascii="Arial" w:eastAsia="Times New Roman" w:hAnsi="Arial" w:cs="Times New Roman"/>
      <w:sz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241</Words>
  <Characters>1375</Characters>
  <Application>Microsoft Office Word</Application>
  <DocSecurity>0</DocSecurity>
  <Lines>11</Lines>
  <Paragraphs>3</Paragraphs>
  <ScaleCrop>false</ScaleCrop>
  <Company/>
  <LinksUpToDate>false</LinksUpToDate>
  <CharactersWithSpaces>1613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Karol Steckiewicz</dc:creator>
  <cp:keywords/>
  <dc:description/>
  <cp:lastModifiedBy>Lee, Boon</cp:lastModifiedBy>
  <cp:revision>2</cp:revision>
  <dcterms:created xsi:type="dcterms:W3CDTF">2022-01-13T00:27:00Z</dcterms:created>
  <dcterms:modified xsi:type="dcterms:W3CDTF">2022-01-13T00:27:00Z</dcterms:modified>
</cp:coreProperties>
</file>