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DDDE" w14:textId="77777777" w:rsidR="008E27B5" w:rsidRPr="00AF1AED" w:rsidRDefault="008E27B5" w:rsidP="008E27B5">
      <w:pP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</w:pPr>
      <w:r w:rsidRPr="00D364C2">
        <w:rPr>
          <w:rFonts w:ascii="Arial" w:eastAsia="等线" w:hAnsi="Arial" w:cs="Arial"/>
          <w:color w:val="000000" w:themeColor="text1"/>
          <w:sz w:val="18"/>
          <w:szCs w:val="18"/>
        </w:rPr>
        <w:t>Table S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1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. 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E</w:t>
      </w:r>
      <w:r>
        <w:rPr>
          <w:rFonts w:ascii="Arial" w:eastAsia="等线" w:hAnsi="Arial" w:cs="Arial" w:hint="eastAsia"/>
          <w:color w:val="000000" w:themeColor="text1"/>
          <w:sz w:val="18"/>
          <w:szCs w:val="18"/>
          <w:lang w:val="en-US"/>
        </w:rPr>
        <w:t>ti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ological diagnosis of patients with nonreactive or reactive phenotype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4154"/>
        <w:gridCol w:w="3321"/>
      </w:tblGrid>
      <w:tr w:rsidR="008E27B5" w:rsidRPr="0046783D" w14:paraId="1756E194" w14:textId="77777777" w:rsidTr="00C5647A">
        <w:trPr>
          <w:trHeight w:val="416"/>
        </w:trPr>
        <w:tc>
          <w:tcPr>
            <w:tcW w:w="1120" w:type="dxa"/>
            <w:tcBorders>
              <w:bottom w:val="single" w:sz="4" w:space="0" w:color="auto"/>
              <w:right w:val="nil"/>
            </w:tcBorders>
          </w:tcPr>
          <w:p w14:paraId="33545C66" w14:textId="77777777" w:rsidR="008E27B5" w:rsidRPr="00E00812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Phenotypes</w:t>
            </w:r>
          </w:p>
        </w:tc>
        <w:tc>
          <w:tcPr>
            <w:tcW w:w="4181" w:type="dxa"/>
            <w:tcBorders>
              <w:left w:val="nil"/>
              <w:bottom w:val="single" w:sz="4" w:space="0" w:color="auto"/>
              <w:right w:val="nil"/>
            </w:tcBorders>
          </w:tcPr>
          <w:p w14:paraId="46698B39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Nonreactive</w:t>
            </w:r>
          </w:p>
          <w:p w14:paraId="5A0EDF33" w14:textId="77777777" w:rsidR="008E27B5" w:rsidRPr="00E00812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(n=51)</w:t>
            </w:r>
          </w:p>
        </w:tc>
        <w:tc>
          <w:tcPr>
            <w:tcW w:w="3341" w:type="dxa"/>
            <w:tcBorders>
              <w:left w:val="nil"/>
              <w:bottom w:val="single" w:sz="4" w:space="0" w:color="auto"/>
            </w:tcBorders>
          </w:tcPr>
          <w:p w14:paraId="07958B09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Reactive</w:t>
            </w:r>
          </w:p>
          <w:p w14:paraId="0F039424" w14:textId="77777777" w:rsidR="008E27B5" w:rsidRPr="003C2420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(n=21)</w:t>
            </w:r>
          </w:p>
        </w:tc>
      </w:tr>
      <w:tr w:rsidR="008E27B5" w:rsidRPr="0046783D" w14:paraId="0A49ECFE" w14:textId="77777777" w:rsidTr="00C5647A">
        <w:trPr>
          <w:trHeight w:val="1460"/>
        </w:trPr>
        <w:tc>
          <w:tcPr>
            <w:tcW w:w="1120" w:type="dxa"/>
            <w:tcBorders>
              <w:bottom w:val="nil"/>
              <w:right w:val="nil"/>
            </w:tcBorders>
          </w:tcPr>
          <w:p w14:paraId="7B189C97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Viruses</w:t>
            </w:r>
          </w:p>
          <w:p w14:paraId="7A3C450A" w14:textId="77777777" w:rsidR="008E27B5" w:rsidRPr="0046783D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1" w:type="dxa"/>
            <w:tcBorders>
              <w:left w:val="nil"/>
              <w:bottom w:val="nil"/>
              <w:right w:val="nil"/>
            </w:tcBorders>
          </w:tcPr>
          <w:p w14:paraId="753177F5" w14:textId="77777777" w:rsidR="008E27B5" w:rsidRPr="007C689F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CMV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18</w:t>
            </w:r>
          </w:p>
          <w:p w14:paraId="05D3DE6E" w14:textId="77777777" w:rsidR="008E27B5" w:rsidRPr="006E21E7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RSV 5</w:t>
            </w:r>
          </w:p>
          <w:p w14:paraId="2C08CF25" w14:textId="77777777" w:rsidR="008E27B5" w:rsidRPr="002020AB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Influenza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virus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2</w:t>
            </w:r>
          </w:p>
          <w:p w14:paraId="68FF8638" w14:textId="77777777" w:rsidR="008E27B5" w:rsidRPr="002020AB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Influenza A virus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2DCD12FF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Human Alphaherpes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virus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2</w:t>
            </w:r>
          </w:p>
          <w:p w14:paraId="2F5E95C2" w14:textId="77777777" w:rsidR="008E27B5" w:rsidRPr="00083ACF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EBV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</w:p>
          <w:p w14:paraId="5AA3F423" w14:textId="77777777" w:rsidR="008E27B5" w:rsidRPr="00A655C4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Adenovirus 1</w:t>
            </w:r>
          </w:p>
          <w:p w14:paraId="5ED9D98D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667BD335" w14:textId="77777777" w:rsidR="008E27B5" w:rsidRPr="00C332FB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3762820E" w14:textId="77777777" w:rsidR="008E27B5" w:rsidRPr="009C48BA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41" w:type="dxa"/>
            <w:tcBorders>
              <w:left w:val="nil"/>
              <w:bottom w:val="nil"/>
            </w:tcBorders>
          </w:tcPr>
          <w:p w14:paraId="592418D8" w14:textId="77777777" w:rsidR="008E27B5" w:rsidRPr="00C332FB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EBV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</w:t>
            </w:r>
          </w:p>
          <w:p w14:paraId="58D9F46D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Adenovirus 2</w:t>
            </w:r>
          </w:p>
          <w:p w14:paraId="3C82F142" w14:textId="77777777" w:rsidR="008E27B5" w:rsidRPr="00D5281D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B5A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Human coronavirus OC43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</w:p>
          <w:p w14:paraId="066E4DE4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50AEE04B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5FDF8D7D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1E43D1FF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2ADBF875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53D76BA8" w14:textId="77777777" w:rsidR="008E27B5" w:rsidRPr="00C12631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E27B5" w:rsidRPr="0046783D" w14:paraId="3EA9B5C7" w14:textId="77777777" w:rsidTr="00C5647A">
        <w:trPr>
          <w:trHeight w:val="1264"/>
        </w:trPr>
        <w:tc>
          <w:tcPr>
            <w:tcW w:w="1120" w:type="dxa"/>
            <w:tcBorders>
              <w:top w:val="nil"/>
              <w:bottom w:val="nil"/>
              <w:right w:val="nil"/>
            </w:tcBorders>
          </w:tcPr>
          <w:p w14:paraId="51158166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Bacteria</w:t>
            </w:r>
          </w:p>
          <w:p w14:paraId="4111F794" w14:textId="77777777" w:rsidR="008E27B5" w:rsidRPr="0046783D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6953B437" w14:textId="77777777" w:rsidR="008E27B5" w:rsidRPr="009C48BA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Staphylococcus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Pneumoniae</w:t>
            </w: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3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Stenotrophomonas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M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altophilia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2</w:t>
            </w:r>
          </w:p>
          <w:p w14:paraId="4B359ED0" w14:textId="77777777" w:rsidR="008E27B5" w:rsidRPr="00C00735" w:rsidRDefault="008E27B5" w:rsidP="00C5647A">
            <w:pP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C7514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Moraxella catarrhalis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2</w:t>
            </w:r>
          </w:p>
          <w:p w14:paraId="631A5C90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Enterococcus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</w:t>
            </w: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aecalis 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55DF9B3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Acinetobacter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B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aumannii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1</w:t>
            </w:r>
          </w:p>
          <w:p w14:paraId="01410566" w14:textId="77777777" w:rsidR="008E27B5" w:rsidRPr="00C00735" w:rsidRDefault="008E27B5" w:rsidP="00C5647A">
            <w:pPr>
              <w:rPr>
                <w:lang w:val="en-US"/>
              </w:rPr>
            </w:pPr>
            <w:r w:rsidRPr="00C0073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Burkholderia pseudomallei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</w:p>
          <w:p w14:paraId="3678C477" w14:textId="77777777" w:rsidR="008E27B5" w:rsidRPr="009C48BA" w:rsidRDefault="008E27B5" w:rsidP="00C5647A">
            <w:pP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47558C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Haemophilus influenzae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5215DBBA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2B9B535A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00D962F0" w14:textId="77777777" w:rsidR="008E27B5" w:rsidRPr="00C12631" w:rsidRDefault="008E27B5" w:rsidP="00C5647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</w:tcBorders>
          </w:tcPr>
          <w:p w14:paraId="2EB5505A" w14:textId="77777777" w:rsidR="008E27B5" w:rsidRPr="00C0073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Pseudomonas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A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eruginosa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  <w:p w14:paraId="7CD86B41" w14:textId="77777777" w:rsidR="008E27B5" w:rsidRPr="009C48BA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Staphylococcus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A</w:t>
            </w: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ureus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2</w:t>
            </w:r>
          </w:p>
          <w:p w14:paraId="15978ACC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Acinetobacter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B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aumannii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71B47ECF" w14:textId="77777777" w:rsidR="008E27B5" w:rsidRPr="00C00735" w:rsidRDefault="008E27B5" w:rsidP="00C5647A">
            <w:pPr>
              <w:rPr>
                <w:lang w:val="en-US"/>
              </w:rPr>
            </w:pPr>
            <w:r w:rsidRPr="00C0073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Burkholderia pseudomallei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</w:p>
          <w:p w14:paraId="3471CF13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Enterococcus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</w:t>
            </w: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aecalis 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0D21D9C2" w14:textId="77777777" w:rsidR="008E27B5" w:rsidRPr="004D3974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541CB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Escherichia Coli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66AB9063" w14:textId="77777777" w:rsidR="008E27B5" w:rsidRPr="009C48BA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Klebsiella Pneumoniae 1</w:t>
            </w:r>
          </w:p>
          <w:p w14:paraId="5ECF068C" w14:textId="77777777" w:rsidR="008E27B5" w:rsidRPr="009C48BA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Staphylococcus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Pneumoniae 1</w:t>
            </w:r>
          </w:p>
          <w:p w14:paraId="473B07DE" w14:textId="77777777" w:rsidR="008E27B5" w:rsidRPr="00C12631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E27B5" w:rsidRPr="0046783D" w14:paraId="7E1A51B9" w14:textId="77777777" w:rsidTr="00C5647A">
        <w:trPr>
          <w:trHeight w:val="970"/>
        </w:trPr>
        <w:tc>
          <w:tcPr>
            <w:tcW w:w="1120" w:type="dxa"/>
            <w:tcBorders>
              <w:top w:val="nil"/>
              <w:bottom w:val="nil"/>
              <w:right w:val="nil"/>
            </w:tcBorders>
          </w:tcPr>
          <w:p w14:paraId="0FAF5CE0" w14:textId="77777777" w:rsidR="008E27B5" w:rsidRPr="00E00812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Fung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al</w:t>
            </w:r>
          </w:p>
          <w:p w14:paraId="558ABF16" w14:textId="77777777" w:rsidR="008E27B5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46D1944C" w14:textId="77777777" w:rsidR="008E27B5" w:rsidRPr="002D546D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0037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Aspergillus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</w:t>
            </w:r>
            <w:r w:rsidRPr="0090037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umigatus</w:t>
            </w: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</w:p>
          <w:p w14:paraId="7132F143" w14:textId="77777777" w:rsidR="008E27B5" w:rsidRPr="00E75BE2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D0730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Pneumocystis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J</w:t>
            </w:r>
            <w:r w:rsidRPr="00D0730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iroveci</w:t>
            </w: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2</w:t>
            </w:r>
          </w:p>
          <w:p w14:paraId="4A5E8662" w14:textId="77777777" w:rsidR="008E27B5" w:rsidRDefault="008E27B5" w:rsidP="00C5647A">
            <w:pP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3C12C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Rhizopus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O</w:t>
            </w:r>
            <w:r w:rsidRPr="003C12C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ligosporus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75BE2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</w:p>
          <w:p w14:paraId="27563EEF" w14:textId="77777777" w:rsidR="008E27B5" w:rsidRPr="00C12631" w:rsidRDefault="008E27B5" w:rsidP="00C5647A">
            <w:pPr>
              <w:spacing w:line="276" w:lineRule="auto"/>
              <w:rPr>
                <w:rFonts w:ascii="Arial" w:eastAsia="等线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</w:tcBorders>
          </w:tcPr>
          <w:p w14:paraId="32B92ECB" w14:textId="77777777" w:rsidR="008E27B5" w:rsidRPr="0014118F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0730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Pneumocystis </w:t>
            </w: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>J</w:t>
            </w:r>
            <w:r w:rsidRPr="00D0730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iroveci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2</w:t>
            </w:r>
          </w:p>
          <w:p w14:paraId="0544DEAB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  <w:p w14:paraId="3E1EED16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37A29DA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40A46743" w14:textId="77777777" w:rsidR="008E27B5" w:rsidRPr="00C12631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8E27B5" w:rsidRPr="0046783D" w14:paraId="0061A8FE" w14:textId="77777777" w:rsidTr="00C5647A">
        <w:trPr>
          <w:trHeight w:val="725"/>
        </w:trPr>
        <w:tc>
          <w:tcPr>
            <w:tcW w:w="1120" w:type="dxa"/>
            <w:tcBorders>
              <w:top w:val="nil"/>
              <w:right w:val="nil"/>
            </w:tcBorders>
          </w:tcPr>
          <w:p w14:paraId="52BE24FC" w14:textId="77777777" w:rsidR="008E27B5" w:rsidRPr="00E00812" w:rsidRDefault="008E27B5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Others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639DBE46" w14:textId="77777777" w:rsidR="008E27B5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95F2E"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Chlamydia </w:t>
            </w:r>
            <w:proofErr w:type="spellStart"/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</w:t>
            </w:r>
            <w:r w:rsidRPr="00595F2E"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sittac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</w:p>
          <w:p w14:paraId="35995E65" w14:textId="77777777" w:rsidR="008E27B5" w:rsidRPr="00996CF9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Mycoplasma Pneumoniae 1</w:t>
            </w:r>
          </w:p>
          <w:p w14:paraId="57C70FCC" w14:textId="77777777" w:rsidR="008E27B5" w:rsidRPr="00C12631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341" w:type="dxa"/>
            <w:tcBorders>
              <w:top w:val="nil"/>
              <w:left w:val="nil"/>
            </w:tcBorders>
          </w:tcPr>
          <w:p w14:paraId="0AB5ED6A" w14:textId="77777777" w:rsidR="008E27B5" w:rsidRPr="00C12631" w:rsidRDefault="008E27B5" w:rsidP="00C5647A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L</w:t>
            </w:r>
            <w:r w:rsidRPr="001163B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egionella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</w:t>
            </w:r>
            <w:r w:rsidRPr="001163B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neumophila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</w:p>
        </w:tc>
      </w:tr>
    </w:tbl>
    <w:p w14:paraId="3D9CD591" w14:textId="77777777" w:rsidR="008E27B5" w:rsidRPr="00D364C2" w:rsidRDefault="008E27B5" w:rsidP="008E27B5">
      <w:pPr>
        <w:widowControl w:val="0"/>
        <w:autoSpaceDE w:val="0"/>
        <w:autoSpaceDN w:val="0"/>
        <w:adjustRightInd w:val="0"/>
        <w:spacing w:line="240" w:lineRule="exact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4A2C30">
        <w:rPr>
          <w:rFonts w:ascii="Arial" w:eastAsia="等线" w:hAnsi="Arial" w:cs="Arial"/>
          <w:i/>
          <w:color w:val="000000" w:themeColor="text1"/>
          <w:sz w:val="18"/>
          <w:szCs w:val="18"/>
        </w:rPr>
        <w:t>CMV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 xml:space="preserve">Human 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Cytomegalovirus; </w:t>
      </w:r>
      <w:r w:rsidRPr="004A2C30">
        <w:rPr>
          <w:rFonts w:ascii="Arial" w:eastAsia="等线" w:hAnsi="Arial" w:cs="Arial" w:hint="eastAsia"/>
          <w:i/>
          <w:color w:val="000000" w:themeColor="text1"/>
          <w:sz w:val="18"/>
          <w:szCs w:val="18"/>
        </w:rPr>
        <w:t>EBV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: Epstein-Barr Virus; </w:t>
      </w:r>
      <w:r w:rsidRPr="004A2C30">
        <w:rPr>
          <w:rFonts w:ascii="Arial" w:eastAsia="等线" w:hAnsi="Arial" w:cs="Arial"/>
          <w:i/>
          <w:color w:val="000000" w:themeColor="text1"/>
          <w:sz w:val="18"/>
          <w:szCs w:val="18"/>
        </w:rPr>
        <w:t>RSV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 xml:space="preserve">Human 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>Respiratory Syncytial Virus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.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 </w:t>
      </w:r>
    </w:p>
    <w:p w14:paraId="44B9E57B" w14:textId="77777777" w:rsidR="008E27B5" w:rsidRDefault="008E27B5" w:rsidP="008E27B5">
      <w:pPr>
        <w:widowControl w:val="0"/>
        <w:autoSpaceDE w:val="0"/>
        <w:autoSpaceDN w:val="0"/>
        <w:adjustRightInd w:val="0"/>
        <w:rPr>
          <w:rFonts w:ascii="Arial" w:eastAsia="等线" w:hAnsi="Arial" w:cs="Arial"/>
          <w:color w:val="000000" w:themeColor="text1"/>
          <w:sz w:val="18"/>
          <w:szCs w:val="18"/>
        </w:rPr>
      </w:pPr>
      <w:r>
        <w:rPr>
          <w:rFonts w:ascii="Arial" w:eastAsia="等线" w:hAnsi="Arial" w:cs="Arial"/>
          <w:color w:val="000000" w:themeColor="text1"/>
          <w:sz w:val="18"/>
          <w:szCs w:val="18"/>
        </w:rPr>
        <w:br w:type="page"/>
      </w:r>
    </w:p>
    <w:p w14:paraId="08E9535E" w14:textId="6618BA43" w:rsidR="00814B76" w:rsidRPr="00AF1AED" w:rsidRDefault="00814B76" w:rsidP="00814B76">
      <w:pP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</w:pPr>
      <w:r w:rsidRPr="00D364C2">
        <w:rPr>
          <w:rFonts w:ascii="Arial" w:eastAsia="等线" w:hAnsi="Arial" w:cs="Arial"/>
          <w:color w:val="000000" w:themeColor="text1"/>
          <w:sz w:val="18"/>
          <w:szCs w:val="18"/>
        </w:rPr>
        <w:lastRenderedPageBreak/>
        <w:t>Table S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2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. </w:t>
      </w:r>
      <w:r w:rsidR="00021301"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Association of etiological pathogen and nonreactive phenotype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1604"/>
        <w:gridCol w:w="1605"/>
        <w:gridCol w:w="1605"/>
      </w:tblGrid>
      <w:tr w:rsidR="00535E33" w:rsidRPr="0046783D" w14:paraId="40168C05" w14:textId="7793361C" w:rsidTr="006D3953">
        <w:trPr>
          <w:trHeight w:val="416"/>
        </w:trPr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14:paraId="7A2FF20B" w14:textId="28D89925" w:rsidR="00535E33" w:rsidRPr="00E00812" w:rsidRDefault="00535E33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  <w:lang w:val="en-US"/>
              </w:rPr>
              <w:t>Type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  <w:lang w:val="en-US"/>
              </w:rPr>
              <w:t>o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 etiology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00B87680" w14:textId="582AF266" w:rsidR="00535E33" w:rsidRPr="00E00812" w:rsidRDefault="00535E33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Pathogen</w:t>
            </w:r>
          </w:p>
        </w:tc>
        <w:tc>
          <w:tcPr>
            <w:tcW w:w="1604" w:type="dxa"/>
            <w:tcBorders>
              <w:left w:val="nil"/>
              <w:bottom w:val="single" w:sz="4" w:space="0" w:color="auto"/>
              <w:right w:val="nil"/>
            </w:tcBorders>
          </w:tcPr>
          <w:p w14:paraId="2E18B648" w14:textId="77777777" w:rsidR="00535E33" w:rsidRDefault="00535E33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Phi coefficient </w:t>
            </w:r>
          </w:p>
          <w:p w14:paraId="7B7E8739" w14:textId="1585F4EF" w:rsidR="00535E33" w:rsidRPr="003C2420" w:rsidRDefault="00535E33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for nonreactive phenotype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nil"/>
            </w:tcBorders>
          </w:tcPr>
          <w:p w14:paraId="48668C9A" w14:textId="77777777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Phi coefficient </w:t>
            </w:r>
          </w:p>
          <w:p w14:paraId="68080176" w14:textId="16024A69" w:rsidR="00535E33" w:rsidRPr="00760F39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for reactive phenotype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</w:tcBorders>
          </w:tcPr>
          <w:p w14:paraId="658FD2FF" w14:textId="6F63F056" w:rsidR="00535E33" w:rsidRPr="00760F39" w:rsidRDefault="00535E33" w:rsidP="00C5647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760F39">
              <w:rPr>
                <w:rFonts w:ascii="Arial" w:eastAsia="等线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>P</w:t>
            </w:r>
          </w:p>
        </w:tc>
      </w:tr>
      <w:tr w:rsidR="00535E33" w:rsidRPr="0046783D" w14:paraId="7464CD53" w14:textId="599E602B" w:rsidTr="006D3953">
        <w:trPr>
          <w:trHeight w:val="1460"/>
        </w:trPr>
        <w:tc>
          <w:tcPr>
            <w:tcW w:w="993" w:type="dxa"/>
            <w:tcBorders>
              <w:bottom w:val="nil"/>
              <w:right w:val="nil"/>
            </w:tcBorders>
          </w:tcPr>
          <w:p w14:paraId="3C066E76" w14:textId="77777777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Viruses</w:t>
            </w:r>
          </w:p>
          <w:p w14:paraId="5DC88C1E" w14:textId="77777777" w:rsidR="00535E33" w:rsidRPr="0046783D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71B44046" w14:textId="1EEDF614" w:rsidR="00535E33" w:rsidRPr="007C689F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CMV </w:t>
            </w:r>
          </w:p>
          <w:p w14:paraId="2B12B46B" w14:textId="2A0625A6" w:rsidR="00535E33" w:rsidRPr="006E21E7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RSV </w:t>
            </w:r>
          </w:p>
          <w:p w14:paraId="07A0316F" w14:textId="48DF169D" w:rsidR="00535E33" w:rsidRPr="002020AB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Influenza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virus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7952A85" w14:textId="31735F8D" w:rsidR="00535E33" w:rsidRPr="002020AB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Influenza A virus </w:t>
            </w:r>
          </w:p>
          <w:p w14:paraId="208CF6D4" w14:textId="322567E2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Human Alphaherpes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virus 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5AE5D391" w14:textId="600F23C3" w:rsidR="00535E33" w:rsidRPr="00083ACF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EBV </w:t>
            </w:r>
          </w:p>
          <w:p w14:paraId="3DF2567D" w14:textId="3FDBE7CD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Adenovirus </w:t>
            </w:r>
          </w:p>
          <w:p w14:paraId="12F69B41" w14:textId="725875E4" w:rsidR="00535E33" w:rsidRPr="00D5281D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B5A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Human coronavirus OC43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2B844E2D" w14:textId="77777777" w:rsidR="00535E33" w:rsidRPr="009C48BA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14:paraId="2337F78E" w14:textId="4F757219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0.370</w:t>
            </w:r>
          </w:p>
          <w:p w14:paraId="42676E45" w14:textId="0C1F80C6" w:rsidR="00535E33" w:rsidRPr="00035DBE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0.175</w:t>
            </w:r>
          </w:p>
          <w:p w14:paraId="3520B9A9" w14:textId="6BC7EE5C" w:rsidR="00535E33" w:rsidRPr="00035DBE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437F4F47" w14:textId="218BA502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054614DF" w14:textId="2187700D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63E26170" w14:textId="60F08A56" w:rsidR="00535E33" w:rsidRPr="006C4CDC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-0.185</w:t>
            </w:r>
          </w:p>
          <w:p w14:paraId="06112A31" w14:textId="29D8E893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-0.172</w:t>
            </w:r>
          </w:p>
          <w:p w14:paraId="5B8C53A5" w14:textId="0E5FE506" w:rsidR="00535E33" w:rsidRPr="00732408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-0.185</w:t>
            </w:r>
          </w:p>
          <w:p w14:paraId="3171C379" w14:textId="77777777" w:rsidR="00535E33" w:rsidRPr="00C12631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</w:tcPr>
          <w:p w14:paraId="50EEAC32" w14:textId="025F2B9D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0.370</w:t>
            </w:r>
          </w:p>
          <w:p w14:paraId="6F50D281" w14:textId="1818E893" w:rsidR="00535E33" w:rsidRPr="00035DBE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0.175</w:t>
            </w:r>
          </w:p>
          <w:p w14:paraId="0AA87EA0" w14:textId="0E9F0E46" w:rsidR="00535E33" w:rsidRPr="00035DBE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7D0E78FE" w14:textId="06F346C2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2F44A34F" w14:textId="3DEE4436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7739CB10" w14:textId="78BBAD3F" w:rsidR="00535E33" w:rsidRPr="006C4CDC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0.185</w:t>
            </w:r>
          </w:p>
          <w:p w14:paraId="7F301BF2" w14:textId="52F23DBA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0.172</w:t>
            </w:r>
          </w:p>
          <w:p w14:paraId="73AD0BEC" w14:textId="3236DB84" w:rsidR="00535E33" w:rsidRPr="00732408" w:rsidRDefault="00535E33" w:rsidP="00535E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0.185</w:t>
            </w:r>
          </w:p>
          <w:p w14:paraId="5494957E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5" w:type="dxa"/>
            <w:tcBorders>
              <w:left w:val="nil"/>
              <w:bottom w:val="nil"/>
            </w:tcBorders>
          </w:tcPr>
          <w:p w14:paraId="5E6F5F20" w14:textId="162CED34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0.020</w:t>
            </w:r>
          </w:p>
          <w:p w14:paraId="770DDD1E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0.137</w:t>
            </w:r>
          </w:p>
          <w:p w14:paraId="60E97387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0.357</w:t>
            </w:r>
          </w:p>
          <w:p w14:paraId="6145EA9E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0.357</w:t>
            </w:r>
          </w:p>
          <w:p w14:paraId="24D881C7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0.357</w:t>
            </w:r>
          </w:p>
          <w:p w14:paraId="4E33C093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0.116</w:t>
            </w:r>
          </w:p>
          <w:p w14:paraId="21546E88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0.144</w:t>
            </w:r>
          </w:p>
          <w:p w14:paraId="2BDC422A" w14:textId="7946000F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0.117</w:t>
            </w:r>
          </w:p>
        </w:tc>
      </w:tr>
      <w:tr w:rsidR="00535E33" w:rsidRPr="0046783D" w14:paraId="4558ECFA" w14:textId="3BE3185B" w:rsidTr="006D3953">
        <w:trPr>
          <w:trHeight w:val="126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5A25D739" w14:textId="77777777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Bacteria</w:t>
            </w:r>
          </w:p>
          <w:p w14:paraId="78BE7919" w14:textId="77777777" w:rsidR="00535E33" w:rsidRPr="0046783D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E38BAA7" w14:textId="26F18F8E" w:rsidR="00535E33" w:rsidRPr="0027547B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Staphylococcus 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Pneumoniae</w:t>
            </w: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Stenotrophomonas 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altophilia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15D7B33" w14:textId="58696AF4" w:rsidR="00535E33" w:rsidRPr="00F75E06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5C7514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Moraxella catarrhalis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1A4C27E6" w14:textId="266DABED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Enterococcus 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</w:t>
            </w:r>
            <w:r w:rsidRPr="0093189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aecalis </w:t>
            </w:r>
          </w:p>
          <w:p w14:paraId="76A36A42" w14:textId="397C95F6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Acinetobacter 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aumannii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6305FA8" w14:textId="62718EB5" w:rsidR="00535E33" w:rsidRPr="00F75E06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C00735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Burkholderia pseudomallei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8D2AFA3" w14:textId="5A6B5390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47558C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Haemophilus influenzae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D2660C1" w14:textId="53DCD885" w:rsidR="00535E33" w:rsidRPr="00F75E06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Pseudomonas 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</w:t>
            </w:r>
            <w:r w:rsidRPr="00E64EEE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eruginosa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45AB3BE" w14:textId="3B234A0E" w:rsidR="00535E33" w:rsidRPr="009C48BA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Staphylococcus </w:t>
            </w:r>
            <w:r w:rsidRPr="00F75E0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A</w:t>
            </w:r>
            <w:r w:rsidRPr="00020F3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ureus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335C2CC" w14:textId="773EB143" w:rsidR="00535E33" w:rsidRPr="004D3974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541CB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Escherichia Coli</w:t>
            </w: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07EDEC1" w14:textId="2FD7720A" w:rsidR="00535E33" w:rsidRPr="009C48BA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9C48BA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Klebsiella Pneumoniae </w:t>
            </w:r>
          </w:p>
          <w:p w14:paraId="7151750A" w14:textId="77777777" w:rsidR="00535E33" w:rsidRPr="00C12631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878FADE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0.022</w:t>
            </w:r>
          </w:p>
          <w:p w14:paraId="786E7D12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34173EB6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52FDA8D8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-0.077</w:t>
            </w:r>
          </w:p>
          <w:p w14:paraId="5641EE8D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-0.077</w:t>
            </w:r>
          </w:p>
          <w:p w14:paraId="152A6450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-0.077</w:t>
            </w:r>
          </w:p>
          <w:p w14:paraId="177C26BA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62327A7A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-0.379</w:t>
            </w:r>
          </w:p>
          <w:p w14:paraId="3F855FDC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-0.263</w:t>
            </w:r>
          </w:p>
          <w:p w14:paraId="59038278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-0.185</w:t>
            </w:r>
          </w:p>
          <w:p w14:paraId="6B50C448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-0.185</w:t>
            </w:r>
          </w:p>
          <w:p w14:paraId="39DBEE7C" w14:textId="453A5EB9" w:rsidR="00535E33" w:rsidRPr="00C12631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0AF440F" w14:textId="7D9033B6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0.022</w:t>
            </w:r>
          </w:p>
          <w:p w14:paraId="6ED2DFDE" w14:textId="201CC860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2AE3417C" w14:textId="0B3FDD13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0.108</w:t>
            </w:r>
          </w:p>
          <w:p w14:paraId="6B53F302" w14:textId="2C10DF58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0.077</w:t>
            </w:r>
          </w:p>
          <w:p w14:paraId="0E9E8014" w14:textId="1E550AB6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0.077</w:t>
            </w:r>
          </w:p>
          <w:p w14:paraId="71A4258D" w14:textId="3F88B67E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0.077</w:t>
            </w:r>
          </w:p>
          <w:p w14:paraId="41418B75" w14:textId="7ACDD976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0A8FDD73" w14:textId="461C6DF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0.379</w:t>
            </w:r>
          </w:p>
          <w:p w14:paraId="4C2F455D" w14:textId="4BB37E5D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0.263</w:t>
            </w:r>
          </w:p>
          <w:p w14:paraId="4C84F0A7" w14:textId="40038343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0.185</w:t>
            </w:r>
          </w:p>
          <w:p w14:paraId="231117C7" w14:textId="61CF7422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0.185</w:t>
            </w:r>
          </w:p>
          <w:p w14:paraId="72817469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53A99B8B" w14:textId="6337E60D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0.850</w:t>
            </w:r>
          </w:p>
          <w:p w14:paraId="3D4BD032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0.357</w:t>
            </w:r>
          </w:p>
          <w:p w14:paraId="3506ECE2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0.357</w:t>
            </w:r>
          </w:p>
          <w:p w14:paraId="6B8C038A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0.511</w:t>
            </w:r>
          </w:p>
          <w:p w14:paraId="329A317F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0.511</w:t>
            </w:r>
          </w:p>
          <w:p w14:paraId="6BFC1FEA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0.511</w:t>
            </w:r>
          </w:p>
          <w:p w14:paraId="4CC552EC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0.518</w:t>
            </w:r>
          </w:p>
          <w:p w14:paraId="7E39D944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0.001</w:t>
            </w:r>
          </w:p>
          <w:p w14:paraId="152C458E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0.025</w:t>
            </w:r>
          </w:p>
          <w:p w14:paraId="6B8692B0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0.117</w:t>
            </w:r>
          </w:p>
          <w:p w14:paraId="122A1F65" w14:textId="21CF3833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0.117</w:t>
            </w:r>
          </w:p>
        </w:tc>
      </w:tr>
      <w:tr w:rsidR="00535E33" w:rsidRPr="0046783D" w14:paraId="64D6AFAA" w14:textId="75033257" w:rsidTr="006D3953">
        <w:trPr>
          <w:trHeight w:val="970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F881C2A" w14:textId="77777777" w:rsidR="00535E33" w:rsidRPr="00E00812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Fung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al</w:t>
            </w:r>
          </w:p>
          <w:p w14:paraId="23AD864C" w14:textId="77777777" w:rsidR="00535E33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05E202" w14:textId="40AC6835" w:rsidR="00535E33" w:rsidRPr="002D546D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0037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Aspergillus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F</w:t>
            </w:r>
            <w:r w:rsidRPr="0090037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umigatus</w:t>
            </w: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3BC3CBF" w14:textId="2342470C" w:rsidR="00535E33" w:rsidRPr="00E75BE2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D0730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Pneumocystis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J</w:t>
            </w:r>
            <w:r w:rsidRPr="00D07303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iroveci</w:t>
            </w:r>
            <w:r>
              <w:rPr>
                <w:rFonts w:ascii="Arial" w:eastAsia="等线" w:hAnsi="Arial" w:cs="Arial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077332F2" w14:textId="222FEA75" w:rsidR="00535E33" w:rsidRDefault="00535E33" w:rsidP="00535E33">
            <w:pP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 w:rsidRPr="003C12C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Rhizopus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O</w:t>
            </w:r>
            <w:r w:rsidRPr="003C12C8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ligosporus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976334C" w14:textId="77777777" w:rsidR="00535E33" w:rsidRPr="00C12631" w:rsidRDefault="00535E33" w:rsidP="00535E33">
            <w:pPr>
              <w:spacing w:line="276" w:lineRule="auto"/>
              <w:rPr>
                <w:rFonts w:ascii="Arial" w:eastAsia="等线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B947442" w14:textId="75E75CDB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0.134</w:t>
            </w:r>
          </w:p>
          <w:p w14:paraId="793CE303" w14:textId="024B232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-0.111</w:t>
            </w:r>
          </w:p>
          <w:p w14:paraId="179031B6" w14:textId="04CA2630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6DAEC55F" w14:textId="77777777" w:rsidR="00535E33" w:rsidRPr="00C12631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61C9F05A" w14:textId="6EA73189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0.134</w:t>
            </w:r>
          </w:p>
          <w:p w14:paraId="1B169C57" w14:textId="1F245845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0.111</w:t>
            </w:r>
          </w:p>
          <w:p w14:paraId="4D7881CF" w14:textId="505B2083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3B95AC4A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</w:tcBorders>
          </w:tcPr>
          <w:p w14:paraId="1F769D40" w14:textId="6B5BCB5D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0.256</w:t>
            </w:r>
          </w:p>
          <w:p w14:paraId="2C683A40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0.345</w:t>
            </w:r>
          </w:p>
          <w:p w14:paraId="16AF2CD8" w14:textId="1F4AE2D3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0.518</w:t>
            </w:r>
          </w:p>
        </w:tc>
      </w:tr>
      <w:tr w:rsidR="00535E33" w:rsidRPr="0046783D" w14:paraId="055056FF" w14:textId="59580A0C" w:rsidTr="006D3953">
        <w:trPr>
          <w:trHeight w:val="725"/>
        </w:trPr>
        <w:tc>
          <w:tcPr>
            <w:tcW w:w="993" w:type="dxa"/>
            <w:tcBorders>
              <w:top w:val="nil"/>
              <w:right w:val="nil"/>
            </w:tcBorders>
          </w:tcPr>
          <w:p w14:paraId="1B1E0B2A" w14:textId="77777777" w:rsidR="00535E33" w:rsidRPr="00E00812" w:rsidRDefault="00535E33" w:rsidP="00535E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Others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A9F0E24" w14:textId="3291E5F6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95F2E"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Chlamydia </w:t>
            </w:r>
            <w:proofErr w:type="spellStart"/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</w:t>
            </w:r>
            <w:r w:rsidRPr="00595F2E"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sittac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2EE6AA5" w14:textId="29D02E6D" w:rsidR="00535E33" w:rsidRPr="00996CF9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 xml:space="preserve">Mycoplasma Pneumoniae </w:t>
            </w:r>
          </w:p>
          <w:p w14:paraId="29CC9DD8" w14:textId="77777777" w:rsidR="00535E33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L</w:t>
            </w:r>
            <w:r w:rsidRPr="001163B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 xml:space="preserve">egionella 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P</w:t>
            </w:r>
            <w:r w:rsidRPr="001163B6">
              <w:rPr>
                <w:rFonts w:ascii="Arial" w:eastAsia="等线" w:hAnsi="Arial" w:cs="Arial"/>
                <w:color w:val="000000" w:themeColor="text1"/>
                <w:sz w:val="18"/>
                <w:szCs w:val="18"/>
              </w:rPr>
              <w:t>neumophila</w:t>
            </w:r>
          </w:p>
          <w:p w14:paraId="3F7E278A" w14:textId="7A04EB87" w:rsidR="00535E33" w:rsidRPr="00C12631" w:rsidRDefault="00535E33" w:rsidP="00535E33">
            <w:pPr>
              <w:spacing w:line="276" w:lineRule="auto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</w:tcPr>
          <w:p w14:paraId="60CE7F1D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44640C08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65BFACAD" w14:textId="68EF213C" w:rsidR="00535E33" w:rsidRPr="00C12631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-0.185</w:t>
            </w:r>
          </w:p>
        </w:tc>
        <w:tc>
          <w:tcPr>
            <w:tcW w:w="1605" w:type="dxa"/>
            <w:tcBorders>
              <w:top w:val="nil"/>
              <w:left w:val="nil"/>
              <w:right w:val="nil"/>
            </w:tcBorders>
          </w:tcPr>
          <w:p w14:paraId="2318B1A0" w14:textId="52FB2C70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05630F49" w14:textId="08E49F48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0.076</w:t>
            </w:r>
          </w:p>
          <w:p w14:paraId="1E6AB654" w14:textId="45BF316C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0.185</w:t>
            </w:r>
          </w:p>
        </w:tc>
        <w:tc>
          <w:tcPr>
            <w:tcW w:w="1605" w:type="dxa"/>
            <w:tcBorders>
              <w:top w:val="nil"/>
              <w:left w:val="nil"/>
            </w:tcBorders>
          </w:tcPr>
          <w:p w14:paraId="5D944A27" w14:textId="77FF764F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0.518</w:t>
            </w:r>
          </w:p>
          <w:p w14:paraId="75905CE7" w14:textId="77777777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0.518</w:t>
            </w:r>
          </w:p>
          <w:p w14:paraId="21865550" w14:textId="45D641CB" w:rsidR="00535E33" w:rsidRDefault="00535E33" w:rsidP="00535E33">
            <w:pPr>
              <w:spacing w:line="276" w:lineRule="auto"/>
              <w:jc w:val="center"/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eastAsia="等线" w:hAnsi="Arial" w:cs="Arial"/>
                <w:color w:val="000000" w:themeColor="text1"/>
                <w:sz w:val="18"/>
                <w:szCs w:val="18"/>
                <w:lang w:val="en-US"/>
              </w:rPr>
              <w:t>0.117</w:t>
            </w:r>
          </w:p>
        </w:tc>
      </w:tr>
    </w:tbl>
    <w:p w14:paraId="08651BEC" w14:textId="525D4D41" w:rsidR="00CC545F" w:rsidRPr="00CC545F" w:rsidRDefault="00CC545F" w:rsidP="00814B76">
      <w:pPr>
        <w:widowControl w:val="0"/>
        <w:autoSpaceDE w:val="0"/>
        <w:autoSpaceDN w:val="0"/>
        <w:adjustRightInd w:val="0"/>
        <w:spacing w:line="240" w:lineRule="exact"/>
        <w:rPr>
          <w:rFonts w:ascii="Arial" w:eastAsia="等线" w:hAnsi="Arial" w:cs="Arial"/>
          <w:i/>
          <w:color w:val="000000" w:themeColor="text1"/>
          <w:sz w:val="18"/>
          <w:szCs w:val="18"/>
          <w:lang w:val="en-US"/>
        </w:rPr>
      </w:pPr>
      <w:r>
        <w:rPr>
          <w:rFonts w:ascii="Arial" w:eastAsia="等线" w:hAnsi="Arial" w:cs="Arial" w:hint="eastAsia"/>
          <w:i/>
          <w:color w:val="000000" w:themeColor="text1"/>
          <w:sz w:val="18"/>
          <w:szCs w:val="18"/>
          <w:lang w:val="en-US"/>
        </w:rPr>
        <w:t>The</w:t>
      </w:r>
      <w:r>
        <w:rPr>
          <w:rFonts w:ascii="Arial" w:eastAsia="等线" w:hAnsi="Arial" w:cs="Arial"/>
          <w:i/>
          <w:color w:val="000000" w:themeColor="text1"/>
          <w:sz w:val="18"/>
          <w:szCs w:val="18"/>
          <w:lang w:val="en-US"/>
        </w:rPr>
        <w:t xml:space="preserve"> Cramer’s V coefficient for various pathogens and phenotypes was </w:t>
      </w:r>
      <w:r w:rsidR="00FD268A">
        <w:rPr>
          <w:rFonts w:ascii="Arial" w:eastAsia="等线" w:hAnsi="Arial" w:cs="Arial"/>
          <w:i/>
          <w:color w:val="000000" w:themeColor="text1"/>
          <w:sz w:val="18"/>
          <w:szCs w:val="18"/>
          <w:lang w:val="en-US"/>
        </w:rPr>
        <w:t>0.504</w:t>
      </w:r>
      <w:r w:rsidR="002E09F8">
        <w:rPr>
          <w:rFonts w:ascii="Arial" w:eastAsia="等线" w:hAnsi="Arial" w:cs="Arial"/>
          <w:i/>
          <w:color w:val="000000" w:themeColor="text1"/>
          <w:sz w:val="18"/>
          <w:szCs w:val="18"/>
          <w:lang w:val="en-US"/>
        </w:rPr>
        <w:t xml:space="preserve">, P&lt;0.001 </w:t>
      </w:r>
    </w:p>
    <w:p w14:paraId="7626288F" w14:textId="6788DBCC" w:rsidR="00814B76" w:rsidRPr="00D364C2" w:rsidRDefault="00814B76" w:rsidP="00814B76">
      <w:pPr>
        <w:widowControl w:val="0"/>
        <w:autoSpaceDE w:val="0"/>
        <w:autoSpaceDN w:val="0"/>
        <w:adjustRightInd w:val="0"/>
        <w:spacing w:line="240" w:lineRule="exact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4A2C30">
        <w:rPr>
          <w:rFonts w:ascii="Arial" w:eastAsia="等线" w:hAnsi="Arial" w:cs="Arial"/>
          <w:i/>
          <w:color w:val="000000" w:themeColor="text1"/>
          <w:sz w:val="18"/>
          <w:szCs w:val="18"/>
        </w:rPr>
        <w:t>CMV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 xml:space="preserve">Human 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Cytomegalovirus; </w:t>
      </w:r>
      <w:r w:rsidRPr="004A2C30">
        <w:rPr>
          <w:rFonts w:ascii="Arial" w:eastAsia="等线" w:hAnsi="Arial" w:cs="Arial" w:hint="eastAsia"/>
          <w:i/>
          <w:color w:val="000000" w:themeColor="text1"/>
          <w:sz w:val="18"/>
          <w:szCs w:val="18"/>
        </w:rPr>
        <w:t>EBV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: Epstein-Barr Virus; </w:t>
      </w:r>
      <w:r w:rsidRPr="004A2C30">
        <w:rPr>
          <w:rFonts w:ascii="Arial" w:eastAsia="等线" w:hAnsi="Arial" w:cs="Arial"/>
          <w:i/>
          <w:color w:val="000000" w:themeColor="text1"/>
          <w:sz w:val="18"/>
          <w:szCs w:val="18"/>
        </w:rPr>
        <w:t>RSV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: 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 xml:space="preserve">Human 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>Respiratory Syncytial Virus</w:t>
      </w:r>
      <w:r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.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 </w:t>
      </w:r>
    </w:p>
    <w:p w14:paraId="0B362662" w14:textId="77777777" w:rsidR="00814B76" w:rsidRDefault="00814B76" w:rsidP="00C345B0">
      <w:pPr>
        <w:widowControl w:val="0"/>
        <w:autoSpaceDE w:val="0"/>
        <w:autoSpaceDN w:val="0"/>
        <w:adjustRightInd w:val="0"/>
        <w:rPr>
          <w:rFonts w:ascii="Arial" w:eastAsia="等线" w:hAnsi="Arial" w:cs="Arial"/>
          <w:color w:val="000000" w:themeColor="text1"/>
          <w:sz w:val="18"/>
          <w:szCs w:val="18"/>
        </w:rPr>
      </w:pPr>
    </w:p>
    <w:p w14:paraId="27B68D63" w14:textId="33293372" w:rsidR="00814B76" w:rsidRDefault="00814B76" w:rsidP="00C345B0">
      <w:pPr>
        <w:widowControl w:val="0"/>
        <w:autoSpaceDE w:val="0"/>
        <w:autoSpaceDN w:val="0"/>
        <w:adjustRightInd w:val="0"/>
        <w:rPr>
          <w:rFonts w:ascii="Arial" w:eastAsia="等线" w:hAnsi="Arial" w:cs="Arial"/>
          <w:color w:val="000000" w:themeColor="text1"/>
          <w:sz w:val="18"/>
          <w:szCs w:val="18"/>
        </w:rPr>
      </w:pPr>
      <w:r>
        <w:rPr>
          <w:rFonts w:ascii="Arial" w:eastAsia="等线" w:hAnsi="Arial" w:cs="Arial"/>
          <w:color w:val="000000" w:themeColor="text1"/>
          <w:sz w:val="18"/>
          <w:szCs w:val="18"/>
        </w:rPr>
        <w:br w:type="page"/>
      </w:r>
    </w:p>
    <w:p w14:paraId="5F0407FC" w14:textId="376B3AAB" w:rsidR="00C345B0" w:rsidRPr="002D62A6" w:rsidRDefault="008E2A5D" w:rsidP="00C345B0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rFonts w:ascii="Arial" w:eastAsia="等线" w:hAnsi="Arial" w:cs="Arial"/>
          <w:color w:val="000000" w:themeColor="text1"/>
          <w:sz w:val="18"/>
          <w:szCs w:val="18"/>
        </w:rPr>
        <w:lastRenderedPageBreak/>
        <w:t xml:space="preserve">Figure S1. </w:t>
      </w:r>
      <w:r w:rsidR="002D62A6">
        <w:rPr>
          <w:rFonts w:ascii="Arial" w:eastAsia="等线" w:hAnsi="Arial" w:cs="Arial"/>
          <w:color w:val="000000" w:themeColor="text1"/>
          <w:sz w:val="18"/>
          <w:szCs w:val="18"/>
          <w:lang w:val="en-US"/>
        </w:rPr>
        <w:t>Alpha diversity and Beta diversity of lung microbiota for patients with reactive or nonreactive phenotype</w:t>
      </w:r>
    </w:p>
    <w:p w14:paraId="73171AB1" w14:textId="5A7F28CF" w:rsidR="00C345B0" w:rsidRDefault="002D62A6" w:rsidP="00BA2784">
      <w:pPr>
        <w:widowControl w:val="0"/>
        <w:autoSpaceDE w:val="0"/>
        <w:autoSpaceDN w:val="0"/>
        <w:adjustRightInd w:val="0"/>
        <w:spacing w:line="400" w:lineRule="atLeast"/>
      </w:pPr>
      <w:r>
        <w:rPr>
          <w:noProof/>
        </w:rPr>
        <w:drawing>
          <wp:inline distT="0" distB="0" distL="0" distR="0" wp14:anchorId="5B4D7234" wp14:editId="5B0D37BD">
            <wp:extent cx="5951220" cy="6784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3" r="18352"/>
                    <a:stretch/>
                  </pic:blipFill>
                  <pic:spPr bwMode="auto">
                    <a:xfrm>
                      <a:off x="0" y="0"/>
                      <a:ext cx="5956037" cy="679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6BBF4" w14:textId="77777777" w:rsidR="00633446" w:rsidRDefault="00633446" w:rsidP="00633446">
      <w:pPr>
        <w:spacing w:line="480" w:lineRule="auto"/>
        <w:rPr>
          <w:rFonts w:ascii="Arial" w:hAnsi="Arial" w:cs="Arial"/>
          <w:sz w:val="21"/>
          <w:szCs w:val="21"/>
        </w:rPr>
      </w:pPr>
    </w:p>
    <w:p w14:paraId="03DC284E" w14:textId="789702A7" w:rsidR="00547971" w:rsidRPr="00D27BFE" w:rsidRDefault="00547971" w:rsidP="00D27BFE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D27BFE">
        <w:rPr>
          <w:rFonts w:ascii="Arial" w:eastAsia="等线" w:hAnsi="Arial" w:cs="Arial"/>
          <w:color w:val="000000" w:themeColor="text1"/>
          <w:sz w:val="18"/>
          <w:szCs w:val="18"/>
        </w:rPr>
        <w:t xml:space="preserve">Patients with reactive phenotype had a higher richness and evenness of species between samples (evaluated with Shannon Index). </w:t>
      </w:r>
    </w:p>
    <w:p w14:paraId="4F91F82B" w14:textId="5E8C1F1A" w:rsidR="00AB09C6" w:rsidRPr="00CD0229" w:rsidRDefault="00547971" w:rsidP="00CD0229">
      <w:pPr>
        <w:pStyle w:val="a8"/>
        <w:numPr>
          <w:ilvl w:val="0"/>
          <w:numId w:val="3"/>
        </w:numPr>
        <w:spacing w:line="360" w:lineRule="auto"/>
        <w:ind w:firstLineChars="0"/>
        <w:rPr>
          <w:rFonts w:ascii="Arial" w:eastAsia="等线" w:hAnsi="Arial" w:cs="Arial"/>
          <w:color w:val="000000" w:themeColor="text1"/>
          <w:sz w:val="18"/>
          <w:szCs w:val="18"/>
        </w:rPr>
      </w:pPr>
      <w:r w:rsidRPr="00547971">
        <w:rPr>
          <w:rFonts w:ascii="Arial" w:eastAsia="等线" w:hAnsi="Arial" w:cs="Arial"/>
          <w:color w:val="000000" w:themeColor="text1"/>
          <w:sz w:val="18"/>
          <w:szCs w:val="18"/>
        </w:rPr>
        <w:t>The beta diversity was evaluated using Bray-Curtis Dissimilarity metric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 xml:space="preserve"> </w:t>
      </w:r>
      <w:r w:rsidRPr="00547971">
        <w:rPr>
          <w:rFonts w:ascii="Arial" w:eastAsia="等线" w:hAnsi="Arial" w:cs="Arial"/>
          <w:color w:val="000000" w:themeColor="text1"/>
          <w:sz w:val="18"/>
          <w:szCs w:val="18"/>
        </w:rPr>
        <w:t>plotted in a principal coordinate analysis (</w:t>
      </w:r>
      <w:proofErr w:type="spellStart"/>
      <w:r w:rsidRPr="00547971">
        <w:rPr>
          <w:rFonts w:ascii="Arial" w:eastAsia="等线" w:hAnsi="Arial" w:cs="Arial"/>
          <w:color w:val="000000" w:themeColor="text1"/>
          <w:sz w:val="18"/>
          <w:szCs w:val="18"/>
        </w:rPr>
        <w:t>PCoA</w:t>
      </w:r>
      <w:proofErr w:type="spellEnd"/>
      <w:r w:rsidRPr="00547971">
        <w:rPr>
          <w:rFonts w:ascii="Arial" w:eastAsia="等线" w:hAnsi="Arial" w:cs="Arial"/>
          <w:color w:val="000000" w:themeColor="text1"/>
          <w:sz w:val="18"/>
          <w:szCs w:val="18"/>
        </w:rPr>
        <w:t>), revealed an apparent pattern of clustering</w:t>
      </w:r>
      <w:r>
        <w:rPr>
          <w:rFonts w:ascii="Arial" w:eastAsia="等线" w:hAnsi="Arial" w:cs="Arial"/>
          <w:color w:val="000000" w:themeColor="text1"/>
          <w:sz w:val="18"/>
          <w:szCs w:val="18"/>
        </w:rPr>
        <w:t>.</w:t>
      </w:r>
    </w:p>
    <w:sectPr w:rsidR="00AB09C6" w:rsidRPr="00CD0229" w:rsidSect="0008340D">
      <w:pgSz w:w="12242" w:h="15842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B88B" w14:textId="77777777" w:rsidR="001A1EDF" w:rsidRDefault="001A1EDF" w:rsidP="00F35A8A">
      <w:r>
        <w:separator/>
      </w:r>
    </w:p>
  </w:endnote>
  <w:endnote w:type="continuationSeparator" w:id="0">
    <w:p w14:paraId="092EA453" w14:textId="77777777" w:rsidR="001A1EDF" w:rsidRDefault="001A1EDF" w:rsidP="00F3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AC80" w14:textId="77777777" w:rsidR="001A1EDF" w:rsidRDefault="001A1EDF" w:rsidP="00F35A8A">
      <w:r>
        <w:separator/>
      </w:r>
    </w:p>
  </w:footnote>
  <w:footnote w:type="continuationSeparator" w:id="0">
    <w:p w14:paraId="77E3F29F" w14:textId="77777777" w:rsidR="001A1EDF" w:rsidRDefault="001A1EDF" w:rsidP="00F3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16564"/>
    <w:multiLevelType w:val="hybridMultilevel"/>
    <w:tmpl w:val="D4F0A494"/>
    <w:lvl w:ilvl="0" w:tplc="D31C8C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586216"/>
    <w:multiLevelType w:val="hybridMultilevel"/>
    <w:tmpl w:val="966A02A0"/>
    <w:lvl w:ilvl="0" w:tplc="6EC0376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BE326A"/>
    <w:multiLevelType w:val="hybridMultilevel"/>
    <w:tmpl w:val="A89A88E6"/>
    <w:lvl w:ilvl="0" w:tplc="833AEC3E">
      <w:start w:val="1"/>
      <w:numFmt w:val="upperLetter"/>
      <w:lvlText w:val="(%1)"/>
      <w:lvlJc w:val="left"/>
      <w:pPr>
        <w:ind w:left="720" w:hanging="360"/>
      </w:pPr>
      <w:rPr>
        <w:rFonts w:ascii="Arial" w:eastAsia="等线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70"/>
    <w:rsid w:val="00006964"/>
    <w:rsid w:val="00017999"/>
    <w:rsid w:val="00020F36"/>
    <w:rsid w:val="00021301"/>
    <w:rsid w:val="00031868"/>
    <w:rsid w:val="00035B8F"/>
    <w:rsid w:val="00035DBE"/>
    <w:rsid w:val="00047FED"/>
    <w:rsid w:val="00052EDE"/>
    <w:rsid w:val="00053FE8"/>
    <w:rsid w:val="00060FE3"/>
    <w:rsid w:val="0007067B"/>
    <w:rsid w:val="0008340D"/>
    <w:rsid w:val="00092714"/>
    <w:rsid w:val="00094590"/>
    <w:rsid w:val="00094E94"/>
    <w:rsid w:val="000A1906"/>
    <w:rsid w:val="000A2E44"/>
    <w:rsid w:val="000A53B9"/>
    <w:rsid w:val="000C6BD9"/>
    <w:rsid w:val="000C77C6"/>
    <w:rsid w:val="000D1028"/>
    <w:rsid w:val="000D25DC"/>
    <w:rsid w:val="000E010E"/>
    <w:rsid w:val="000E308C"/>
    <w:rsid w:val="000F6C5B"/>
    <w:rsid w:val="00105942"/>
    <w:rsid w:val="001073DA"/>
    <w:rsid w:val="00111F83"/>
    <w:rsid w:val="00116A3B"/>
    <w:rsid w:val="00130D40"/>
    <w:rsid w:val="00136488"/>
    <w:rsid w:val="00153352"/>
    <w:rsid w:val="00157AAA"/>
    <w:rsid w:val="001648EE"/>
    <w:rsid w:val="00170AE3"/>
    <w:rsid w:val="00172B4B"/>
    <w:rsid w:val="00185C0D"/>
    <w:rsid w:val="0019611B"/>
    <w:rsid w:val="001A070D"/>
    <w:rsid w:val="001A1EDF"/>
    <w:rsid w:val="001A30FA"/>
    <w:rsid w:val="001B06E7"/>
    <w:rsid w:val="001B0B4B"/>
    <w:rsid w:val="001B4C8B"/>
    <w:rsid w:val="001B7A82"/>
    <w:rsid w:val="001D1948"/>
    <w:rsid w:val="001D3FB3"/>
    <w:rsid w:val="001E39D6"/>
    <w:rsid w:val="001E7F30"/>
    <w:rsid w:val="001F67CB"/>
    <w:rsid w:val="002038E8"/>
    <w:rsid w:val="00215AB6"/>
    <w:rsid w:val="00220175"/>
    <w:rsid w:val="00220970"/>
    <w:rsid w:val="00226F10"/>
    <w:rsid w:val="002323D8"/>
    <w:rsid w:val="002337A0"/>
    <w:rsid w:val="00241076"/>
    <w:rsid w:val="00243461"/>
    <w:rsid w:val="00245A72"/>
    <w:rsid w:val="00246B92"/>
    <w:rsid w:val="002527EA"/>
    <w:rsid w:val="00260A93"/>
    <w:rsid w:val="00266D11"/>
    <w:rsid w:val="00267DB2"/>
    <w:rsid w:val="00275279"/>
    <w:rsid w:val="0027547B"/>
    <w:rsid w:val="00287047"/>
    <w:rsid w:val="00290832"/>
    <w:rsid w:val="002934F7"/>
    <w:rsid w:val="00293A80"/>
    <w:rsid w:val="002A5315"/>
    <w:rsid w:val="002A634A"/>
    <w:rsid w:val="002B0537"/>
    <w:rsid w:val="002D5385"/>
    <w:rsid w:val="002D62A6"/>
    <w:rsid w:val="002E09F8"/>
    <w:rsid w:val="002F185F"/>
    <w:rsid w:val="002F1D9E"/>
    <w:rsid w:val="003053B1"/>
    <w:rsid w:val="00311F04"/>
    <w:rsid w:val="00312102"/>
    <w:rsid w:val="00324D6B"/>
    <w:rsid w:val="00334F69"/>
    <w:rsid w:val="00345981"/>
    <w:rsid w:val="00350496"/>
    <w:rsid w:val="00356678"/>
    <w:rsid w:val="003833D4"/>
    <w:rsid w:val="0038683C"/>
    <w:rsid w:val="00391FDE"/>
    <w:rsid w:val="003A4DC7"/>
    <w:rsid w:val="003C6BB1"/>
    <w:rsid w:val="003D0E03"/>
    <w:rsid w:val="003E6D2E"/>
    <w:rsid w:val="004008AC"/>
    <w:rsid w:val="00415A81"/>
    <w:rsid w:val="00424F38"/>
    <w:rsid w:val="00427F65"/>
    <w:rsid w:val="00430FAC"/>
    <w:rsid w:val="004326EF"/>
    <w:rsid w:val="00432CB3"/>
    <w:rsid w:val="0044183E"/>
    <w:rsid w:val="004427D3"/>
    <w:rsid w:val="00446225"/>
    <w:rsid w:val="0046783D"/>
    <w:rsid w:val="00480F05"/>
    <w:rsid w:val="00487636"/>
    <w:rsid w:val="00495DD4"/>
    <w:rsid w:val="004A2C30"/>
    <w:rsid w:val="004E522F"/>
    <w:rsid w:val="004F5955"/>
    <w:rsid w:val="004F6B19"/>
    <w:rsid w:val="00512195"/>
    <w:rsid w:val="00512557"/>
    <w:rsid w:val="00521C76"/>
    <w:rsid w:val="00523A56"/>
    <w:rsid w:val="00535E33"/>
    <w:rsid w:val="00547971"/>
    <w:rsid w:val="00580629"/>
    <w:rsid w:val="005828FA"/>
    <w:rsid w:val="00591D4A"/>
    <w:rsid w:val="005A0DA1"/>
    <w:rsid w:val="005A3831"/>
    <w:rsid w:val="005E294A"/>
    <w:rsid w:val="005F04B5"/>
    <w:rsid w:val="005F1823"/>
    <w:rsid w:val="00602481"/>
    <w:rsid w:val="006030BF"/>
    <w:rsid w:val="00604992"/>
    <w:rsid w:val="00611E33"/>
    <w:rsid w:val="006159B5"/>
    <w:rsid w:val="006243B6"/>
    <w:rsid w:val="00633446"/>
    <w:rsid w:val="00634CA2"/>
    <w:rsid w:val="00641870"/>
    <w:rsid w:val="006448A0"/>
    <w:rsid w:val="006506B6"/>
    <w:rsid w:val="006733C4"/>
    <w:rsid w:val="00676AAE"/>
    <w:rsid w:val="00686670"/>
    <w:rsid w:val="00687429"/>
    <w:rsid w:val="00692022"/>
    <w:rsid w:val="0069446B"/>
    <w:rsid w:val="00695468"/>
    <w:rsid w:val="006A0597"/>
    <w:rsid w:val="006B0248"/>
    <w:rsid w:val="006C2C74"/>
    <w:rsid w:val="006C4CDC"/>
    <w:rsid w:val="006D3953"/>
    <w:rsid w:val="006D609B"/>
    <w:rsid w:val="006F22E2"/>
    <w:rsid w:val="00701FCA"/>
    <w:rsid w:val="00707EBA"/>
    <w:rsid w:val="00723D01"/>
    <w:rsid w:val="00725B71"/>
    <w:rsid w:val="00726A5B"/>
    <w:rsid w:val="00727BAC"/>
    <w:rsid w:val="00730BDF"/>
    <w:rsid w:val="00732408"/>
    <w:rsid w:val="00743702"/>
    <w:rsid w:val="00744199"/>
    <w:rsid w:val="00745C76"/>
    <w:rsid w:val="0075210F"/>
    <w:rsid w:val="00760F39"/>
    <w:rsid w:val="0076713C"/>
    <w:rsid w:val="007802AD"/>
    <w:rsid w:val="00786637"/>
    <w:rsid w:val="00790A50"/>
    <w:rsid w:val="00793418"/>
    <w:rsid w:val="007A43D0"/>
    <w:rsid w:val="007C156F"/>
    <w:rsid w:val="007E299D"/>
    <w:rsid w:val="007F225C"/>
    <w:rsid w:val="0080399D"/>
    <w:rsid w:val="008078FD"/>
    <w:rsid w:val="00814B76"/>
    <w:rsid w:val="0081579A"/>
    <w:rsid w:val="00852903"/>
    <w:rsid w:val="0086645B"/>
    <w:rsid w:val="008709C0"/>
    <w:rsid w:val="00875B71"/>
    <w:rsid w:val="0087615E"/>
    <w:rsid w:val="00877828"/>
    <w:rsid w:val="00885E73"/>
    <w:rsid w:val="008B4384"/>
    <w:rsid w:val="008C44EE"/>
    <w:rsid w:val="008D7483"/>
    <w:rsid w:val="008E27B5"/>
    <w:rsid w:val="008E2A5D"/>
    <w:rsid w:val="008F17E1"/>
    <w:rsid w:val="008F6165"/>
    <w:rsid w:val="00900378"/>
    <w:rsid w:val="00931895"/>
    <w:rsid w:val="009549DD"/>
    <w:rsid w:val="00974155"/>
    <w:rsid w:val="009850BA"/>
    <w:rsid w:val="009852F7"/>
    <w:rsid w:val="00993C57"/>
    <w:rsid w:val="00996256"/>
    <w:rsid w:val="009A0A91"/>
    <w:rsid w:val="009B4665"/>
    <w:rsid w:val="009C178A"/>
    <w:rsid w:val="009C7CCD"/>
    <w:rsid w:val="009D38D5"/>
    <w:rsid w:val="009D7C91"/>
    <w:rsid w:val="009F2AD8"/>
    <w:rsid w:val="00A02D43"/>
    <w:rsid w:val="00A1669E"/>
    <w:rsid w:val="00A20608"/>
    <w:rsid w:val="00A232C4"/>
    <w:rsid w:val="00A3677B"/>
    <w:rsid w:val="00A406E7"/>
    <w:rsid w:val="00A446B2"/>
    <w:rsid w:val="00A44741"/>
    <w:rsid w:val="00A74DD5"/>
    <w:rsid w:val="00A803C1"/>
    <w:rsid w:val="00A84267"/>
    <w:rsid w:val="00AA2285"/>
    <w:rsid w:val="00AB0299"/>
    <w:rsid w:val="00AB09C6"/>
    <w:rsid w:val="00AB305B"/>
    <w:rsid w:val="00AE214D"/>
    <w:rsid w:val="00AE616A"/>
    <w:rsid w:val="00AF4C84"/>
    <w:rsid w:val="00B04B10"/>
    <w:rsid w:val="00B0566E"/>
    <w:rsid w:val="00B20F56"/>
    <w:rsid w:val="00B344D2"/>
    <w:rsid w:val="00B36DD9"/>
    <w:rsid w:val="00B43D79"/>
    <w:rsid w:val="00B6339A"/>
    <w:rsid w:val="00B74664"/>
    <w:rsid w:val="00B853AD"/>
    <w:rsid w:val="00BA2033"/>
    <w:rsid w:val="00BA2784"/>
    <w:rsid w:val="00BA436C"/>
    <w:rsid w:val="00BB0A16"/>
    <w:rsid w:val="00BB156D"/>
    <w:rsid w:val="00BC4416"/>
    <w:rsid w:val="00BC6681"/>
    <w:rsid w:val="00BD034E"/>
    <w:rsid w:val="00BD326A"/>
    <w:rsid w:val="00BD4270"/>
    <w:rsid w:val="00BE06BD"/>
    <w:rsid w:val="00C20BEB"/>
    <w:rsid w:val="00C22BD8"/>
    <w:rsid w:val="00C242D6"/>
    <w:rsid w:val="00C311B3"/>
    <w:rsid w:val="00C31B8F"/>
    <w:rsid w:val="00C345B0"/>
    <w:rsid w:val="00C362B8"/>
    <w:rsid w:val="00C36585"/>
    <w:rsid w:val="00C36AB9"/>
    <w:rsid w:val="00C44BDE"/>
    <w:rsid w:val="00C52F45"/>
    <w:rsid w:val="00C547AC"/>
    <w:rsid w:val="00C57E2D"/>
    <w:rsid w:val="00C6386B"/>
    <w:rsid w:val="00C661B6"/>
    <w:rsid w:val="00C8051D"/>
    <w:rsid w:val="00C81B42"/>
    <w:rsid w:val="00C912F1"/>
    <w:rsid w:val="00CA3E73"/>
    <w:rsid w:val="00CA5E81"/>
    <w:rsid w:val="00CB0668"/>
    <w:rsid w:val="00CB47A5"/>
    <w:rsid w:val="00CC545F"/>
    <w:rsid w:val="00CD0229"/>
    <w:rsid w:val="00CD1108"/>
    <w:rsid w:val="00CD480D"/>
    <w:rsid w:val="00CE4CD0"/>
    <w:rsid w:val="00CE67A8"/>
    <w:rsid w:val="00CF0FF9"/>
    <w:rsid w:val="00CF1F1B"/>
    <w:rsid w:val="00CF64D3"/>
    <w:rsid w:val="00CF7674"/>
    <w:rsid w:val="00D01265"/>
    <w:rsid w:val="00D01B54"/>
    <w:rsid w:val="00D07303"/>
    <w:rsid w:val="00D13BB1"/>
    <w:rsid w:val="00D27BFE"/>
    <w:rsid w:val="00D364C2"/>
    <w:rsid w:val="00D36F3F"/>
    <w:rsid w:val="00D40EF4"/>
    <w:rsid w:val="00D45085"/>
    <w:rsid w:val="00D4650C"/>
    <w:rsid w:val="00D50E3F"/>
    <w:rsid w:val="00D51543"/>
    <w:rsid w:val="00D5555C"/>
    <w:rsid w:val="00D56EE1"/>
    <w:rsid w:val="00D73EB7"/>
    <w:rsid w:val="00D93D78"/>
    <w:rsid w:val="00DA41D0"/>
    <w:rsid w:val="00DA5563"/>
    <w:rsid w:val="00DB2137"/>
    <w:rsid w:val="00DB3305"/>
    <w:rsid w:val="00DC2406"/>
    <w:rsid w:val="00DE090E"/>
    <w:rsid w:val="00DE2904"/>
    <w:rsid w:val="00DE7012"/>
    <w:rsid w:val="00DF466E"/>
    <w:rsid w:val="00DF5D8E"/>
    <w:rsid w:val="00E166EF"/>
    <w:rsid w:val="00E338E8"/>
    <w:rsid w:val="00E429E4"/>
    <w:rsid w:val="00E500AC"/>
    <w:rsid w:val="00E50339"/>
    <w:rsid w:val="00E57E8C"/>
    <w:rsid w:val="00E60D0A"/>
    <w:rsid w:val="00E64EEE"/>
    <w:rsid w:val="00E71D8A"/>
    <w:rsid w:val="00E75BE2"/>
    <w:rsid w:val="00EA117C"/>
    <w:rsid w:val="00EA56C6"/>
    <w:rsid w:val="00EB0A47"/>
    <w:rsid w:val="00EE1D2C"/>
    <w:rsid w:val="00EF54CA"/>
    <w:rsid w:val="00F04B7B"/>
    <w:rsid w:val="00F14DAB"/>
    <w:rsid w:val="00F15E64"/>
    <w:rsid w:val="00F22917"/>
    <w:rsid w:val="00F27205"/>
    <w:rsid w:val="00F35A8A"/>
    <w:rsid w:val="00F360E8"/>
    <w:rsid w:val="00F5033E"/>
    <w:rsid w:val="00F536C7"/>
    <w:rsid w:val="00F6021D"/>
    <w:rsid w:val="00F6162E"/>
    <w:rsid w:val="00F6545F"/>
    <w:rsid w:val="00F67DB0"/>
    <w:rsid w:val="00F72EB1"/>
    <w:rsid w:val="00F75E06"/>
    <w:rsid w:val="00F76C98"/>
    <w:rsid w:val="00F92012"/>
    <w:rsid w:val="00F95C80"/>
    <w:rsid w:val="00F97E33"/>
    <w:rsid w:val="00FA099F"/>
    <w:rsid w:val="00FA43E6"/>
    <w:rsid w:val="00FA7817"/>
    <w:rsid w:val="00FB51DC"/>
    <w:rsid w:val="00FB6641"/>
    <w:rsid w:val="00FC212F"/>
    <w:rsid w:val="00FC49C0"/>
    <w:rsid w:val="00FD268A"/>
    <w:rsid w:val="00FF0BA3"/>
    <w:rsid w:val="00FF3BDF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A08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35E33"/>
    <w:rPr>
      <w:rFonts w:ascii="Times New Roman" w:eastAsia="Times New Roman" w:hAnsi="Times New Roman" w:cs="Times New Roman"/>
      <w:kern w:val="0"/>
      <w:lang/>
    </w:rPr>
  </w:style>
  <w:style w:type="paragraph" w:styleId="1">
    <w:name w:val="heading 1"/>
    <w:basedOn w:val="a"/>
    <w:next w:val="a"/>
    <w:link w:val="10"/>
    <w:uiPriority w:val="9"/>
    <w:qFormat/>
    <w:rsid w:val="00E166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15E6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97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  <w:lang w:val="en-US"/>
    </w:rPr>
  </w:style>
  <w:style w:type="character" w:customStyle="1" w:styleId="a5">
    <w:name w:val="页眉 字符"/>
    <w:basedOn w:val="a0"/>
    <w:link w:val="a4"/>
    <w:uiPriority w:val="99"/>
    <w:rsid w:val="00F35A8A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5A8A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  <w:lang w:val="en-US"/>
    </w:rPr>
  </w:style>
  <w:style w:type="character" w:customStyle="1" w:styleId="a7">
    <w:name w:val="页脚 字符"/>
    <w:basedOn w:val="a0"/>
    <w:link w:val="a6"/>
    <w:uiPriority w:val="99"/>
    <w:rsid w:val="00F35A8A"/>
    <w:rPr>
      <w:rFonts w:ascii="Times New Roman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350496"/>
    <w:pPr>
      <w:ind w:firstLineChars="200" w:firstLine="420"/>
    </w:pPr>
    <w:rPr>
      <w:rFonts w:eastAsiaTheme="minorEastAsia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43D79"/>
    <w:rPr>
      <w:rFonts w:eastAsiaTheme="minorEastAsia"/>
      <w:sz w:val="18"/>
      <w:szCs w:val="18"/>
      <w:lang w:val="en-US"/>
    </w:rPr>
  </w:style>
  <w:style w:type="character" w:customStyle="1" w:styleId="aa">
    <w:name w:val="批注框文本 字符"/>
    <w:basedOn w:val="a0"/>
    <w:link w:val="a9"/>
    <w:uiPriority w:val="99"/>
    <w:semiHidden/>
    <w:rsid w:val="00B43D79"/>
    <w:rPr>
      <w:rFonts w:ascii="Times New Roman" w:hAnsi="Times New Roman" w:cs="Times New Roman"/>
      <w:kern w:val="0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75BE2"/>
    <w:rPr>
      <w:color w:val="0000FF"/>
      <w:u w:val="single"/>
    </w:rPr>
  </w:style>
  <w:style w:type="character" w:styleId="ac">
    <w:name w:val="line number"/>
    <w:basedOn w:val="a0"/>
    <w:uiPriority w:val="99"/>
    <w:semiHidden/>
    <w:unhideWhenUsed/>
    <w:rsid w:val="00633446"/>
  </w:style>
  <w:style w:type="character" w:customStyle="1" w:styleId="30">
    <w:name w:val="标题 3 字符"/>
    <w:basedOn w:val="a0"/>
    <w:link w:val="3"/>
    <w:uiPriority w:val="9"/>
    <w:rsid w:val="00F15E64"/>
    <w:rPr>
      <w:rFonts w:ascii="Times New Roman" w:eastAsia="Times New Roman" w:hAnsi="Times New Roman" w:cs="Times New Roman"/>
      <w:b/>
      <w:bCs/>
      <w:kern w:val="0"/>
      <w:sz w:val="27"/>
      <w:szCs w:val="27"/>
      <w:lang/>
    </w:rPr>
  </w:style>
  <w:style w:type="character" w:styleId="ad">
    <w:name w:val="FollowedHyperlink"/>
    <w:basedOn w:val="a0"/>
    <w:uiPriority w:val="99"/>
    <w:semiHidden/>
    <w:unhideWhenUsed/>
    <w:rsid w:val="00F15E64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166EF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6A727-783F-1C4B-B015-F1341038C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38880-A576-4991-9795-BBA174E6CC80}"/>
</file>

<file path=customXml/itemProps3.xml><?xml version="1.0" encoding="utf-8"?>
<ds:datastoreItem xmlns:ds="http://schemas.openxmlformats.org/officeDocument/2006/customXml" ds:itemID="{1B628B5D-ACA2-43F1-A7FA-EE61916D5A85}"/>
</file>

<file path=customXml/itemProps4.xml><?xml version="1.0" encoding="utf-8"?>
<ds:datastoreItem xmlns:ds="http://schemas.openxmlformats.org/officeDocument/2006/customXml" ds:itemID="{D148E17C-E99B-4F41-9918-2FCE18CE9D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J.S.</cp:lastModifiedBy>
  <cp:revision>85</cp:revision>
  <dcterms:created xsi:type="dcterms:W3CDTF">2020-05-14T10:21:00Z</dcterms:created>
  <dcterms:modified xsi:type="dcterms:W3CDTF">2021-10-26T14:40:00Z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