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0" w:line="48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Obstructive sleep apnea is associated with an increased prevalence of polycythemia in patients with chronic obstructive pulmonary disease</w:t>
      </w:r>
    </w:p>
    <w:p>
      <w:pPr>
        <w:widowControl/>
        <w:spacing w:line="480" w:lineRule="auto"/>
        <w:rPr>
          <w:rFonts w:hint="eastAsia" w:ascii="Arial" w:hAnsi="Arial" w:eastAsia="宋体" w:cs="Times New Roman"/>
          <w:kern w:val="0"/>
          <w:sz w:val="20"/>
          <w:szCs w:val="20"/>
          <w:lang w:val="en-US" w:eastAsia="zh-CN"/>
        </w:rPr>
      </w:pPr>
      <w:r>
        <w:rPr>
          <w:rFonts w:hint="eastAsia" w:ascii="Arial" w:hAnsi="Arial" w:eastAsia="Times New Roman" w:cs="Times New Roman"/>
          <w:kern w:val="0"/>
          <w:sz w:val="20"/>
          <w:szCs w:val="20"/>
        </w:rPr>
        <w:t>Zhaofu Zeng</w:t>
      </w:r>
      <w:r>
        <w:rPr>
          <w:rFonts w:hint="eastAsia" w:ascii="Arial" w:hAnsi="Arial" w:eastAsia="宋体" w:cs="Times New Roman"/>
          <w:kern w:val="0"/>
          <w:sz w:val="20"/>
          <w:szCs w:val="20"/>
          <w:vertAlign w:val="superscript"/>
          <w:lang w:val="en-US" w:eastAsia="zh-CN"/>
        </w:rPr>
        <w:t>1</w:t>
      </w:r>
      <w:r>
        <w:rPr>
          <w:rFonts w:hint="eastAsia" w:ascii="Arial" w:hAnsi="Arial" w:eastAsia="宋体" w:cs="Times New Roman"/>
          <w:kern w:val="0"/>
          <w:sz w:val="20"/>
          <w:szCs w:val="20"/>
        </w:rPr>
        <w:t xml:space="preserve">; </w:t>
      </w:r>
      <w:r>
        <w:rPr>
          <w:rFonts w:hint="eastAsia" w:ascii="Arial" w:hAnsi="Arial" w:eastAsia="Times New Roman" w:cs="Times New Roman"/>
          <w:kern w:val="0"/>
          <w:sz w:val="20"/>
          <w:szCs w:val="20"/>
        </w:rPr>
        <w:t>Yan</w:t>
      </w:r>
      <w:r>
        <w:rPr>
          <w:rFonts w:hint="eastAsia" w:ascii="Arial" w:hAnsi="Arial" w:eastAsia="宋体" w:cs="Times New Roman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eastAsia="Times New Roman" w:cs="Times New Roman"/>
          <w:kern w:val="0"/>
          <w:sz w:val="20"/>
          <w:szCs w:val="20"/>
        </w:rPr>
        <w:t>Song</w:t>
      </w:r>
      <w:r>
        <w:rPr>
          <w:rFonts w:hint="eastAsia" w:ascii="Arial" w:hAnsi="Arial" w:eastAsia="宋体" w:cs="Times New Roman"/>
          <w:kern w:val="0"/>
          <w:sz w:val="20"/>
          <w:szCs w:val="20"/>
          <w:vertAlign w:val="superscript"/>
          <w:lang w:val="en-US" w:eastAsia="zh-CN"/>
        </w:rPr>
        <w:t>1</w:t>
      </w:r>
      <w:r>
        <w:rPr>
          <w:rFonts w:hint="eastAsia" w:ascii="Arial" w:hAnsi="Arial" w:eastAsia="宋体" w:cs="Times New Roman"/>
          <w:kern w:val="0"/>
          <w:sz w:val="20"/>
          <w:szCs w:val="20"/>
        </w:rPr>
        <w:t xml:space="preserve">; </w:t>
      </w:r>
      <w:r>
        <w:rPr>
          <w:rFonts w:hint="eastAsia" w:ascii="Arial" w:hAnsi="Arial" w:eastAsia="Times New Roman" w:cs="Times New Roman"/>
          <w:kern w:val="0"/>
          <w:sz w:val="20"/>
          <w:szCs w:val="20"/>
        </w:rPr>
        <w:t>Xin He</w:t>
      </w:r>
      <w:r>
        <w:rPr>
          <w:rFonts w:hint="eastAsia" w:ascii="Arial" w:hAnsi="Arial" w:eastAsia="宋体" w:cs="Times New Roman"/>
          <w:kern w:val="0"/>
          <w:sz w:val="20"/>
          <w:szCs w:val="20"/>
          <w:vertAlign w:val="superscript"/>
          <w:lang w:val="en-US" w:eastAsia="zh-CN"/>
        </w:rPr>
        <w:t>1</w:t>
      </w:r>
      <w:r>
        <w:rPr>
          <w:rFonts w:hint="eastAsia" w:ascii="Arial" w:hAnsi="Arial" w:eastAsia="宋体" w:cs="Times New Roman"/>
          <w:kern w:val="0"/>
          <w:sz w:val="20"/>
          <w:szCs w:val="20"/>
        </w:rPr>
        <w:t xml:space="preserve">; </w:t>
      </w:r>
      <w:r>
        <w:rPr>
          <w:rFonts w:hint="eastAsia" w:ascii="Arial" w:hAnsi="Arial" w:eastAsia="Times New Roman" w:cs="Times New Roman"/>
          <w:kern w:val="0"/>
          <w:sz w:val="20"/>
          <w:szCs w:val="20"/>
        </w:rPr>
        <w:t>Haizhen Yang</w:t>
      </w:r>
      <w:r>
        <w:rPr>
          <w:rFonts w:hint="eastAsia" w:ascii="Arial" w:hAnsi="Arial" w:eastAsia="宋体" w:cs="Times New Roman"/>
          <w:kern w:val="0"/>
          <w:sz w:val="20"/>
          <w:szCs w:val="20"/>
          <w:vertAlign w:val="superscript"/>
          <w:lang w:val="en-US" w:eastAsia="zh-CN"/>
        </w:rPr>
        <w:t>1</w:t>
      </w:r>
      <w:r>
        <w:rPr>
          <w:rFonts w:hint="eastAsia" w:ascii="Arial" w:hAnsi="Arial" w:eastAsia="宋体" w:cs="Times New Roman"/>
          <w:kern w:val="0"/>
          <w:sz w:val="20"/>
          <w:szCs w:val="20"/>
        </w:rPr>
        <w:t xml:space="preserve">; </w:t>
      </w:r>
      <w:r>
        <w:rPr>
          <w:rFonts w:hint="eastAsia" w:ascii="Arial" w:hAnsi="Arial" w:eastAsia="Times New Roman" w:cs="Times New Roman"/>
          <w:kern w:val="0"/>
          <w:sz w:val="20"/>
          <w:szCs w:val="20"/>
        </w:rPr>
        <w:t>Fang Yue</w:t>
      </w:r>
      <w:r>
        <w:rPr>
          <w:rFonts w:hint="eastAsia" w:ascii="Arial" w:hAnsi="Arial" w:eastAsia="宋体" w:cs="Times New Roman"/>
          <w:kern w:val="0"/>
          <w:sz w:val="20"/>
          <w:szCs w:val="20"/>
          <w:vertAlign w:val="superscript"/>
          <w:lang w:val="en-US" w:eastAsia="zh-CN"/>
        </w:rPr>
        <w:t>1</w:t>
      </w:r>
      <w:r>
        <w:rPr>
          <w:rFonts w:hint="eastAsia" w:ascii="Arial" w:hAnsi="Arial" w:eastAsia="宋体" w:cs="Times New Roman"/>
          <w:kern w:val="0"/>
          <w:sz w:val="20"/>
          <w:szCs w:val="20"/>
        </w:rPr>
        <w:t xml:space="preserve">; </w:t>
      </w:r>
      <w:r>
        <w:rPr>
          <w:rFonts w:hint="eastAsia" w:ascii="Arial" w:hAnsi="Arial" w:eastAsia="Times New Roman" w:cs="Times New Roman"/>
          <w:kern w:val="0"/>
          <w:sz w:val="20"/>
          <w:szCs w:val="20"/>
        </w:rPr>
        <w:t>Mengqing Xiong</w:t>
      </w:r>
      <w:r>
        <w:rPr>
          <w:rFonts w:hint="eastAsia" w:ascii="Arial" w:hAnsi="Arial" w:eastAsia="宋体" w:cs="Times New Roman"/>
          <w:kern w:val="0"/>
          <w:sz w:val="20"/>
          <w:szCs w:val="20"/>
          <w:vertAlign w:val="superscript"/>
          <w:lang w:val="en-US" w:eastAsia="zh-CN"/>
        </w:rPr>
        <w:t>1</w:t>
      </w:r>
      <w:r>
        <w:rPr>
          <w:rFonts w:hint="eastAsia" w:ascii="Arial" w:hAnsi="Arial" w:eastAsia="宋体" w:cs="Times New Roman"/>
          <w:kern w:val="0"/>
          <w:sz w:val="20"/>
          <w:szCs w:val="20"/>
        </w:rPr>
        <w:t xml:space="preserve">; </w:t>
      </w:r>
      <w:r>
        <w:rPr>
          <w:rFonts w:hint="eastAsia" w:ascii="Arial" w:hAnsi="Arial" w:eastAsia="Times New Roman" w:cs="Times New Roman"/>
          <w:kern w:val="0"/>
          <w:sz w:val="20"/>
          <w:szCs w:val="20"/>
        </w:rPr>
        <w:t>Ke Hu</w:t>
      </w:r>
      <w:r>
        <w:rPr>
          <w:rFonts w:hint="eastAsia" w:ascii="Arial" w:hAnsi="Arial" w:eastAsia="宋体" w:cs="Times New Roman"/>
          <w:kern w:val="0"/>
          <w:sz w:val="20"/>
          <w:szCs w:val="20"/>
          <w:vertAlign w:val="superscript"/>
          <w:lang w:val="en-US" w:eastAsia="zh-CN"/>
        </w:rPr>
        <w:t>1</w:t>
      </w:r>
    </w:p>
    <w:p>
      <w:pPr>
        <w:widowControl/>
        <w:spacing w:line="480" w:lineRule="auto"/>
        <w:rPr>
          <w:rFonts w:ascii="Arial" w:hAnsi="Arial" w:eastAsia="Times New Roman" w:cs="Times New Roman"/>
          <w:kern w:val="0"/>
          <w:sz w:val="20"/>
          <w:szCs w:val="20"/>
          <w:vertAlign w:val="superscript"/>
          <w:lang w:eastAsia="en-US"/>
        </w:rPr>
      </w:pPr>
    </w:p>
    <w:p>
      <w:pPr>
        <w:widowControl/>
        <w:spacing w:line="480" w:lineRule="auto"/>
        <w:rPr>
          <w:rFonts w:hint="eastAsia" w:ascii="Arial" w:hAnsi="Arial" w:eastAsia="Times New Roman" w:cs="Times New Roman"/>
          <w:kern w:val="0"/>
          <w:sz w:val="20"/>
          <w:szCs w:val="20"/>
        </w:rPr>
      </w:pPr>
      <w:r>
        <w:rPr>
          <w:rFonts w:hint="eastAsia" w:ascii="Arial" w:hAnsi="Arial" w:eastAsia="宋体" w:cs="Times New Roman"/>
          <w:kern w:val="0"/>
          <w:sz w:val="20"/>
          <w:szCs w:val="20"/>
          <w:vertAlign w:val="superscript"/>
          <w:lang w:val="en-US" w:eastAsia="zh-CN"/>
        </w:rPr>
        <w:t>1</w:t>
      </w:r>
      <w:r>
        <w:rPr>
          <w:rFonts w:hint="eastAsia" w:ascii="Arial" w:hAnsi="Arial" w:eastAsia="Times New Roman" w:cs="Times New Roman"/>
          <w:kern w:val="0"/>
          <w:sz w:val="20"/>
          <w:szCs w:val="20"/>
        </w:rPr>
        <w:t>Department of Respiratory and Critical Care Medicine, Renmin Hospital of Wuhan University, Wuhan, China</w:t>
      </w:r>
    </w:p>
    <w:p>
      <w:pPr>
        <w:widowControl/>
        <w:spacing w:line="480" w:lineRule="auto"/>
        <w:rPr>
          <w:rFonts w:hint="eastAsia" w:ascii="Arial" w:hAnsi="Arial" w:eastAsia="Times New Roman" w:cs="Times New Roman"/>
          <w:kern w:val="0"/>
          <w:sz w:val="20"/>
          <w:szCs w:val="20"/>
          <w:lang w:eastAsia="en-US"/>
        </w:rPr>
      </w:pPr>
    </w:p>
    <w:p>
      <w:pPr>
        <w:widowControl/>
        <w:spacing w:line="480" w:lineRule="auto"/>
        <w:rPr>
          <w:rFonts w:ascii="Arial" w:hAnsi="Arial" w:eastAsia="Times New Roman" w:cs="Times New Roman"/>
          <w:kern w:val="0"/>
          <w:sz w:val="20"/>
          <w:szCs w:val="20"/>
        </w:rPr>
      </w:pPr>
    </w:p>
    <w:p>
      <w:pPr>
        <w:rPr>
          <w:rFonts w:hint="eastAsia" w:ascii="AdvTTf90d833a.I" w:hAnsi="AdvTTf90d833a.I" w:eastAsia="宋体" w:cs="AdvTTf90d833a.I"/>
          <w:color w:val="0000FF"/>
          <w:sz w:val="24"/>
        </w:rPr>
      </w:pPr>
      <w:r>
        <w:rPr>
          <w:rFonts w:ascii="Arial" w:hAnsi="Arial" w:eastAsia="Times New Roman" w:cs="Times New Roman"/>
          <w:kern w:val="0"/>
          <w:sz w:val="20"/>
          <w:szCs w:val="20"/>
          <w:lang w:eastAsia="en-US"/>
        </w:rPr>
        <w:t xml:space="preserve">Correspondence: </w:t>
      </w:r>
      <w:r>
        <w:rPr>
          <w:rFonts w:hint="eastAsia" w:ascii="Arial" w:hAnsi="Arial" w:eastAsia="Times New Roman" w:cs="Times New Roman"/>
          <w:kern w:val="0"/>
          <w:sz w:val="20"/>
          <w:szCs w:val="20"/>
          <w:lang w:eastAsia="en-US"/>
        </w:rPr>
        <w:t>Ke Hu</w:t>
      </w:r>
      <w:r>
        <w:rPr>
          <w:rFonts w:ascii="Arial" w:hAnsi="Arial" w:eastAsia="Times New Roman" w:cs="Times New Roman"/>
          <w:kern w:val="0"/>
          <w:sz w:val="20"/>
          <w:szCs w:val="20"/>
          <w:lang w:eastAsia="en-US"/>
        </w:rPr>
        <w:t xml:space="preserve">, Department of Respiratory and Critical Care Medicine, Renmin Hospital of Wuhan </w:t>
      </w:r>
      <w:r>
        <w:rPr>
          <w:rFonts w:ascii="Arial" w:hAnsi="Arial" w:eastAsia="Times New Roman" w:cs="Arial"/>
          <w:kern w:val="0"/>
          <w:sz w:val="20"/>
          <w:szCs w:val="20"/>
          <w:lang w:eastAsia="en-US"/>
        </w:rPr>
        <w:t>University, Wuhan 430060, China</w:t>
      </w:r>
      <w:r>
        <w:rPr>
          <w:rFonts w:ascii="Arial" w:hAnsi="Arial" w:eastAsia="Times New Roman" w:cs="Arial"/>
          <w:kern w:val="0"/>
          <w:sz w:val="20"/>
          <w:szCs w:val="20"/>
        </w:rPr>
        <w:t>. Tel +1897 103 5988; E-mail:</w:t>
      </w:r>
      <w:r>
        <w:rPr>
          <w:rFonts w:ascii="Arial" w:hAnsi="Arial" w:eastAsia="Times New Roman" w:cs="Arial"/>
          <w:kern w:val="0"/>
          <w:sz w:val="20"/>
          <w:szCs w:val="20"/>
          <w:lang w:val="fr-FR" w:eastAsia="en-US"/>
        </w:rPr>
        <w:t xml:space="preserve"> </w:t>
      </w:r>
      <w:r>
        <w:fldChar w:fldCharType="begin"/>
      </w:r>
      <w:r>
        <w:instrText xml:space="preserve"> HYPERLINK "mailto:huke-rmhospital@163.com" </w:instrText>
      </w:r>
      <w:r>
        <w:fldChar w:fldCharType="separate"/>
      </w:r>
      <w:r>
        <w:rPr>
          <w:rFonts w:ascii="Arial" w:hAnsi="Arial" w:eastAsia="宋体" w:cs="Arial"/>
          <w:color w:val="0000FF"/>
          <w:sz w:val="20"/>
          <w:szCs w:val="20"/>
          <w:u w:val="single"/>
        </w:rPr>
        <w:t>huke-rmhospital@163.com</w:t>
      </w:r>
      <w:r>
        <w:rPr>
          <w:rFonts w:ascii="Arial" w:hAnsi="Arial" w:eastAsia="宋体" w:cs="Arial"/>
          <w:color w:val="0000FF"/>
          <w:sz w:val="20"/>
          <w:szCs w:val="20"/>
          <w:u w:val="single"/>
        </w:rPr>
        <w:fldChar w:fldCharType="end"/>
      </w:r>
      <w:r>
        <w:rPr>
          <w:rFonts w:hint="eastAsia" w:ascii="AdvTTf90d833a.I" w:hAnsi="AdvTTf90d833a.I" w:eastAsia="宋体" w:cs="AdvTTf90d833a.I"/>
          <w:color w:val="0000FF"/>
          <w:sz w:val="24"/>
        </w:rPr>
        <w:t xml:space="preserve"> </w:t>
      </w:r>
    </w:p>
    <w:p>
      <w:pPr>
        <w:rPr>
          <w:rFonts w:hint="eastAsia" w:ascii="AdvTTf90d833a.I" w:hAnsi="AdvTTf90d833a.I" w:eastAsia="宋体" w:cs="AdvTTf90d833a.I"/>
          <w:color w:val="0000FF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AdvTTf90d833a.I" w:hAnsi="AdvTTf90d833a.I" w:eastAsia="宋体" w:cs="AdvTTf90d833a.I"/>
          <w:color w:val="0000FF"/>
          <w:sz w:val="24"/>
        </w:rPr>
      </w:pPr>
      <w:r>
        <w:rPr>
          <w:rFonts w:hint="eastAsia" w:ascii="AdvTTf90d833a.I" w:hAnsi="AdvTTf90d833a.I" w:eastAsia="宋体" w:cs="AdvTTf90d833a.I"/>
          <w:color w:val="0000FF"/>
          <w:sz w:val="24"/>
        </w:rPr>
        <w:drawing>
          <wp:inline distT="0" distB="0" distL="114300" distR="114300">
            <wp:extent cx="3803650" cy="2971800"/>
            <wp:effectExtent l="0" t="0" r="0" b="0"/>
            <wp:docPr id="1" name="图片 1" descr="[338824] Figure[1A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[338824] Figure[1A]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036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 w:hAnsi="Arial" w:eastAsia="宋体" w:cs="Arial"/>
          <w:sz w:val="20"/>
          <w:szCs w:val="20"/>
          <w:lang w:bidi="ar"/>
        </w:rPr>
      </w:pPr>
      <w:r>
        <w:rPr>
          <w:rFonts w:hint="eastAsia" w:ascii="Arial" w:hAnsi="Arial" w:eastAsia="宋体" w:cs="Arial"/>
          <w:b/>
          <w:bCs/>
          <w:sz w:val="20"/>
          <w:szCs w:val="20"/>
          <w:lang w:val="en-US" w:eastAsia="zh-CN" w:bidi="ar"/>
        </w:rPr>
        <w:t xml:space="preserve">Supplementary </w:t>
      </w:r>
      <w:r>
        <w:rPr>
          <w:rFonts w:ascii="Arial" w:hAnsi="Arial" w:eastAsia="宋体" w:cs="Arial"/>
          <w:b/>
          <w:bCs/>
          <w:sz w:val="20"/>
          <w:szCs w:val="20"/>
          <w:lang w:bidi="ar"/>
        </w:rPr>
        <w:t>Figure 1.</w:t>
      </w:r>
      <w:r>
        <w:rPr>
          <w:rFonts w:ascii="Arial" w:hAnsi="Arial" w:eastAsia="宋体" w:cs="Arial"/>
          <w:sz w:val="20"/>
          <w:szCs w:val="20"/>
          <w:lang w:bidi="ar"/>
        </w:rPr>
        <w:t xml:space="preserve"> ROC curves of TS</w:t>
      </w:r>
      <w:r>
        <w:rPr>
          <w:rFonts w:ascii="Arial" w:hAnsi="Arial" w:eastAsia="宋体" w:cs="Arial"/>
          <w:sz w:val="20"/>
          <w:szCs w:val="20"/>
          <w:vertAlign w:val="subscript"/>
          <w:lang w:bidi="ar"/>
        </w:rPr>
        <w:t>90</w:t>
      </w:r>
      <w:r>
        <w:rPr>
          <w:rFonts w:ascii="Arial" w:hAnsi="Arial" w:eastAsia="宋体" w:cs="Arial"/>
          <w:sz w:val="20"/>
          <w:szCs w:val="20"/>
          <w:lang w:bidi="ar"/>
        </w:rPr>
        <w:t>, min SaO</w:t>
      </w:r>
      <w:r>
        <w:rPr>
          <w:rFonts w:ascii="Arial" w:hAnsi="Arial" w:eastAsia="宋体" w:cs="Arial"/>
          <w:sz w:val="20"/>
          <w:szCs w:val="20"/>
          <w:vertAlign w:val="subscript"/>
          <w:lang w:bidi="ar"/>
        </w:rPr>
        <w:t>2</w:t>
      </w:r>
      <w:r>
        <w:rPr>
          <w:rFonts w:ascii="Arial" w:hAnsi="Arial" w:eastAsia="宋体" w:cs="Arial"/>
          <w:sz w:val="20"/>
          <w:szCs w:val="20"/>
          <w:lang w:bidi="ar"/>
        </w:rPr>
        <w:t>, and mean SaO</w:t>
      </w:r>
      <w:r>
        <w:rPr>
          <w:rFonts w:ascii="Arial" w:hAnsi="Arial" w:eastAsia="宋体" w:cs="Arial"/>
          <w:sz w:val="20"/>
          <w:szCs w:val="20"/>
          <w:vertAlign w:val="subscript"/>
          <w:lang w:bidi="ar"/>
        </w:rPr>
        <w:t>2</w:t>
      </w:r>
      <w:r>
        <w:rPr>
          <w:rFonts w:ascii="Arial" w:hAnsi="Arial" w:eastAsia="宋体" w:cs="Arial"/>
          <w:sz w:val="20"/>
          <w:szCs w:val="20"/>
          <w:lang w:bidi="ar"/>
        </w:rPr>
        <w:t xml:space="preserve"> for diagnosing polycythemia in COPD patients. The optimal threshold of TS</w:t>
      </w:r>
      <w:r>
        <w:rPr>
          <w:rFonts w:ascii="Arial" w:hAnsi="Arial" w:eastAsia="宋体" w:cs="Arial"/>
          <w:sz w:val="20"/>
          <w:szCs w:val="20"/>
          <w:vertAlign w:val="subscript"/>
          <w:lang w:bidi="ar"/>
        </w:rPr>
        <w:t>90</w:t>
      </w:r>
      <w:r>
        <w:rPr>
          <w:rFonts w:ascii="Arial" w:hAnsi="Arial" w:eastAsia="宋体" w:cs="Arial"/>
          <w:sz w:val="20"/>
          <w:szCs w:val="20"/>
          <w:lang w:bidi="ar"/>
        </w:rPr>
        <w:t xml:space="preserve"> for polycythemia was 7.75% (sensitivity = 0.657, specificity = 0.7), the optimal threshold of min SaO</w:t>
      </w:r>
      <w:r>
        <w:rPr>
          <w:rFonts w:ascii="Arial" w:hAnsi="Arial" w:eastAsia="宋体" w:cs="Arial"/>
          <w:sz w:val="20"/>
          <w:szCs w:val="20"/>
          <w:vertAlign w:val="subscript"/>
          <w:lang w:bidi="ar"/>
        </w:rPr>
        <w:t>2</w:t>
      </w:r>
      <w:r>
        <w:rPr>
          <w:rFonts w:ascii="Arial" w:hAnsi="Arial" w:eastAsia="宋体" w:cs="Arial"/>
          <w:sz w:val="20"/>
          <w:szCs w:val="20"/>
          <w:lang w:bidi="ar"/>
        </w:rPr>
        <w:t xml:space="preserve"> for polycythemia was 82.5% (sensitivity = 0.6, specificity = 0.714), and the optimal threshold of mean SaO</w:t>
      </w:r>
      <w:r>
        <w:rPr>
          <w:rFonts w:ascii="Arial" w:hAnsi="Arial" w:eastAsia="宋体" w:cs="Arial"/>
          <w:sz w:val="20"/>
          <w:szCs w:val="20"/>
          <w:vertAlign w:val="subscript"/>
          <w:lang w:bidi="ar"/>
        </w:rPr>
        <w:t xml:space="preserve">2 </w:t>
      </w:r>
      <w:r>
        <w:rPr>
          <w:rFonts w:ascii="Arial" w:hAnsi="Arial" w:eastAsia="宋体" w:cs="Arial"/>
          <w:sz w:val="20"/>
          <w:szCs w:val="20"/>
          <w:lang w:bidi="ar"/>
        </w:rPr>
        <w:t xml:space="preserve">for polycythemia was 91.45% (sensitivity = 0.799, specificity = 0.514). </w:t>
      </w:r>
    </w:p>
    <w:p>
      <w:pPr>
        <w:rPr>
          <w:rFonts w:ascii="Arial" w:hAnsi="Arial" w:eastAsia="宋体" w:cs="Arial"/>
          <w:sz w:val="20"/>
          <w:szCs w:val="20"/>
          <w:lang w:bidi="ar"/>
        </w:rPr>
      </w:pPr>
      <w:r>
        <w:rPr>
          <w:rFonts w:ascii="Arial" w:hAnsi="Arial" w:eastAsia="宋体" w:cs="Arial"/>
          <w:sz w:val="20"/>
          <w:szCs w:val="20"/>
          <w:lang w:bidi="ar"/>
        </w:rPr>
        <w:br w:type="page"/>
      </w:r>
    </w:p>
    <w:p>
      <w:pPr>
        <w:rPr>
          <w:rFonts w:hint="eastAsia" w:ascii="Arial" w:hAnsi="Arial" w:eastAsia="宋体" w:cs="Arial"/>
          <w:sz w:val="20"/>
          <w:szCs w:val="20"/>
          <w:lang w:bidi="ar"/>
        </w:rPr>
      </w:pPr>
      <w:r>
        <w:rPr>
          <w:rFonts w:hint="eastAsia" w:ascii="Arial" w:hAnsi="Arial" w:eastAsia="宋体" w:cs="Arial"/>
          <w:b/>
          <w:bCs/>
          <w:sz w:val="20"/>
          <w:szCs w:val="20"/>
          <w:lang w:val="en-US" w:eastAsia="zh-CN" w:bidi="ar"/>
        </w:rPr>
        <w:t>Supplementary Table</w:t>
      </w:r>
      <w:r>
        <w:rPr>
          <w:rFonts w:ascii="Arial" w:hAnsi="Arial" w:eastAsia="宋体" w:cs="Arial"/>
          <w:b/>
          <w:bCs/>
          <w:sz w:val="20"/>
          <w:szCs w:val="20"/>
          <w:lang w:bidi="ar"/>
        </w:rPr>
        <w:t xml:space="preserve"> 1</w:t>
      </w:r>
      <w:r>
        <w:rPr>
          <w:rFonts w:hint="eastAsia" w:ascii="Arial" w:hAnsi="Arial" w:eastAsia="宋体" w:cs="Arial"/>
          <w:b/>
          <w:bCs/>
          <w:sz w:val="20"/>
          <w:szCs w:val="20"/>
          <w:lang w:bidi="ar"/>
        </w:rPr>
        <w:t xml:space="preserve">. </w:t>
      </w:r>
      <w:r>
        <w:rPr>
          <w:rFonts w:hint="eastAsia" w:ascii="Arial" w:hAnsi="Arial" w:eastAsia="宋体" w:cs="Arial"/>
          <w:sz w:val="20"/>
          <w:szCs w:val="20"/>
          <w:lang w:bidi="ar"/>
        </w:rPr>
        <w:t>The relationship between polycythemia and other comorbidities</w:t>
      </w:r>
    </w:p>
    <w:tbl>
      <w:tblPr>
        <w:tblStyle w:val="3"/>
        <w:tblpPr w:leftFromText="180" w:rightFromText="180" w:vertAnchor="text" w:horzAnchor="page" w:tblpX="943" w:tblpY="295"/>
        <w:tblOverlap w:val="never"/>
        <w:tblW w:w="1023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93"/>
        <w:gridCol w:w="1701"/>
        <w:gridCol w:w="1140"/>
        <w:gridCol w:w="1377"/>
        <w:gridCol w:w="9"/>
        <w:gridCol w:w="1701"/>
        <w:gridCol w:w="104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263" w:type="dxa"/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kern w:val="0"/>
                <w:sz w:val="18"/>
                <w:szCs w:val="22"/>
              </w:rPr>
            </w:pPr>
            <w:r>
              <w:rPr>
                <w:rFonts w:hint="default" w:ascii="Arial" w:hAnsi="Arial" w:eastAsia="Times New Roman" w:cs="Arial"/>
                <w:b/>
                <w:bCs/>
                <w:kern w:val="0"/>
                <w:sz w:val="18"/>
                <w:szCs w:val="22"/>
              </w:rPr>
              <w:t>Comorbidities</w:t>
            </w:r>
          </w:p>
        </w:tc>
        <w:tc>
          <w:tcPr>
            <w:tcW w:w="3834" w:type="dxa"/>
            <w:gridSpan w:val="3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bCs/>
                <w:kern w:val="0"/>
                <w:sz w:val="18"/>
                <w:szCs w:val="18"/>
              </w:rPr>
              <w:t>Univariate regression analysis</w:t>
            </w:r>
          </w:p>
        </w:tc>
        <w:tc>
          <w:tcPr>
            <w:tcW w:w="4133" w:type="dxa"/>
            <w:gridSpan w:val="4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bCs/>
                <w:kern w:val="0"/>
                <w:sz w:val="18"/>
                <w:szCs w:val="18"/>
              </w:rPr>
              <w:t>Multiple regression analysis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263" w:type="dxa"/>
            <w:tcBorders>
              <w:bottom w:val="single" w:color="auto" w:sz="8" w:space="0"/>
            </w:tcBorders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kern w:val="0"/>
                <w:sz w:val="18"/>
                <w:szCs w:val="22"/>
              </w:rPr>
            </w:pPr>
          </w:p>
        </w:tc>
        <w:tc>
          <w:tcPr>
            <w:tcW w:w="993" w:type="dxa"/>
            <w:tcBorders>
              <w:bottom w:val="single" w:color="auto" w:sz="8" w:space="0"/>
            </w:tcBorders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bCs/>
                <w:i/>
                <w:iCs/>
                <w:kern w:val="0"/>
                <w:sz w:val="18"/>
                <w:szCs w:val="18"/>
              </w:rPr>
              <w:t>OR</w:t>
            </w:r>
          </w:p>
        </w:tc>
        <w:tc>
          <w:tcPr>
            <w:tcW w:w="1701" w:type="dxa"/>
            <w:tcBorders>
              <w:bottom w:val="single" w:color="auto" w:sz="8" w:space="0"/>
            </w:tcBorders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bCs/>
                <w:kern w:val="0"/>
                <w:sz w:val="18"/>
                <w:szCs w:val="18"/>
              </w:rPr>
              <w:t>95%</w:t>
            </w:r>
            <w:r>
              <w:rPr>
                <w:rFonts w:hint="default" w:ascii="Arial" w:hAnsi="Arial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i/>
                <w:iCs/>
                <w:kern w:val="0"/>
                <w:sz w:val="18"/>
                <w:szCs w:val="18"/>
              </w:rPr>
              <w:t>Cl</w:t>
            </w:r>
          </w:p>
        </w:tc>
        <w:tc>
          <w:tcPr>
            <w:tcW w:w="1140" w:type="dxa"/>
            <w:tcBorders>
              <w:bottom w:val="single" w:color="auto" w:sz="8" w:space="0"/>
            </w:tcBorders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bCs/>
                <w:i/>
                <w:iCs/>
                <w:kern w:val="0"/>
                <w:sz w:val="18"/>
                <w:szCs w:val="18"/>
              </w:rPr>
              <w:t>p</w:t>
            </w:r>
          </w:p>
        </w:tc>
        <w:tc>
          <w:tcPr>
            <w:tcW w:w="1377" w:type="dxa"/>
            <w:tcBorders>
              <w:bottom w:val="single" w:color="auto" w:sz="8" w:space="0"/>
            </w:tcBorders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bCs/>
                <w:kern w:val="0"/>
                <w:sz w:val="18"/>
                <w:szCs w:val="18"/>
              </w:rPr>
              <w:t xml:space="preserve">Adjusted </w:t>
            </w:r>
            <w:r>
              <w:rPr>
                <w:rFonts w:hint="default" w:ascii="Arial" w:hAnsi="Arial" w:eastAsia="宋体" w:cs="Arial"/>
                <w:b/>
                <w:bCs/>
                <w:i/>
                <w:iCs/>
                <w:kern w:val="0"/>
                <w:sz w:val="18"/>
                <w:szCs w:val="18"/>
              </w:rPr>
              <w:t>OR</w:t>
            </w:r>
          </w:p>
        </w:tc>
        <w:tc>
          <w:tcPr>
            <w:tcW w:w="1710" w:type="dxa"/>
            <w:gridSpan w:val="2"/>
            <w:tcBorders>
              <w:bottom w:val="single" w:color="auto" w:sz="8" w:space="0"/>
            </w:tcBorders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bCs/>
                <w:kern w:val="0"/>
                <w:sz w:val="18"/>
                <w:szCs w:val="18"/>
              </w:rPr>
              <w:t>95%</w:t>
            </w:r>
            <w:r>
              <w:rPr>
                <w:rFonts w:hint="default" w:ascii="Arial" w:hAnsi="Arial" w:eastAsia="宋体" w:cs="Arial"/>
                <w:b/>
                <w:bCs/>
                <w:i/>
                <w:iCs/>
                <w:kern w:val="0"/>
                <w:sz w:val="18"/>
                <w:szCs w:val="18"/>
              </w:rPr>
              <w:t>Cl</w:t>
            </w:r>
          </w:p>
        </w:tc>
        <w:tc>
          <w:tcPr>
            <w:tcW w:w="1046" w:type="dxa"/>
            <w:tcBorders>
              <w:bottom w:val="single" w:color="auto" w:sz="8" w:space="0"/>
            </w:tcBorders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bCs/>
                <w:i/>
                <w:iCs/>
                <w:kern w:val="0"/>
                <w:sz w:val="18"/>
                <w:szCs w:val="18"/>
              </w:rPr>
              <w:t>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63" w:type="dxa"/>
            <w:tcBorders>
              <w:top w:val="single" w:color="auto" w:sz="8" w:space="0"/>
              <w:bottom w:val="nil"/>
            </w:tcBorders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PH</w:t>
            </w:r>
          </w:p>
        </w:tc>
        <w:tc>
          <w:tcPr>
            <w:tcW w:w="993" w:type="dxa"/>
            <w:tcBorders>
              <w:top w:val="single" w:color="auto" w:sz="8" w:space="0"/>
              <w:bottom w:val="nil"/>
            </w:tcBorders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3.379</w:t>
            </w:r>
          </w:p>
        </w:tc>
        <w:tc>
          <w:tcPr>
            <w:tcW w:w="1701" w:type="dxa"/>
            <w:tcBorders>
              <w:top w:val="single" w:color="auto" w:sz="8" w:space="0"/>
              <w:bottom w:val="nil"/>
            </w:tcBorders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1.245-9.172</w:t>
            </w:r>
          </w:p>
        </w:tc>
        <w:tc>
          <w:tcPr>
            <w:tcW w:w="1140" w:type="dxa"/>
            <w:tcBorders>
              <w:top w:val="single" w:color="auto" w:sz="8" w:space="0"/>
              <w:bottom w:val="nil"/>
            </w:tcBorders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0.017</w:t>
            </w:r>
          </w:p>
        </w:tc>
        <w:tc>
          <w:tcPr>
            <w:tcW w:w="1386" w:type="dxa"/>
            <w:gridSpan w:val="2"/>
            <w:tcBorders>
              <w:top w:val="single" w:color="auto" w:sz="8" w:space="0"/>
              <w:bottom w:val="nil"/>
            </w:tcBorders>
          </w:tcPr>
          <w:p>
            <w:pPr>
              <w:jc w:val="center"/>
              <w:rPr>
                <w:rFonts w:hint="default" w:ascii="Arial" w:hAnsi="Arial" w:eastAsia="宋体" w:cs="Arial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  <w:t>4.731</w:t>
            </w:r>
          </w:p>
        </w:tc>
        <w:tc>
          <w:tcPr>
            <w:tcW w:w="1701" w:type="dxa"/>
            <w:tcBorders>
              <w:top w:val="single" w:color="auto" w:sz="8" w:space="0"/>
              <w:bottom w:val="nil"/>
            </w:tcBorders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1.</w:t>
            </w: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  <w:t>462</w:t>
            </w: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-</w:t>
            </w: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  <w:t>15.306</w:t>
            </w:r>
          </w:p>
        </w:tc>
        <w:tc>
          <w:tcPr>
            <w:tcW w:w="1046" w:type="dxa"/>
            <w:tcBorders>
              <w:top w:val="single" w:color="auto" w:sz="8" w:space="0"/>
              <w:bottom w:val="nil"/>
            </w:tcBorders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0.0</w:t>
            </w: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  <w:t>09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63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CHD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1.063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0.456-2.477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0.887</w:t>
            </w:r>
          </w:p>
        </w:tc>
        <w:tc>
          <w:tcPr>
            <w:tcW w:w="1386" w:type="dxa"/>
            <w:gridSpan w:val="2"/>
            <w:tcBorders>
              <w:top w:val="nil"/>
              <w:bottom w:val="nil"/>
            </w:tcBorders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046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263" w:type="dxa"/>
            <w:tcBorders>
              <w:top w:val="nil"/>
            </w:tcBorders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Hypertension</w:t>
            </w:r>
          </w:p>
        </w:tc>
        <w:tc>
          <w:tcPr>
            <w:tcW w:w="993" w:type="dxa"/>
            <w:tcBorders>
              <w:top w:val="nil"/>
            </w:tcBorders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1.430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0.727-2.814</w:t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0.300</w:t>
            </w:r>
          </w:p>
        </w:tc>
        <w:tc>
          <w:tcPr>
            <w:tcW w:w="1386" w:type="dxa"/>
            <w:gridSpan w:val="2"/>
            <w:tcBorders>
              <w:top w:val="nil"/>
            </w:tcBorders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-</w:t>
            </w:r>
          </w:p>
        </w:tc>
        <w:tc>
          <w:tcPr>
            <w:tcW w:w="1046" w:type="dxa"/>
            <w:tcBorders>
              <w:top w:val="nil"/>
            </w:tcBorders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263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Stoke</w:t>
            </w:r>
          </w:p>
        </w:tc>
        <w:tc>
          <w:tcPr>
            <w:tcW w:w="993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0.395</w:t>
            </w:r>
          </w:p>
        </w:tc>
        <w:tc>
          <w:tcPr>
            <w:tcW w:w="1701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0.053-2.935</w:t>
            </w:r>
          </w:p>
        </w:tc>
        <w:tc>
          <w:tcPr>
            <w:tcW w:w="114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0.364</w:t>
            </w:r>
          </w:p>
        </w:tc>
        <w:tc>
          <w:tcPr>
            <w:tcW w:w="1386" w:type="dxa"/>
            <w:gridSpan w:val="2"/>
            <w:tcBorders>
              <w:top w:val="nil"/>
            </w:tcBorders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-</w:t>
            </w:r>
          </w:p>
        </w:tc>
        <w:tc>
          <w:tcPr>
            <w:tcW w:w="1046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263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  <w:t>Diabetes</w:t>
            </w:r>
          </w:p>
        </w:tc>
        <w:tc>
          <w:tcPr>
            <w:tcW w:w="993" w:type="dxa"/>
            <w:tcBorders>
              <w:top w:val="nil"/>
            </w:tcBorders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  <w:t>0.773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  <w:t>0.232-2.576</w:t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  <w:t>0.676</w:t>
            </w:r>
          </w:p>
        </w:tc>
        <w:tc>
          <w:tcPr>
            <w:tcW w:w="1386" w:type="dxa"/>
            <w:gridSpan w:val="2"/>
            <w:tcBorders>
              <w:top w:val="nil"/>
            </w:tcBorders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046" w:type="dxa"/>
            <w:tcBorders>
              <w:top w:val="nil"/>
            </w:tcBorders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  <w:t>-</w:t>
            </w:r>
          </w:p>
        </w:tc>
      </w:tr>
    </w:tbl>
    <w:p>
      <w:pPr>
        <w:rPr>
          <w:rFonts w:hint="eastAsia" w:ascii="Arial" w:hAnsi="Arial" w:cs="Arial"/>
          <w:sz w:val="20"/>
          <w:szCs w:val="22"/>
        </w:rPr>
      </w:pPr>
      <w:r>
        <w:rPr>
          <w:rFonts w:hint="eastAsia" w:ascii="Arial" w:hAnsi="Arial" w:cs="Arial"/>
          <w:sz w:val="20"/>
          <w:szCs w:val="22"/>
        </w:rPr>
        <w:t>PH = Pulmonary hypertension; CHD = coronary heart disease. In multivariate logistic regression analysis,variables including sex, age, BMI, neck circumference, tobacco use, alcohol use, FEV</w:t>
      </w:r>
      <w:r>
        <w:rPr>
          <w:rFonts w:hint="eastAsia" w:ascii="Arial" w:hAnsi="Arial" w:cs="Arial"/>
          <w:sz w:val="20"/>
          <w:szCs w:val="22"/>
          <w:vertAlign w:val="subscript"/>
        </w:rPr>
        <w:t>1</w:t>
      </w:r>
      <w:r>
        <w:rPr>
          <w:rFonts w:hint="eastAsia" w:ascii="Arial" w:hAnsi="Arial" w:cs="Arial"/>
          <w:sz w:val="20"/>
          <w:szCs w:val="22"/>
        </w:rPr>
        <w:t>%, FEV</w:t>
      </w:r>
      <w:r>
        <w:rPr>
          <w:rFonts w:hint="eastAsia" w:ascii="Arial" w:hAnsi="Arial" w:cs="Arial"/>
          <w:sz w:val="20"/>
          <w:szCs w:val="22"/>
          <w:vertAlign w:val="subscript"/>
        </w:rPr>
        <w:t>1</w:t>
      </w:r>
      <w:r>
        <w:rPr>
          <w:rFonts w:hint="eastAsia" w:ascii="Arial" w:hAnsi="Arial" w:cs="Arial"/>
          <w:sz w:val="20"/>
          <w:szCs w:val="22"/>
        </w:rPr>
        <w:t>/FVC, the presence of venous thrombo</w:t>
      </w:r>
      <w:r>
        <w:rPr>
          <w:rFonts w:hint="eastAsia" w:ascii="Arial" w:hAnsi="Arial" w:cs="Arial"/>
          <w:sz w:val="20"/>
          <w:szCs w:val="22"/>
          <w:lang w:val="en-US" w:eastAsia="zh-CN"/>
        </w:rPr>
        <w:t>e</w:t>
      </w:r>
      <w:r>
        <w:rPr>
          <w:rFonts w:hint="eastAsia" w:ascii="Arial" w:hAnsi="Arial" w:cs="Arial"/>
          <w:sz w:val="20"/>
          <w:szCs w:val="22"/>
        </w:rPr>
        <w:t>mbolism, TS</w:t>
      </w:r>
      <w:r>
        <w:rPr>
          <w:rFonts w:hint="eastAsia" w:ascii="Arial" w:hAnsi="Arial" w:cs="Arial"/>
          <w:sz w:val="20"/>
          <w:szCs w:val="22"/>
          <w:vertAlign w:val="subscript"/>
        </w:rPr>
        <w:t>90</w:t>
      </w:r>
      <w:r>
        <w:rPr>
          <w:rFonts w:hint="eastAsia" w:ascii="Arial" w:hAnsi="Arial" w:cs="Arial"/>
          <w:sz w:val="20"/>
          <w:szCs w:val="22"/>
        </w:rPr>
        <w:t>, mean SaO</w:t>
      </w:r>
      <w:r>
        <w:rPr>
          <w:rFonts w:hint="eastAsia" w:ascii="Arial" w:hAnsi="Arial" w:cs="Arial"/>
          <w:sz w:val="20"/>
          <w:szCs w:val="22"/>
          <w:vertAlign w:val="subscript"/>
        </w:rPr>
        <w:t>2</w:t>
      </w:r>
      <w:r>
        <w:rPr>
          <w:rFonts w:hint="eastAsia" w:ascii="Arial" w:hAnsi="Arial" w:cs="Arial"/>
          <w:sz w:val="20"/>
          <w:szCs w:val="22"/>
        </w:rPr>
        <w:t>, min SaO</w:t>
      </w:r>
      <w:r>
        <w:rPr>
          <w:rFonts w:hint="eastAsia" w:ascii="Arial" w:hAnsi="Arial" w:cs="Arial"/>
          <w:sz w:val="20"/>
          <w:szCs w:val="22"/>
          <w:vertAlign w:val="subscript"/>
        </w:rPr>
        <w:t>2</w:t>
      </w:r>
      <w:r>
        <w:rPr>
          <w:rFonts w:hint="eastAsia" w:ascii="Arial" w:hAnsi="Arial" w:cs="Arial"/>
          <w:sz w:val="20"/>
          <w:szCs w:val="22"/>
        </w:rPr>
        <w:t xml:space="preserve"> and PTL were adjusted.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vTTf90d833a.I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8717A"/>
    <w:rsid w:val="02203B3A"/>
    <w:rsid w:val="0718717A"/>
    <w:rsid w:val="293801DA"/>
    <w:rsid w:val="6426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2021-12-02T12:42:00Z</dcterms:created>
  <dc:creator>曾照富</dc:creator>
  <cp:lastModifiedBy>曾照富</cp:lastModifiedBy>
  <dcterms:modified xsi:type="dcterms:W3CDTF">2021-12-10T07:29:22Z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178BDDA3843247E1BAC75242EC3D9F11</vt:lpwstr>
  </property>
</Properties>
</file>