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70B8A" w14:textId="77777777" w:rsidR="00CD3D2F" w:rsidRPr="00CD3D2F" w:rsidRDefault="00CD3D2F" w:rsidP="00CD3D2F">
      <w:pPr>
        <w:keepNext/>
        <w:keepLines/>
        <w:spacing w:before="240" w:after="120" w:line="480" w:lineRule="auto"/>
        <w:ind w:left="66"/>
        <w:jc w:val="both"/>
        <w:outlineLvl w:val="0"/>
        <w:rPr>
          <w:rFonts w:ascii="Arial" w:eastAsia="MS Gothic" w:hAnsi="Arial" w:cs="Arial"/>
          <w:b/>
          <w:color w:val="272774"/>
          <w:sz w:val="32"/>
          <w:szCs w:val="32"/>
        </w:rPr>
      </w:pPr>
      <w:bookmarkStart w:id="0" w:name="_Ref52968133"/>
      <w:bookmarkStart w:id="1" w:name="_Toc65497986"/>
      <w:bookmarkStart w:id="2" w:name="_Hlk66369279"/>
      <w:r w:rsidRPr="00CD3D2F">
        <w:rPr>
          <w:rFonts w:ascii="Arial" w:eastAsia="MS Gothic" w:hAnsi="Arial" w:cs="Arial"/>
          <w:b/>
          <w:color w:val="272774"/>
          <w:sz w:val="32"/>
          <w:szCs w:val="32"/>
        </w:rPr>
        <w:t xml:space="preserve">Appendix 1: Search </w:t>
      </w:r>
      <w:bookmarkEnd w:id="0"/>
      <w:bookmarkEnd w:id="1"/>
      <w:r w:rsidRPr="00CD3D2F">
        <w:rPr>
          <w:rFonts w:ascii="Arial" w:eastAsia="MS Gothic" w:hAnsi="Arial" w:cs="Arial"/>
          <w:b/>
          <w:color w:val="272774"/>
          <w:sz w:val="32"/>
          <w:szCs w:val="32"/>
        </w:rPr>
        <w:t>strategy</w:t>
      </w:r>
    </w:p>
    <w:p w14:paraId="4F42B846" w14:textId="77777777" w:rsidR="00CD3D2F" w:rsidRPr="00CD3D2F" w:rsidRDefault="00CD3D2F" w:rsidP="00CD3D2F">
      <w:pPr>
        <w:spacing w:after="240" w:line="480" w:lineRule="auto"/>
        <w:jc w:val="both"/>
        <w:rPr>
          <w:rFonts w:ascii="Arial" w:eastAsia="SimSun" w:hAnsi="Arial" w:cs="Arial"/>
          <w:lang w:val="en-GB"/>
        </w:rPr>
      </w:pPr>
      <w:r w:rsidRPr="00CD3D2F">
        <w:rPr>
          <w:rFonts w:ascii="Arial" w:eastAsia="SimSun" w:hAnsi="Arial" w:cs="Arial"/>
          <w:lang w:val="en-GB"/>
        </w:rPr>
        <w:t>Search terms for EMBASE via www.embase.com</w:t>
      </w:r>
    </w:p>
    <w:p w14:paraId="4DA43B1B" w14:textId="77777777" w:rsidR="00CD3D2F" w:rsidRPr="00CD3D2F" w:rsidRDefault="00CD3D2F" w:rsidP="00CD3D2F">
      <w:pPr>
        <w:spacing w:after="240" w:line="480" w:lineRule="auto"/>
        <w:jc w:val="both"/>
        <w:rPr>
          <w:rFonts w:ascii="Arial" w:eastAsia="SimSun" w:hAnsi="Arial" w:cs="Arial"/>
          <w:lang w:val="en-GB"/>
        </w:rPr>
      </w:pPr>
      <w:r w:rsidRPr="00CD3D2F">
        <w:rPr>
          <w:rFonts w:ascii="Arial" w:eastAsia="SimSun" w:hAnsi="Arial" w:cs="Arial"/>
          <w:lang w:val="en-GB"/>
        </w:rPr>
        <w:t>Date of the search: 16/04/2021</w:t>
      </w:r>
    </w:p>
    <w:tbl>
      <w:tblPr>
        <w:tblStyle w:val="GridTable4-Accent15"/>
        <w:tblW w:w="0" w:type="auto"/>
        <w:tblLook w:val="04A0" w:firstRow="1" w:lastRow="0" w:firstColumn="1" w:lastColumn="0" w:noHBand="0" w:noVBand="1"/>
      </w:tblPr>
      <w:tblGrid>
        <w:gridCol w:w="846"/>
        <w:gridCol w:w="6804"/>
        <w:gridCol w:w="1366"/>
      </w:tblGrid>
      <w:tr w:rsidR="00CD3D2F" w:rsidRPr="00CD3D2F" w14:paraId="2CC89555" w14:textId="77777777" w:rsidTr="005A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07C674E" w14:textId="77777777" w:rsidR="00CD3D2F" w:rsidRPr="00CD3D2F" w:rsidRDefault="00CD3D2F" w:rsidP="00CD3D2F">
            <w:pPr>
              <w:spacing w:after="120" w:line="480" w:lineRule="auto"/>
              <w:jc w:val="both"/>
              <w:rPr>
                <w:rFonts w:ascii="Arial" w:eastAsia="SimSun" w:hAnsi="Arial" w:cs="Arial"/>
                <w:lang w:val="en-GB"/>
              </w:rPr>
            </w:pPr>
            <w:r w:rsidRPr="00CD3D2F">
              <w:rPr>
                <w:rFonts w:ascii="Arial" w:eastAsia="SimSun" w:hAnsi="Arial" w:cs="Arial"/>
                <w:lang w:val="en-GB"/>
              </w:rPr>
              <w:t>No</w:t>
            </w:r>
          </w:p>
        </w:tc>
        <w:tc>
          <w:tcPr>
            <w:tcW w:w="6804" w:type="dxa"/>
          </w:tcPr>
          <w:p w14:paraId="2F93F5C7" w14:textId="77777777" w:rsidR="00CD3D2F" w:rsidRPr="00CD3D2F" w:rsidRDefault="00CD3D2F" w:rsidP="00CD3D2F">
            <w:pPr>
              <w:spacing w:after="120" w:line="480" w:lineRule="auto"/>
              <w:ind w:left="720" w:hanging="720"/>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Query</w:t>
            </w:r>
            <w:r w:rsidRPr="00CD3D2F">
              <w:rPr>
                <w:rFonts w:ascii="Arial" w:eastAsia="SimSun" w:hAnsi="Arial" w:cs="Arial"/>
                <w:vertAlign w:val="superscript"/>
                <w:lang w:val="en-GB"/>
              </w:rPr>
              <w:t>1,2,3</w:t>
            </w:r>
          </w:p>
        </w:tc>
        <w:tc>
          <w:tcPr>
            <w:tcW w:w="1366" w:type="dxa"/>
          </w:tcPr>
          <w:p w14:paraId="5A488FFC" w14:textId="77777777" w:rsidR="00CD3D2F" w:rsidRPr="00CD3D2F" w:rsidRDefault="00CD3D2F" w:rsidP="00CD3D2F">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Results</w:t>
            </w:r>
          </w:p>
        </w:tc>
      </w:tr>
      <w:tr w:rsidR="00CD3D2F" w:rsidRPr="00CD3D2F" w14:paraId="1D818AE1"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615AF1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w:t>
            </w:r>
          </w:p>
        </w:tc>
        <w:tc>
          <w:tcPr>
            <w:tcW w:w="6804" w:type="dxa"/>
            <w:vAlign w:val="center"/>
          </w:tcPr>
          <w:p w14:paraId="28EB4E64"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'coronavirus disease 2019'/exp OR 'coronavirus disease 2019' OR 'covid 19'/exp OR 'covid 19' OR 'covid19'/exp OR 'covid19' OR 'covid-19'/exp OR 'covid-19' OR 'sars-cov-2'/exp OR 'sars-cov-2' OR 'severe acute respiratory syndrome coronavirus 2'/exp OR 'severe acute respiratory syndrome coronavirus 2' OR '2019ncov' OR 19ncov OR covid OR 'sarscov-2' OR 'sars-cov2' OR sarscov2 OR 'severe acute respiratory syndrome corona virus 2'</w:t>
            </w:r>
          </w:p>
        </w:tc>
        <w:tc>
          <w:tcPr>
            <w:tcW w:w="1366" w:type="dxa"/>
            <w:vAlign w:val="center"/>
          </w:tcPr>
          <w:p w14:paraId="662B12EA"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127,907</w:t>
            </w:r>
          </w:p>
        </w:tc>
      </w:tr>
      <w:tr w:rsidR="00CD3D2F" w:rsidRPr="00CD3D2F" w14:paraId="495F5958"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0DB9947C"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w:t>
            </w:r>
          </w:p>
        </w:tc>
        <w:tc>
          <w:tcPr>
            <w:tcW w:w="6804" w:type="dxa"/>
            <w:vAlign w:val="center"/>
          </w:tcPr>
          <w:p w14:paraId="23821C1C"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'sars-related coronavirus'/exp</w:t>
            </w:r>
          </w:p>
        </w:tc>
        <w:tc>
          <w:tcPr>
            <w:tcW w:w="1366" w:type="dxa"/>
            <w:vAlign w:val="center"/>
          </w:tcPr>
          <w:p w14:paraId="517D2773"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31,538</w:t>
            </w:r>
          </w:p>
        </w:tc>
      </w:tr>
      <w:tr w:rsidR="00CD3D2F" w:rsidRPr="00CD3D2F" w14:paraId="182D4176"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9F35464"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w:t>
            </w:r>
          </w:p>
        </w:tc>
        <w:tc>
          <w:tcPr>
            <w:tcW w:w="6804" w:type="dxa"/>
            <w:vAlign w:val="center"/>
          </w:tcPr>
          <w:p w14:paraId="36F96ED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('coronavirinae'/exp OR 'betacoronavirus'/exp OR 'coronavirus infection'/exp) AND (epidemic OR pandemic)</w:t>
            </w:r>
          </w:p>
        </w:tc>
        <w:tc>
          <w:tcPr>
            <w:tcW w:w="1366" w:type="dxa"/>
            <w:vAlign w:val="center"/>
          </w:tcPr>
          <w:p w14:paraId="1A1E519A"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72,241</w:t>
            </w:r>
          </w:p>
        </w:tc>
      </w:tr>
      <w:tr w:rsidR="00CD3D2F" w:rsidRPr="00CD3D2F" w14:paraId="7225F112"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1B350E6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#4</w:t>
            </w:r>
          </w:p>
        </w:tc>
        <w:tc>
          <w:tcPr>
            <w:tcW w:w="6804" w:type="dxa"/>
            <w:vAlign w:val="center"/>
          </w:tcPr>
          <w:p w14:paraId="5D766AA5"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 OR #2 OR #3</w:t>
            </w:r>
          </w:p>
        </w:tc>
        <w:tc>
          <w:tcPr>
            <w:tcW w:w="1366" w:type="dxa"/>
            <w:vAlign w:val="center"/>
          </w:tcPr>
          <w:p w14:paraId="22E624FE"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137,636</w:t>
            </w:r>
          </w:p>
        </w:tc>
      </w:tr>
      <w:tr w:rsidR="00CD3D2F" w:rsidRPr="00CD3D2F" w14:paraId="23640D2C"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49E46B6"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#5</w:t>
            </w:r>
          </w:p>
        </w:tc>
        <w:tc>
          <w:tcPr>
            <w:tcW w:w="6804" w:type="dxa"/>
            <w:vAlign w:val="center"/>
          </w:tcPr>
          <w:p w14:paraId="370B81AB"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‘socioeconomics’/exp</w:t>
            </w:r>
          </w:p>
        </w:tc>
        <w:tc>
          <w:tcPr>
            <w:tcW w:w="1366" w:type="dxa"/>
            <w:vAlign w:val="center"/>
          </w:tcPr>
          <w:p w14:paraId="4F7A56E2"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425,567</w:t>
            </w:r>
          </w:p>
        </w:tc>
      </w:tr>
      <w:tr w:rsidR="00CD3D2F" w:rsidRPr="00CD3D2F" w14:paraId="1248DBD8"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505A0822"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#6</w:t>
            </w:r>
          </w:p>
        </w:tc>
        <w:tc>
          <w:tcPr>
            <w:tcW w:w="6804" w:type="dxa"/>
            <w:vAlign w:val="center"/>
          </w:tcPr>
          <w:p w14:paraId="28F6CE34"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benefit analysis’/exp</w:t>
            </w:r>
          </w:p>
        </w:tc>
        <w:tc>
          <w:tcPr>
            <w:tcW w:w="1366" w:type="dxa"/>
            <w:vAlign w:val="center"/>
          </w:tcPr>
          <w:p w14:paraId="1F51702B"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86,563</w:t>
            </w:r>
          </w:p>
        </w:tc>
      </w:tr>
      <w:tr w:rsidR="00CD3D2F" w:rsidRPr="00CD3D2F" w14:paraId="37B30E52"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026A61E"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#7</w:t>
            </w:r>
          </w:p>
        </w:tc>
        <w:tc>
          <w:tcPr>
            <w:tcW w:w="6804" w:type="dxa"/>
            <w:vAlign w:val="center"/>
          </w:tcPr>
          <w:p w14:paraId="35BF8CAA"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effectiveness analysis’/exp</w:t>
            </w:r>
          </w:p>
        </w:tc>
        <w:tc>
          <w:tcPr>
            <w:tcW w:w="1366" w:type="dxa"/>
            <w:vAlign w:val="center"/>
          </w:tcPr>
          <w:p w14:paraId="10841F57"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158,351</w:t>
            </w:r>
          </w:p>
        </w:tc>
      </w:tr>
      <w:tr w:rsidR="00CD3D2F" w:rsidRPr="00CD3D2F" w14:paraId="0F028AD3"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6B391EB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#8</w:t>
            </w:r>
          </w:p>
        </w:tc>
        <w:tc>
          <w:tcPr>
            <w:tcW w:w="6804" w:type="dxa"/>
            <w:vAlign w:val="center"/>
          </w:tcPr>
          <w:p w14:paraId="095CB597"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of illness’/exp</w:t>
            </w:r>
          </w:p>
        </w:tc>
        <w:tc>
          <w:tcPr>
            <w:tcW w:w="1366" w:type="dxa"/>
            <w:vAlign w:val="center"/>
          </w:tcPr>
          <w:p w14:paraId="44AF2A9C"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19,702</w:t>
            </w:r>
          </w:p>
        </w:tc>
      </w:tr>
      <w:tr w:rsidR="00CD3D2F" w:rsidRPr="00CD3D2F" w14:paraId="6D555A1F"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F94868F"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#9</w:t>
            </w:r>
          </w:p>
        </w:tc>
        <w:tc>
          <w:tcPr>
            <w:tcW w:w="6804" w:type="dxa"/>
            <w:vAlign w:val="center"/>
          </w:tcPr>
          <w:p w14:paraId="2FFB07D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control’/exp</w:t>
            </w:r>
          </w:p>
        </w:tc>
        <w:tc>
          <w:tcPr>
            <w:tcW w:w="1366" w:type="dxa"/>
            <w:vAlign w:val="center"/>
          </w:tcPr>
          <w:p w14:paraId="4C68D8E3"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70,324</w:t>
            </w:r>
          </w:p>
        </w:tc>
      </w:tr>
      <w:tr w:rsidR="00CD3D2F" w:rsidRPr="00CD3D2F" w14:paraId="39CD57F5"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7E6F5969"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#10</w:t>
            </w:r>
          </w:p>
        </w:tc>
        <w:tc>
          <w:tcPr>
            <w:tcW w:w="6804" w:type="dxa"/>
            <w:vAlign w:val="center"/>
          </w:tcPr>
          <w:p w14:paraId="10C5FE9E"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 aspect’/exp</w:t>
            </w:r>
          </w:p>
        </w:tc>
        <w:tc>
          <w:tcPr>
            <w:tcW w:w="1366" w:type="dxa"/>
            <w:vAlign w:val="center"/>
          </w:tcPr>
          <w:p w14:paraId="16C5B56A"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1,818,419</w:t>
            </w:r>
          </w:p>
        </w:tc>
      </w:tr>
      <w:tr w:rsidR="00CD3D2F" w:rsidRPr="00CD3D2F" w14:paraId="42A2A63B"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5B4318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#11</w:t>
            </w:r>
          </w:p>
        </w:tc>
        <w:tc>
          <w:tcPr>
            <w:tcW w:w="6804" w:type="dxa"/>
            <w:vAlign w:val="center"/>
          </w:tcPr>
          <w:p w14:paraId="3CDD4550"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‘financial management’/exp</w:t>
            </w:r>
          </w:p>
        </w:tc>
        <w:tc>
          <w:tcPr>
            <w:tcW w:w="1366" w:type="dxa"/>
            <w:vAlign w:val="center"/>
          </w:tcPr>
          <w:p w14:paraId="0FB8E129"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460,583</w:t>
            </w:r>
          </w:p>
        </w:tc>
      </w:tr>
      <w:tr w:rsidR="00CD3D2F" w:rsidRPr="00CD3D2F" w14:paraId="07EC8407"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74CFF215"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lastRenderedPageBreak/>
              <w:t>#12</w:t>
            </w:r>
          </w:p>
        </w:tc>
        <w:tc>
          <w:tcPr>
            <w:tcW w:w="6804" w:type="dxa"/>
            <w:vAlign w:val="center"/>
          </w:tcPr>
          <w:p w14:paraId="688708DC"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‘health care cost’/exp</w:t>
            </w:r>
          </w:p>
        </w:tc>
        <w:tc>
          <w:tcPr>
            <w:tcW w:w="1366" w:type="dxa"/>
            <w:vAlign w:val="center"/>
          </w:tcPr>
          <w:p w14:paraId="1F6BDC3B"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303,184</w:t>
            </w:r>
          </w:p>
        </w:tc>
      </w:tr>
      <w:tr w:rsidR="00CD3D2F" w:rsidRPr="00CD3D2F" w14:paraId="6DCC5B7E"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791A3B0"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#13</w:t>
            </w:r>
          </w:p>
        </w:tc>
        <w:tc>
          <w:tcPr>
            <w:tcW w:w="6804" w:type="dxa"/>
            <w:vAlign w:val="center"/>
          </w:tcPr>
          <w:p w14:paraId="494151AE"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‘health care financing’/exp</w:t>
            </w:r>
          </w:p>
        </w:tc>
        <w:tc>
          <w:tcPr>
            <w:tcW w:w="1366" w:type="dxa"/>
            <w:vAlign w:val="center"/>
          </w:tcPr>
          <w:p w14:paraId="69E769A2"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13,440</w:t>
            </w:r>
          </w:p>
        </w:tc>
      </w:tr>
      <w:tr w:rsidR="00CD3D2F" w:rsidRPr="00CD3D2F" w14:paraId="11DEA579"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53DEE357"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#14</w:t>
            </w:r>
          </w:p>
        </w:tc>
        <w:tc>
          <w:tcPr>
            <w:tcW w:w="6804" w:type="dxa"/>
            <w:vAlign w:val="center"/>
          </w:tcPr>
          <w:p w14:paraId="28C4501B"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‘health economics’/exp</w:t>
            </w:r>
          </w:p>
        </w:tc>
        <w:tc>
          <w:tcPr>
            <w:tcW w:w="1366" w:type="dxa"/>
            <w:vAlign w:val="center"/>
          </w:tcPr>
          <w:p w14:paraId="0E41EAF0"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925,416</w:t>
            </w:r>
          </w:p>
        </w:tc>
      </w:tr>
      <w:tr w:rsidR="00CD3D2F" w:rsidRPr="00CD3D2F" w14:paraId="2C86E811"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57ED3D9"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#15</w:t>
            </w:r>
          </w:p>
        </w:tc>
        <w:tc>
          <w:tcPr>
            <w:tcW w:w="6804" w:type="dxa"/>
            <w:vAlign w:val="center"/>
          </w:tcPr>
          <w:p w14:paraId="0D91EADA"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‘hospital cost’/exp</w:t>
            </w:r>
          </w:p>
        </w:tc>
        <w:tc>
          <w:tcPr>
            <w:tcW w:w="1366" w:type="dxa"/>
            <w:vAlign w:val="center"/>
          </w:tcPr>
          <w:p w14:paraId="31EB5775"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40,389</w:t>
            </w:r>
          </w:p>
        </w:tc>
      </w:tr>
      <w:tr w:rsidR="00CD3D2F" w:rsidRPr="00CD3D2F" w14:paraId="07089EC0"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4E818F5E"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#16</w:t>
            </w:r>
          </w:p>
        </w:tc>
        <w:tc>
          <w:tcPr>
            <w:tcW w:w="6804" w:type="dxa"/>
            <w:vAlign w:val="center"/>
          </w:tcPr>
          <w:p w14:paraId="5B65F605"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fiscal:ti OR financial:ti OR finance:ti OR funding:ti</w:t>
            </w:r>
          </w:p>
        </w:tc>
        <w:tc>
          <w:tcPr>
            <w:tcW w:w="1366" w:type="dxa"/>
            <w:vAlign w:val="center"/>
          </w:tcPr>
          <w:p w14:paraId="719BF4BB"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25,703</w:t>
            </w:r>
          </w:p>
        </w:tc>
      </w:tr>
      <w:tr w:rsidR="00CD3D2F" w:rsidRPr="00CD3D2F" w14:paraId="0C8D7A22"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0BEE61E"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#17</w:t>
            </w:r>
          </w:p>
        </w:tc>
        <w:tc>
          <w:tcPr>
            <w:tcW w:w="6804" w:type="dxa"/>
            <w:vAlign w:val="center"/>
          </w:tcPr>
          <w:p w14:paraId="668EF9D8"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minimization analysis’/exp</w:t>
            </w:r>
          </w:p>
        </w:tc>
        <w:tc>
          <w:tcPr>
            <w:tcW w:w="1366" w:type="dxa"/>
            <w:vAlign w:val="center"/>
          </w:tcPr>
          <w:p w14:paraId="1613B182"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3,617</w:t>
            </w:r>
          </w:p>
        </w:tc>
      </w:tr>
      <w:tr w:rsidR="00CD3D2F" w:rsidRPr="00CD3D2F" w14:paraId="71EA0DE6"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2A931CC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#18</w:t>
            </w:r>
          </w:p>
        </w:tc>
        <w:tc>
          <w:tcPr>
            <w:tcW w:w="6804" w:type="dxa"/>
            <w:vAlign w:val="center"/>
          </w:tcPr>
          <w:p w14:paraId="68C3E17F"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NEAR/1 estimate$):ti,ab</w:t>
            </w:r>
          </w:p>
        </w:tc>
        <w:tc>
          <w:tcPr>
            <w:tcW w:w="1366" w:type="dxa"/>
            <w:vAlign w:val="center"/>
          </w:tcPr>
          <w:p w14:paraId="3DAEB1DC"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7,693</w:t>
            </w:r>
          </w:p>
        </w:tc>
      </w:tr>
      <w:tr w:rsidR="00CD3D2F" w:rsidRPr="00CD3D2F" w14:paraId="6FA100C3"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B242D9C"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#19</w:t>
            </w:r>
          </w:p>
        </w:tc>
        <w:tc>
          <w:tcPr>
            <w:tcW w:w="6804" w:type="dxa"/>
            <w:vAlign w:val="center"/>
          </w:tcPr>
          <w:p w14:paraId="75F699A7"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NEAR/1 variable$):ti,ab</w:t>
            </w:r>
          </w:p>
        </w:tc>
        <w:tc>
          <w:tcPr>
            <w:tcW w:w="1366" w:type="dxa"/>
            <w:vAlign w:val="center"/>
          </w:tcPr>
          <w:p w14:paraId="10718FA9"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649</w:t>
            </w:r>
          </w:p>
        </w:tc>
      </w:tr>
      <w:tr w:rsidR="00CD3D2F" w:rsidRPr="00CD3D2F" w14:paraId="5903407C"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0EA725C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#20</w:t>
            </w:r>
          </w:p>
        </w:tc>
        <w:tc>
          <w:tcPr>
            <w:tcW w:w="6804" w:type="dxa"/>
            <w:vAlign w:val="center"/>
          </w:tcPr>
          <w:p w14:paraId="3D616E0E"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(unit NEAR/1 cost$):ti,ab</w:t>
            </w:r>
          </w:p>
        </w:tc>
        <w:tc>
          <w:tcPr>
            <w:tcW w:w="1366" w:type="dxa"/>
            <w:vAlign w:val="center"/>
          </w:tcPr>
          <w:p w14:paraId="5DC7E75A"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4,837</w:t>
            </w:r>
          </w:p>
        </w:tc>
      </w:tr>
      <w:tr w:rsidR="00CD3D2F" w:rsidRPr="00CD3D2F" w14:paraId="0C320741"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CCDB840"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#21</w:t>
            </w:r>
          </w:p>
        </w:tc>
        <w:tc>
          <w:tcPr>
            <w:tcW w:w="6804" w:type="dxa"/>
            <w:vAlign w:val="center"/>
          </w:tcPr>
          <w:p w14:paraId="2B225BF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‘markov chains’/de</w:t>
            </w:r>
          </w:p>
        </w:tc>
        <w:tc>
          <w:tcPr>
            <w:tcW w:w="1366" w:type="dxa"/>
            <w:vAlign w:val="center"/>
          </w:tcPr>
          <w:p w14:paraId="602F2883"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7,019</w:t>
            </w:r>
          </w:p>
        </w:tc>
      </w:tr>
      <w:tr w:rsidR="00CD3D2F" w:rsidRPr="00CD3D2F" w14:paraId="7B554552"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764CFE09"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#22</w:t>
            </w:r>
          </w:p>
        </w:tc>
        <w:tc>
          <w:tcPr>
            <w:tcW w:w="6804" w:type="dxa"/>
            <w:vAlign w:val="center"/>
          </w:tcPr>
          <w:p w14:paraId="02BA8CAB"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markov:ti,ab</w:t>
            </w:r>
          </w:p>
        </w:tc>
        <w:tc>
          <w:tcPr>
            <w:tcW w:w="1366" w:type="dxa"/>
            <w:vAlign w:val="center"/>
          </w:tcPr>
          <w:p w14:paraId="49B33717"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30,205</w:t>
            </w:r>
          </w:p>
        </w:tc>
      </w:tr>
      <w:tr w:rsidR="00CD3D2F" w:rsidRPr="00CD3D2F" w14:paraId="1EA7B2B2"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1515513"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#23</w:t>
            </w:r>
          </w:p>
        </w:tc>
        <w:tc>
          <w:tcPr>
            <w:tcW w:w="6804" w:type="dxa"/>
            <w:vAlign w:val="center"/>
          </w:tcPr>
          <w:p w14:paraId="78397E2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‘monte carlo method’/de</w:t>
            </w:r>
          </w:p>
        </w:tc>
        <w:tc>
          <w:tcPr>
            <w:tcW w:w="1366" w:type="dxa"/>
            <w:vAlign w:val="center"/>
          </w:tcPr>
          <w:p w14:paraId="50A9D6F1"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42,842</w:t>
            </w:r>
          </w:p>
        </w:tc>
      </w:tr>
      <w:tr w:rsidR="00CD3D2F" w:rsidRPr="00CD3D2F" w14:paraId="711C580E"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227F13A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#24</w:t>
            </w:r>
          </w:p>
        </w:tc>
        <w:tc>
          <w:tcPr>
            <w:tcW w:w="6804" w:type="dxa"/>
            <w:vAlign w:val="center"/>
          </w:tcPr>
          <w:p w14:paraId="0021E854"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‘monte carlo’:ti,ab</w:t>
            </w:r>
          </w:p>
        </w:tc>
        <w:tc>
          <w:tcPr>
            <w:tcW w:w="1366" w:type="dxa"/>
            <w:vAlign w:val="center"/>
          </w:tcPr>
          <w:p w14:paraId="2FDA9F41"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51,243</w:t>
            </w:r>
          </w:p>
        </w:tc>
      </w:tr>
      <w:tr w:rsidR="00CD3D2F" w:rsidRPr="00CD3D2F" w14:paraId="4B0CE24E"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76AF856"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#25</w:t>
            </w:r>
          </w:p>
        </w:tc>
        <w:tc>
          <w:tcPr>
            <w:tcW w:w="6804" w:type="dxa"/>
            <w:vAlign w:val="center"/>
          </w:tcPr>
          <w:p w14:paraId="0DC5E0C6"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‘decision theory’/exp</w:t>
            </w:r>
          </w:p>
        </w:tc>
        <w:tc>
          <w:tcPr>
            <w:tcW w:w="1366" w:type="dxa"/>
            <w:vAlign w:val="center"/>
          </w:tcPr>
          <w:p w14:paraId="7B4CC41F"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1,770</w:t>
            </w:r>
          </w:p>
        </w:tc>
      </w:tr>
      <w:tr w:rsidR="00CD3D2F" w:rsidRPr="00CD3D2F" w14:paraId="35204F98"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4852ACB7"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#26</w:t>
            </w:r>
          </w:p>
        </w:tc>
        <w:tc>
          <w:tcPr>
            <w:tcW w:w="6804" w:type="dxa"/>
            <w:vAlign w:val="center"/>
          </w:tcPr>
          <w:p w14:paraId="26B8D547"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(decision* NEAR/2 (tree* or analy* or model*)):ti,ab</w:t>
            </w:r>
          </w:p>
        </w:tc>
        <w:tc>
          <w:tcPr>
            <w:tcW w:w="1366" w:type="dxa"/>
            <w:vAlign w:val="center"/>
          </w:tcPr>
          <w:p w14:paraId="1BDAD4BE"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36,769</w:t>
            </w:r>
          </w:p>
        </w:tc>
      </w:tr>
      <w:tr w:rsidR="00CD3D2F" w:rsidRPr="00CD3D2F" w14:paraId="01DC8956"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39A5A81"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#27</w:t>
            </w:r>
          </w:p>
        </w:tc>
        <w:tc>
          <w:tcPr>
            <w:tcW w:w="6804" w:type="dxa"/>
            <w:vAlign w:val="center"/>
          </w:tcPr>
          <w:p w14:paraId="438ECA00"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#5 OR #6 OR #7 OR #8 OR #9 OR #10 OR #11 OR #12 OR #13 OR #14 OR #15 OR #16 OR #17 OR #18 OR #19 OR #20 OR #21 OR #22 OR #23 OR #24 OR #25 OR #26</w:t>
            </w:r>
          </w:p>
        </w:tc>
        <w:tc>
          <w:tcPr>
            <w:tcW w:w="1366" w:type="dxa"/>
            <w:vAlign w:val="center"/>
          </w:tcPr>
          <w:p w14:paraId="57E8323F"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1,917,177</w:t>
            </w:r>
          </w:p>
        </w:tc>
      </w:tr>
      <w:tr w:rsidR="00CD3D2F" w:rsidRPr="00CD3D2F" w14:paraId="5EBFE74F"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048D51AE"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#28</w:t>
            </w:r>
          </w:p>
        </w:tc>
        <w:tc>
          <w:tcPr>
            <w:tcW w:w="6804" w:type="dxa"/>
            <w:vAlign w:val="center"/>
          </w:tcPr>
          <w:p w14:paraId="3C8344D9"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 AND #27</w:t>
            </w:r>
          </w:p>
        </w:tc>
        <w:tc>
          <w:tcPr>
            <w:tcW w:w="1366" w:type="dxa"/>
            <w:vAlign w:val="center"/>
          </w:tcPr>
          <w:p w14:paraId="12F511FE"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14,546</w:t>
            </w:r>
          </w:p>
        </w:tc>
      </w:tr>
      <w:tr w:rsidR="00CD3D2F" w:rsidRPr="00CD3D2F" w14:paraId="69BB31F2"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31997B9"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#29</w:t>
            </w:r>
          </w:p>
        </w:tc>
        <w:tc>
          <w:tcPr>
            <w:tcW w:w="6804" w:type="dxa"/>
            <w:vAlign w:val="center"/>
          </w:tcPr>
          <w:p w14:paraId="07DE3567"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#28 AND (‘Article’/it OR ‘Article in Press’/it OR ‘Conference Abstract’/it)</w:t>
            </w:r>
          </w:p>
        </w:tc>
        <w:tc>
          <w:tcPr>
            <w:tcW w:w="1366" w:type="dxa"/>
            <w:vAlign w:val="center"/>
          </w:tcPr>
          <w:p w14:paraId="72B375CD"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8,532</w:t>
            </w:r>
          </w:p>
        </w:tc>
      </w:tr>
      <w:tr w:rsidR="00CD3D2F" w:rsidRPr="00CD3D2F" w14:paraId="14544057"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4D7804F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lastRenderedPageBreak/>
              <w:t>#30</w:t>
            </w:r>
          </w:p>
        </w:tc>
        <w:tc>
          <w:tcPr>
            <w:tcW w:w="6804" w:type="dxa"/>
            <w:vAlign w:val="center"/>
          </w:tcPr>
          <w:p w14:paraId="1063D286"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 xml:space="preserve">#28 AND ('article'/it OR 'article in press'/it OR 'conference abstract'/it) </w:t>
            </w:r>
          </w:p>
        </w:tc>
        <w:tc>
          <w:tcPr>
            <w:tcW w:w="1366" w:type="dxa"/>
            <w:vAlign w:val="center"/>
          </w:tcPr>
          <w:p w14:paraId="60902124"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9,015</w:t>
            </w:r>
          </w:p>
        </w:tc>
      </w:tr>
    </w:tbl>
    <w:p w14:paraId="7F351069" w14:textId="77777777" w:rsidR="00CD3D2F" w:rsidRPr="00CD3D2F" w:rsidRDefault="00CD3D2F" w:rsidP="00CD3D2F">
      <w:pPr>
        <w:numPr>
          <w:ilvl w:val="0"/>
          <w:numId w:val="4"/>
        </w:numPr>
        <w:spacing w:after="0" w:line="480" w:lineRule="auto"/>
        <w:ind w:left="284" w:hanging="284"/>
        <w:contextualSpacing/>
        <w:jc w:val="both"/>
        <w:rPr>
          <w:rFonts w:ascii="Arial" w:eastAsia="SimSun" w:hAnsi="Arial" w:cs="Arial"/>
          <w:sz w:val="16"/>
          <w:szCs w:val="16"/>
          <w:lang w:val="en-GB"/>
        </w:rPr>
      </w:pPr>
      <w:r w:rsidRPr="00CD3D2F">
        <w:rPr>
          <w:rFonts w:ascii="Arial" w:eastAsia="SimSun" w:hAnsi="Arial" w:cs="Arial"/>
          <w:sz w:val="16"/>
          <w:szCs w:val="16"/>
          <w:lang w:val="en-GB"/>
        </w:rPr>
        <w:t xml:space="preserve">CADTH COVID-19 Search Strings - </w:t>
      </w:r>
      <w:hyperlink r:id="rId5" w:history="1">
        <w:r w:rsidRPr="00CD3D2F">
          <w:rPr>
            <w:rFonts w:ascii="Arial" w:eastAsia="SimSun" w:hAnsi="Arial" w:cs="Arial"/>
            <w:color w:val="4182FF"/>
            <w:sz w:val="16"/>
            <w:szCs w:val="16"/>
            <w:u w:val="single"/>
            <w:lang w:val="en-GB"/>
          </w:rPr>
          <w:t>https://covid.cadth.ca/literature-searching-tools/cadth-covid-19-search-strings/</w:t>
        </w:r>
      </w:hyperlink>
      <w:r w:rsidRPr="00CD3D2F">
        <w:rPr>
          <w:rFonts w:ascii="Arial" w:eastAsia="SimSun" w:hAnsi="Arial" w:cs="Arial"/>
          <w:sz w:val="16"/>
          <w:szCs w:val="16"/>
          <w:lang w:val="en-GB"/>
        </w:rPr>
        <w:t xml:space="preserve"> </w:t>
      </w:r>
    </w:p>
    <w:p w14:paraId="31C37EF0" w14:textId="77777777" w:rsidR="00CD3D2F" w:rsidRPr="00CD3D2F" w:rsidRDefault="00CD3D2F" w:rsidP="00CD3D2F">
      <w:pPr>
        <w:numPr>
          <w:ilvl w:val="0"/>
          <w:numId w:val="4"/>
        </w:numPr>
        <w:spacing w:after="240" w:line="480" w:lineRule="auto"/>
        <w:ind w:left="284" w:hanging="284"/>
        <w:contextualSpacing/>
        <w:jc w:val="both"/>
        <w:rPr>
          <w:rFonts w:ascii="Arial" w:eastAsia="SimSun" w:hAnsi="Arial" w:cs="Arial"/>
          <w:lang w:val="en-GB"/>
        </w:rPr>
      </w:pPr>
      <w:r w:rsidRPr="00CD3D2F">
        <w:rPr>
          <w:rFonts w:ascii="Arial" w:eastAsia="SimSun" w:hAnsi="Arial" w:cs="Arial"/>
          <w:sz w:val="16"/>
          <w:szCs w:val="16"/>
          <w:lang w:val="en-GB"/>
        </w:rPr>
        <w:t xml:space="preserve">Scottish Intelligence Guidelines Network (SIGN) filter - </w:t>
      </w:r>
      <w:hyperlink r:id="rId6" w:history="1">
        <w:r w:rsidRPr="00CD3D2F">
          <w:rPr>
            <w:rFonts w:ascii="Arial" w:eastAsia="SimSun" w:hAnsi="Arial" w:cs="Arial"/>
            <w:color w:val="4182FF"/>
            <w:sz w:val="16"/>
            <w:szCs w:val="16"/>
            <w:u w:val="single"/>
            <w:lang w:val="en-GB"/>
          </w:rPr>
          <w:t>https://www.sign.ac.uk/what-we-do/methodology/search-filters/</w:t>
        </w:r>
      </w:hyperlink>
    </w:p>
    <w:p w14:paraId="33E97B27" w14:textId="77777777" w:rsidR="00CD3D2F" w:rsidRPr="00CD3D2F" w:rsidRDefault="00CD3D2F" w:rsidP="00CD3D2F">
      <w:pPr>
        <w:numPr>
          <w:ilvl w:val="0"/>
          <w:numId w:val="4"/>
        </w:numPr>
        <w:spacing w:after="240" w:line="480" w:lineRule="auto"/>
        <w:ind w:left="284" w:hanging="284"/>
        <w:contextualSpacing/>
        <w:jc w:val="both"/>
        <w:rPr>
          <w:rFonts w:ascii="Arial" w:eastAsia="SimSun" w:hAnsi="Arial" w:cs="Arial"/>
          <w:sz w:val="16"/>
          <w:szCs w:val="16"/>
          <w:lang w:val="en-GB"/>
        </w:rPr>
      </w:pPr>
      <w:r w:rsidRPr="00CD3D2F">
        <w:rPr>
          <w:rFonts w:ascii="Arial" w:eastAsia="SimSun" w:hAnsi="Arial" w:cs="Arial"/>
          <w:sz w:val="16"/>
          <w:szCs w:val="16"/>
          <w:lang w:val="en-GB"/>
        </w:rPr>
        <w:t xml:space="preserve">CADTH EE Search Strings: </w:t>
      </w:r>
      <w:hyperlink r:id="rId7" w:history="1">
        <w:r w:rsidRPr="00CD3D2F">
          <w:rPr>
            <w:rFonts w:ascii="Arial" w:eastAsia="SimSun" w:hAnsi="Arial" w:cs="Arial"/>
            <w:color w:val="4182FF"/>
            <w:sz w:val="16"/>
            <w:szCs w:val="16"/>
            <w:u w:val="single"/>
            <w:lang w:val="en-GB"/>
          </w:rPr>
          <w:t>https://www.cadth.ca/resources/finding-evidence/strings-attached-cadths-database-search-filters</w:t>
        </w:r>
      </w:hyperlink>
      <w:r w:rsidRPr="00CD3D2F">
        <w:rPr>
          <w:rFonts w:ascii="Arial" w:eastAsia="SimSun" w:hAnsi="Arial" w:cs="Arial"/>
          <w:sz w:val="16"/>
          <w:szCs w:val="16"/>
          <w:lang w:val="en-GB"/>
        </w:rPr>
        <w:t xml:space="preserve"> </w:t>
      </w:r>
    </w:p>
    <w:p w14:paraId="1F266954" w14:textId="77777777" w:rsidR="00CD3D2F" w:rsidRPr="00CD3D2F" w:rsidRDefault="00CD3D2F" w:rsidP="00CD3D2F">
      <w:pPr>
        <w:spacing w:after="240" w:line="480" w:lineRule="auto"/>
        <w:rPr>
          <w:rFonts w:ascii="Arial" w:eastAsia="SimSun" w:hAnsi="Arial" w:cs="Arial"/>
          <w:lang w:val="en-GB"/>
        </w:rPr>
      </w:pPr>
      <w:r w:rsidRPr="00CD3D2F">
        <w:rPr>
          <w:rFonts w:ascii="Arial" w:eastAsia="SimSun" w:hAnsi="Arial" w:cs="Arial"/>
          <w:lang w:val="en-GB"/>
        </w:rPr>
        <w:t xml:space="preserve">Search terms for MEDLINE and MEDLINE-IN-PROCESS via </w:t>
      </w:r>
      <w:hyperlink r:id="rId8" w:history="1">
        <w:r w:rsidRPr="00CD3D2F">
          <w:rPr>
            <w:rFonts w:ascii="Arial" w:eastAsia="SimSun" w:hAnsi="Arial" w:cs="Arial"/>
            <w:color w:val="4182FF"/>
            <w:u w:val="single"/>
            <w:lang w:val="en-GB"/>
          </w:rPr>
          <w:t>https://pubmed.ncbi.nlm.nih.gov/</w:t>
        </w:r>
      </w:hyperlink>
      <w:r w:rsidRPr="00CD3D2F">
        <w:rPr>
          <w:rFonts w:ascii="Arial" w:eastAsia="SimSun" w:hAnsi="Arial" w:cs="Arial"/>
          <w:lang w:val="en-GB"/>
        </w:rPr>
        <w:t xml:space="preserve"> </w:t>
      </w:r>
    </w:p>
    <w:p w14:paraId="1FA36D0C" w14:textId="77777777" w:rsidR="00CD3D2F" w:rsidRPr="00CD3D2F" w:rsidRDefault="00CD3D2F" w:rsidP="00CD3D2F">
      <w:pPr>
        <w:spacing w:after="240" w:line="480" w:lineRule="auto"/>
        <w:jc w:val="both"/>
        <w:rPr>
          <w:rFonts w:ascii="Arial" w:eastAsia="SimSun" w:hAnsi="Arial" w:cs="Arial"/>
          <w:lang w:val="en-GB"/>
        </w:rPr>
      </w:pPr>
      <w:r w:rsidRPr="00CD3D2F">
        <w:rPr>
          <w:rFonts w:ascii="Arial" w:eastAsia="SimSun" w:hAnsi="Arial" w:cs="Arial"/>
          <w:lang w:val="en-GB"/>
        </w:rPr>
        <w:t>Date of the search: 16/04/2021</w:t>
      </w:r>
    </w:p>
    <w:tbl>
      <w:tblPr>
        <w:tblStyle w:val="GridTable4-Accent15"/>
        <w:tblW w:w="0" w:type="auto"/>
        <w:tblLook w:val="04A0" w:firstRow="1" w:lastRow="0" w:firstColumn="1" w:lastColumn="0" w:noHBand="0" w:noVBand="1"/>
      </w:tblPr>
      <w:tblGrid>
        <w:gridCol w:w="846"/>
        <w:gridCol w:w="6804"/>
        <w:gridCol w:w="1366"/>
      </w:tblGrid>
      <w:tr w:rsidR="00CD3D2F" w:rsidRPr="00CD3D2F" w14:paraId="38D43E79" w14:textId="77777777" w:rsidTr="005A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B9B1B4E" w14:textId="77777777" w:rsidR="00CD3D2F" w:rsidRPr="00CD3D2F" w:rsidRDefault="00CD3D2F" w:rsidP="00CD3D2F">
            <w:pPr>
              <w:spacing w:after="120" w:line="480" w:lineRule="auto"/>
              <w:jc w:val="both"/>
              <w:rPr>
                <w:rFonts w:ascii="Arial" w:eastAsia="SimSun" w:hAnsi="Arial" w:cs="Arial"/>
                <w:lang w:val="en-GB"/>
              </w:rPr>
            </w:pPr>
            <w:r w:rsidRPr="00CD3D2F">
              <w:rPr>
                <w:rFonts w:ascii="Arial" w:eastAsia="SimSun" w:hAnsi="Arial" w:cs="Arial"/>
                <w:lang w:val="en-GB"/>
              </w:rPr>
              <w:t>No</w:t>
            </w:r>
          </w:p>
        </w:tc>
        <w:tc>
          <w:tcPr>
            <w:tcW w:w="6804" w:type="dxa"/>
          </w:tcPr>
          <w:p w14:paraId="68737725" w14:textId="77777777" w:rsidR="00CD3D2F" w:rsidRPr="00CD3D2F" w:rsidRDefault="00CD3D2F" w:rsidP="00CD3D2F">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Query</w:t>
            </w:r>
            <w:r w:rsidRPr="00CD3D2F">
              <w:rPr>
                <w:rFonts w:ascii="Arial" w:eastAsia="SimSun" w:hAnsi="Arial" w:cs="Arial"/>
                <w:vertAlign w:val="superscript"/>
                <w:lang w:val="en-GB"/>
              </w:rPr>
              <w:t>1,2,3</w:t>
            </w:r>
          </w:p>
        </w:tc>
        <w:tc>
          <w:tcPr>
            <w:tcW w:w="1366" w:type="dxa"/>
          </w:tcPr>
          <w:p w14:paraId="30AEB14A" w14:textId="77777777" w:rsidR="00CD3D2F" w:rsidRPr="00CD3D2F" w:rsidRDefault="00CD3D2F" w:rsidP="00CD3D2F">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Results</w:t>
            </w:r>
          </w:p>
        </w:tc>
      </w:tr>
      <w:tr w:rsidR="00CD3D2F" w:rsidRPr="00CD3D2F" w14:paraId="18588B6D"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16D7296"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w:t>
            </w:r>
          </w:p>
        </w:tc>
        <w:tc>
          <w:tcPr>
            <w:tcW w:w="6804" w:type="dxa"/>
          </w:tcPr>
          <w:p w14:paraId="1ED1BB0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“coronavirus disease 2019” OR “covid 19” OR “covid19” OR “covid-19” OR “sars-cov-2” OR “severe acute respiratory syndrome coronavirus 2” OR “severe acute respiratory syndrome corona virus 2” OR “2019ncov” OR “19ncov” OR covid OR “sarscov-2” OR “sars-cov2” OR sarscov2</w:t>
            </w:r>
          </w:p>
        </w:tc>
        <w:tc>
          <w:tcPr>
            <w:tcW w:w="1366" w:type="dxa"/>
            <w:vAlign w:val="center"/>
          </w:tcPr>
          <w:p w14:paraId="6F011A3D"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122,828</w:t>
            </w:r>
          </w:p>
        </w:tc>
      </w:tr>
      <w:tr w:rsidR="00CD3D2F" w:rsidRPr="00CD3D2F" w14:paraId="12D7F808"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17E9926B"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w:t>
            </w:r>
          </w:p>
        </w:tc>
        <w:tc>
          <w:tcPr>
            <w:tcW w:w="6804" w:type="dxa"/>
          </w:tcPr>
          <w:p w14:paraId="76A2C0B9"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“sars-related coronavirus”</w:t>
            </w:r>
          </w:p>
        </w:tc>
        <w:tc>
          <w:tcPr>
            <w:tcW w:w="1366" w:type="dxa"/>
            <w:vAlign w:val="center"/>
          </w:tcPr>
          <w:p w14:paraId="5CC87FB4"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39</w:t>
            </w:r>
          </w:p>
        </w:tc>
      </w:tr>
      <w:tr w:rsidR="00CD3D2F" w:rsidRPr="00CD3D2F" w14:paraId="72AA59B9"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2530401"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w:t>
            </w:r>
          </w:p>
        </w:tc>
        <w:tc>
          <w:tcPr>
            <w:tcW w:w="6804" w:type="dxa"/>
          </w:tcPr>
          <w:p w14:paraId="45CD5D93"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(coronavirinae or betacoronavirus OR coronavirus infection) AND (epidemic or pandemic)</w:t>
            </w:r>
          </w:p>
        </w:tc>
        <w:tc>
          <w:tcPr>
            <w:tcW w:w="1366" w:type="dxa"/>
            <w:vAlign w:val="center"/>
          </w:tcPr>
          <w:p w14:paraId="728BA79E"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73,387</w:t>
            </w:r>
          </w:p>
        </w:tc>
      </w:tr>
      <w:tr w:rsidR="00CD3D2F" w:rsidRPr="00CD3D2F" w14:paraId="6F984341"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0C40FBD5"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#4</w:t>
            </w:r>
          </w:p>
        </w:tc>
        <w:tc>
          <w:tcPr>
            <w:tcW w:w="6804" w:type="dxa"/>
          </w:tcPr>
          <w:p w14:paraId="3409C3F7"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 OR #2 OR #3</w:t>
            </w:r>
          </w:p>
        </w:tc>
        <w:tc>
          <w:tcPr>
            <w:tcW w:w="1366" w:type="dxa"/>
            <w:vAlign w:val="center"/>
          </w:tcPr>
          <w:p w14:paraId="75AFAD4C"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129,247</w:t>
            </w:r>
          </w:p>
        </w:tc>
      </w:tr>
      <w:tr w:rsidR="00CD3D2F" w:rsidRPr="00CD3D2F" w14:paraId="29B0B857"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F58FE30"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#5</w:t>
            </w:r>
          </w:p>
        </w:tc>
        <w:tc>
          <w:tcPr>
            <w:tcW w:w="6804" w:type="dxa"/>
            <w:vAlign w:val="center"/>
          </w:tcPr>
          <w:p w14:paraId="541C4EBA"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“costs and cost analysis” [mh]</w:t>
            </w:r>
          </w:p>
        </w:tc>
        <w:tc>
          <w:tcPr>
            <w:tcW w:w="1366" w:type="dxa"/>
            <w:vAlign w:val="center"/>
          </w:tcPr>
          <w:p w14:paraId="5D0526DC"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244,039</w:t>
            </w:r>
          </w:p>
        </w:tc>
      </w:tr>
      <w:tr w:rsidR="00CD3D2F" w:rsidRPr="00CD3D2F" w14:paraId="59C502CC"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7B9CA317"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#6</w:t>
            </w:r>
          </w:p>
        </w:tc>
        <w:tc>
          <w:tcPr>
            <w:tcW w:w="6804" w:type="dxa"/>
            <w:vAlign w:val="center"/>
          </w:tcPr>
          <w:p w14:paraId="4329A01E"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economics [mh]</w:t>
            </w:r>
          </w:p>
        </w:tc>
        <w:tc>
          <w:tcPr>
            <w:tcW w:w="1366" w:type="dxa"/>
            <w:vAlign w:val="center"/>
          </w:tcPr>
          <w:p w14:paraId="2EF074FE"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616,008</w:t>
            </w:r>
          </w:p>
        </w:tc>
      </w:tr>
      <w:tr w:rsidR="00CD3D2F" w:rsidRPr="00CD3D2F" w14:paraId="54293665"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60933BB"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#7</w:t>
            </w:r>
          </w:p>
        </w:tc>
        <w:tc>
          <w:tcPr>
            <w:tcW w:w="6804" w:type="dxa"/>
            <w:vAlign w:val="center"/>
          </w:tcPr>
          <w:p w14:paraId="5A129527"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allocation [mh]</w:t>
            </w:r>
          </w:p>
        </w:tc>
        <w:tc>
          <w:tcPr>
            <w:tcW w:w="1366" w:type="dxa"/>
            <w:vAlign w:val="center"/>
          </w:tcPr>
          <w:p w14:paraId="15F0DBB4"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2,008</w:t>
            </w:r>
          </w:p>
        </w:tc>
      </w:tr>
      <w:tr w:rsidR="00CD3D2F" w:rsidRPr="00CD3D2F" w14:paraId="43F71701"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4C18AEC3"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#8</w:t>
            </w:r>
          </w:p>
        </w:tc>
        <w:tc>
          <w:tcPr>
            <w:tcW w:w="6804" w:type="dxa"/>
            <w:vAlign w:val="center"/>
          </w:tcPr>
          <w:p w14:paraId="69F54228"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benefit analysis [mh]</w:t>
            </w:r>
          </w:p>
        </w:tc>
        <w:tc>
          <w:tcPr>
            <w:tcW w:w="1366" w:type="dxa"/>
            <w:vAlign w:val="center"/>
          </w:tcPr>
          <w:p w14:paraId="00F7F823"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84,041</w:t>
            </w:r>
          </w:p>
        </w:tc>
      </w:tr>
      <w:tr w:rsidR="00CD3D2F" w:rsidRPr="00CD3D2F" w14:paraId="4E455CF1"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793A555B"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#9</w:t>
            </w:r>
          </w:p>
        </w:tc>
        <w:tc>
          <w:tcPr>
            <w:tcW w:w="6804" w:type="dxa"/>
            <w:vAlign w:val="center"/>
          </w:tcPr>
          <w:p w14:paraId="4DE9811D"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control [mh]</w:t>
            </w:r>
          </w:p>
        </w:tc>
        <w:tc>
          <w:tcPr>
            <w:tcW w:w="1366" w:type="dxa"/>
            <w:vAlign w:val="center"/>
          </w:tcPr>
          <w:p w14:paraId="120B1585"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33,507</w:t>
            </w:r>
          </w:p>
        </w:tc>
      </w:tr>
      <w:tr w:rsidR="00CD3D2F" w:rsidRPr="00CD3D2F" w14:paraId="34E51F35"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560B6A4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lastRenderedPageBreak/>
              <w:t>#10</w:t>
            </w:r>
          </w:p>
        </w:tc>
        <w:tc>
          <w:tcPr>
            <w:tcW w:w="6804" w:type="dxa"/>
            <w:vAlign w:val="center"/>
          </w:tcPr>
          <w:p w14:paraId="0EF9391B"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savings [mh]</w:t>
            </w:r>
          </w:p>
        </w:tc>
        <w:tc>
          <w:tcPr>
            <w:tcW w:w="1366" w:type="dxa"/>
            <w:vAlign w:val="center"/>
          </w:tcPr>
          <w:p w14:paraId="0A107856"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12,164</w:t>
            </w:r>
          </w:p>
        </w:tc>
      </w:tr>
      <w:tr w:rsidR="00CD3D2F" w:rsidRPr="00CD3D2F" w14:paraId="1C2D5589"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4EB1549"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#11</w:t>
            </w:r>
          </w:p>
        </w:tc>
        <w:tc>
          <w:tcPr>
            <w:tcW w:w="6804" w:type="dxa"/>
            <w:vAlign w:val="center"/>
          </w:tcPr>
          <w:p w14:paraId="599C73F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of illness [mh]</w:t>
            </w:r>
          </w:p>
        </w:tc>
        <w:tc>
          <w:tcPr>
            <w:tcW w:w="1366" w:type="dxa"/>
            <w:vAlign w:val="center"/>
          </w:tcPr>
          <w:p w14:paraId="621A0B38"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28,549</w:t>
            </w:r>
          </w:p>
        </w:tc>
      </w:tr>
      <w:tr w:rsidR="00CD3D2F" w:rsidRPr="00CD3D2F" w14:paraId="64729611"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12373BB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#12</w:t>
            </w:r>
          </w:p>
        </w:tc>
        <w:tc>
          <w:tcPr>
            <w:tcW w:w="6804" w:type="dxa"/>
            <w:vAlign w:val="center"/>
          </w:tcPr>
          <w:p w14:paraId="6BFAB83D"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sharing [mh]</w:t>
            </w:r>
          </w:p>
        </w:tc>
        <w:tc>
          <w:tcPr>
            <w:tcW w:w="1366" w:type="dxa"/>
            <w:vAlign w:val="center"/>
          </w:tcPr>
          <w:p w14:paraId="0C7AF76C"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4,565</w:t>
            </w:r>
          </w:p>
        </w:tc>
      </w:tr>
      <w:tr w:rsidR="00CD3D2F" w:rsidRPr="00CD3D2F" w14:paraId="3D057AA6"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AF3EDFC"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#13</w:t>
            </w:r>
          </w:p>
        </w:tc>
        <w:tc>
          <w:tcPr>
            <w:tcW w:w="6804" w:type="dxa"/>
            <w:vAlign w:val="center"/>
          </w:tcPr>
          <w:p w14:paraId="1AFD8DED"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deductibles and coinsurance [mh]</w:t>
            </w:r>
          </w:p>
        </w:tc>
        <w:tc>
          <w:tcPr>
            <w:tcW w:w="1366" w:type="dxa"/>
            <w:vAlign w:val="center"/>
          </w:tcPr>
          <w:p w14:paraId="0C3A8B7A"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1,779</w:t>
            </w:r>
          </w:p>
        </w:tc>
      </w:tr>
      <w:tr w:rsidR="00CD3D2F" w:rsidRPr="00CD3D2F" w14:paraId="7873F481"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163EF60B"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#14</w:t>
            </w:r>
          </w:p>
        </w:tc>
        <w:tc>
          <w:tcPr>
            <w:tcW w:w="6804" w:type="dxa"/>
            <w:vAlign w:val="center"/>
          </w:tcPr>
          <w:p w14:paraId="0871BF45"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medical savings accounts [mh]</w:t>
            </w:r>
          </w:p>
        </w:tc>
        <w:tc>
          <w:tcPr>
            <w:tcW w:w="1366" w:type="dxa"/>
            <w:vAlign w:val="center"/>
          </w:tcPr>
          <w:p w14:paraId="0EC3612F"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540</w:t>
            </w:r>
          </w:p>
        </w:tc>
      </w:tr>
      <w:tr w:rsidR="00CD3D2F" w:rsidRPr="00CD3D2F" w14:paraId="224B5347"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377EE0E"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#15</w:t>
            </w:r>
          </w:p>
        </w:tc>
        <w:tc>
          <w:tcPr>
            <w:tcW w:w="6804" w:type="dxa"/>
            <w:vAlign w:val="center"/>
          </w:tcPr>
          <w:p w14:paraId="7AF445DB"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health care costs [mh]</w:t>
            </w:r>
          </w:p>
        </w:tc>
        <w:tc>
          <w:tcPr>
            <w:tcW w:w="1366" w:type="dxa"/>
            <w:vAlign w:val="center"/>
          </w:tcPr>
          <w:p w14:paraId="0828DA4C"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67,499</w:t>
            </w:r>
          </w:p>
        </w:tc>
      </w:tr>
      <w:tr w:rsidR="00CD3D2F" w:rsidRPr="00CD3D2F" w14:paraId="2D653DD8"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3EC69113"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#16</w:t>
            </w:r>
          </w:p>
        </w:tc>
        <w:tc>
          <w:tcPr>
            <w:tcW w:w="6804" w:type="dxa"/>
            <w:vAlign w:val="center"/>
          </w:tcPr>
          <w:p w14:paraId="62B86E47"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direct service costs [mh]</w:t>
            </w:r>
          </w:p>
        </w:tc>
        <w:tc>
          <w:tcPr>
            <w:tcW w:w="1366" w:type="dxa"/>
            <w:vAlign w:val="center"/>
          </w:tcPr>
          <w:p w14:paraId="586B749B"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1,202</w:t>
            </w:r>
          </w:p>
        </w:tc>
      </w:tr>
      <w:tr w:rsidR="00CD3D2F" w:rsidRPr="00CD3D2F" w14:paraId="090E5FC5"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00251A6"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#17</w:t>
            </w:r>
          </w:p>
        </w:tc>
        <w:tc>
          <w:tcPr>
            <w:tcW w:w="6804" w:type="dxa"/>
            <w:vAlign w:val="center"/>
          </w:tcPr>
          <w:p w14:paraId="14032067"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drug costs [mh]</w:t>
            </w:r>
          </w:p>
        </w:tc>
        <w:tc>
          <w:tcPr>
            <w:tcW w:w="1366" w:type="dxa"/>
            <w:vAlign w:val="center"/>
          </w:tcPr>
          <w:p w14:paraId="56FED3C0"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16,524</w:t>
            </w:r>
          </w:p>
        </w:tc>
      </w:tr>
      <w:tr w:rsidR="00CD3D2F" w:rsidRPr="00CD3D2F" w14:paraId="3CDD5CF5"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077CB514"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#18</w:t>
            </w:r>
          </w:p>
        </w:tc>
        <w:tc>
          <w:tcPr>
            <w:tcW w:w="6804" w:type="dxa"/>
            <w:vAlign w:val="center"/>
          </w:tcPr>
          <w:p w14:paraId="563B6FB2"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employer health costs [mh]</w:t>
            </w:r>
          </w:p>
        </w:tc>
        <w:tc>
          <w:tcPr>
            <w:tcW w:w="1366" w:type="dxa"/>
            <w:vAlign w:val="center"/>
          </w:tcPr>
          <w:p w14:paraId="4138D8AE"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1,094</w:t>
            </w:r>
          </w:p>
        </w:tc>
      </w:tr>
      <w:tr w:rsidR="00CD3D2F" w:rsidRPr="00CD3D2F" w14:paraId="79012D75"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344035D"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#19</w:t>
            </w:r>
          </w:p>
        </w:tc>
        <w:tc>
          <w:tcPr>
            <w:tcW w:w="6804" w:type="dxa"/>
            <w:vAlign w:val="center"/>
          </w:tcPr>
          <w:p w14:paraId="3341D0E4"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hospital costs [mh]</w:t>
            </w:r>
          </w:p>
        </w:tc>
        <w:tc>
          <w:tcPr>
            <w:tcW w:w="1366" w:type="dxa"/>
            <w:vAlign w:val="center"/>
          </w:tcPr>
          <w:p w14:paraId="7EF786F4"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11,426</w:t>
            </w:r>
          </w:p>
        </w:tc>
      </w:tr>
      <w:tr w:rsidR="00CD3D2F" w:rsidRPr="00CD3D2F" w14:paraId="617111AD"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3D39D43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#20</w:t>
            </w:r>
          </w:p>
        </w:tc>
        <w:tc>
          <w:tcPr>
            <w:tcW w:w="6804" w:type="dxa"/>
            <w:vAlign w:val="center"/>
          </w:tcPr>
          <w:p w14:paraId="6E8F45C7"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economics, pharmaceutical [mh]</w:t>
            </w:r>
          </w:p>
        </w:tc>
        <w:tc>
          <w:tcPr>
            <w:tcW w:w="1366" w:type="dxa"/>
            <w:vAlign w:val="center"/>
          </w:tcPr>
          <w:p w14:paraId="0974D08B"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2,980</w:t>
            </w:r>
          </w:p>
        </w:tc>
      </w:tr>
      <w:tr w:rsidR="00CD3D2F" w:rsidRPr="00CD3D2F" w14:paraId="552764FD"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9C007FE"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#21</w:t>
            </w:r>
          </w:p>
        </w:tc>
        <w:tc>
          <w:tcPr>
            <w:tcW w:w="6804" w:type="dxa"/>
            <w:vAlign w:val="center"/>
          </w:tcPr>
          <w:p w14:paraId="66FF758F"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economics, nursing [mh]</w:t>
            </w:r>
          </w:p>
        </w:tc>
        <w:tc>
          <w:tcPr>
            <w:tcW w:w="1366" w:type="dxa"/>
            <w:vAlign w:val="center"/>
          </w:tcPr>
          <w:p w14:paraId="714DEA6E"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4,002</w:t>
            </w:r>
          </w:p>
        </w:tc>
      </w:tr>
      <w:tr w:rsidR="00CD3D2F" w:rsidRPr="00CD3D2F" w14:paraId="23C6D936"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635A0E75"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#22</w:t>
            </w:r>
          </w:p>
        </w:tc>
        <w:tc>
          <w:tcPr>
            <w:tcW w:w="6804" w:type="dxa"/>
            <w:vAlign w:val="center"/>
          </w:tcPr>
          <w:p w14:paraId="10E98276"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economics, medical [mh]</w:t>
            </w:r>
          </w:p>
        </w:tc>
        <w:tc>
          <w:tcPr>
            <w:tcW w:w="1366" w:type="dxa"/>
            <w:vAlign w:val="center"/>
          </w:tcPr>
          <w:p w14:paraId="693EA82E"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14,254</w:t>
            </w:r>
          </w:p>
        </w:tc>
      </w:tr>
      <w:tr w:rsidR="00CD3D2F" w:rsidRPr="00CD3D2F" w14:paraId="12109DB2"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1E87A0B2"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#23</w:t>
            </w:r>
          </w:p>
        </w:tc>
        <w:tc>
          <w:tcPr>
            <w:tcW w:w="6804" w:type="dxa"/>
            <w:vAlign w:val="center"/>
          </w:tcPr>
          <w:p w14:paraId="542C895B"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economics, hospital [mh]</w:t>
            </w:r>
          </w:p>
        </w:tc>
        <w:tc>
          <w:tcPr>
            <w:tcW w:w="1366" w:type="dxa"/>
            <w:vAlign w:val="center"/>
          </w:tcPr>
          <w:p w14:paraId="4B9E46D8"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25,051</w:t>
            </w:r>
          </w:p>
        </w:tc>
      </w:tr>
      <w:tr w:rsidR="00CD3D2F" w:rsidRPr="00CD3D2F" w14:paraId="71F51EC2"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227E653F"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#24</w:t>
            </w:r>
          </w:p>
        </w:tc>
        <w:tc>
          <w:tcPr>
            <w:tcW w:w="6804" w:type="dxa"/>
            <w:vAlign w:val="center"/>
          </w:tcPr>
          <w:p w14:paraId="65FEE279"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value of life [mh]</w:t>
            </w:r>
          </w:p>
        </w:tc>
        <w:tc>
          <w:tcPr>
            <w:tcW w:w="1366" w:type="dxa"/>
            <w:vAlign w:val="center"/>
          </w:tcPr>
          <w:p w14:paraId="7E432BD2"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5,743</w:t>
            </w:r>
          </w:p>
        </w:tc>
      </w:tr>
      <w:tr w:rsidR="00CD3D2F" w:rsidRPr="00CD3D2F" w14:paraId="35D83340"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3A9E1E6"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#25</w:t>
            </w:r>
          </w:p>
        </w:tc>
        <w:tc>
          <w:tcPr>
            <w:tcW w:w="6804" w:type="dxa"/>
            <w:vAlign w:val="center"/>
          </w:tcPr>
          <w:p w14:paraId="074C2447"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capital expenditures [mh]</w:t>
            </w:r>
          </w:p>
        </w:tc>
        <w:tc>
          <w:tcPr>
            <w:tcW w:w="1366" w:type="dxa"/>
            <w:vAlign w:val="center"/>
          </w:tcPr>
          <w:p w14:paraId="0F18649A"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1,996</w:t>
            </w:r>
          </w:p>
        </w:tc>
      </w:tr>
      <w:tr w:rsidR="00CD3D2F" w:rsidRPr="00CD3D2F" w14:paraId="0816AD37"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4232E6C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#26</w:t>
            </w:r>
          </w:p>
        </w:tc>
        <w:tc>
          <w:tcPr>
            <w:tcW w:w="6804" w:type="dxa"/>
            <w:vAlign w:val="center"/>
          </w:tcPr>
          <w:p w14:paraId="35CC59E7"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health expenditures [mh]</w:t>
            </w:r>
          </w:p>
        </w:tc>
        <w:tc>
          <w:tcPr>
            <w:tcW w:w="1366" w:type="dxa"/>
            <w:vAlign w:val="center"/>
          </w:tcPr>
          <w:p w14:paraId="7BA1C530"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23,135</w:t>
            </w:r>
          </w:p>
        </w:tc>
      </w:tr>
      <w:tr w:rsidR="00CD3D2F" w:rsidRPr="00CD3D2F" w14:paraId="0554E743"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8FFC44F"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#27</w:t>
            </w:r>
          </w:p>
        </w:tc>
        <w:tc>
          <w:tcPr>
            <w:tcW w:w="6804" w:type="dxa"/>
            <w:vAlign w:val="center"/>
          </w:tcPr>
          <w:p w14:paraId="371B06C8"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budgets [mh]</w:t>
            </w:r>
          </w:p>
        </w:tc>
        <w:tc>
          <w:tcPr>
            <w:tcW w:w="1366" w:type="dxa"/>
            <w:vAlign w:val="center"/>
          </w:tcPr>
          <w:p w14:paraId="22DFF8B4"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13,811</w:t>
            </w:r>
          </w:p>
        </w:tc>
      </w:tr>
      <w:tr w:rsidR="00CD3D2F" w:rsidRPr="00CD3D2F" w14:paraId="52E0804F"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2538AEF6"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#28</w:t>
            </w:r>
          </w:p>
        </w:tc>
        <w:tc>
          <w:tcPr>
            <w:tcW w:w="6804" w:type="dxa"/>
            <w:vAlign w:val="center"/>
          </w:tcPr>
          <w:p w14:paraId="0A9CE0FF"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fees and charges [mh]</w:t>
            </w:r>
          </w:p>
        </w:tc>
        <w:tc>
          <w:tcPr>
            <w:tcW w:w="1366" w:type="dxa"/>
            <w:vAlign w:val="center"/>
          </w:tcPr>
          <w:p w14:paraId="3F705102"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30,646</w:t>
            </w:r>
          </w:p>
        </w:tc>
      </w:tr>
      <w:tr w:rsidR="00CD3D2F" w:rsidRPr="00CD3D2F" w14:paraId="5033E952"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9A73497"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#29</w:t>
            </w:r>
          </w:p>
        </w:tc>
        <w:tc>
          <w:tcPr>
            <w:tcW w:w="6804" w:type="dxa"/>
            <w:vAlign w:val="center"/>
          </w:tcPr>
          <w:p w14:paraId="6E9928D2"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fiscal [tw] OR funding [tw] OR financial [tw] OR finance [tw]</w:t>
            </w:r>
          </w:p>
        </w:tc>
        <w:tc>
          <w:tcPr>
            <w:tcW w:w="1366" w:type="dxa"/>
            <w:vAlign w:val="center"/>
          </w:tcPr>
          <w:p w14:paraId="04BFE153"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181,624</w:t>
            </w:r>
          </w:p>
        </w:tc>
      </w:tr>
      <w:tr w:rsidR="00CD3D2F" w:rsidRPr="00CD3D2F" w14:paraId="7793EFCF"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728AC328"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lastRenderedPageBreak/>
              <w:t>#30</w:t>
            </w:r>
          </w:p>
        </w:tc>
        <w:tc>
          <w:tcPr>
            <w:tcW w:w="6804" w:type="dxa"/>
            <w:vAlign w:val="center"/>
          </w:tcPr>
          <w:p w14:paraId="506DC39A"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economic* [tw] OR pharmacoeconomic* [tw] OR price* [tw] OR pricing [tw]</w:t>
            </w:r>
          </w:p>
        </w:tc>
        <w:tc>
          <w:tcPr>
            <w:tcW w:w="1366" w:type="dxa"/>
            <w:vAlign w:val="center"/>
          </w:tcPr>
          <w:p w14:paraId="1DF5BE58"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730,729</w:t>
            </w:r>
          </w:p>
        </w:tc>
      </w:tr>
      <w:tr w:rsidR="00CD3D2F" w:rsidRPr="00CD3D2F" w14:paraId="7BF0BA8F"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63E119"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#31</w:t>
            </w:r>
          </w:p>
        </w:tc>
        <w:tc>
          <w:tcPr>
            <w:tcW w:w="6804" w:type="dxa"/>
            <w:vAlign w:val="center"/>
          </w:tcPr>
          <w:p w14:paraId="6FBF2A2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(unit cost* [tiab])</w:t>
            </w:r>
          </w:p>
        </w:tc>
        <w:tc>
          <w:tcPr>
            <w:tcW w:w="1366" w:type="dxa"/>
            <w:vAlign w:val="center"/>
          </w:tcPr>
          <w:p w14:paraId="13C15BF0"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2,672</w:t>
            </w:r>
          </w:p>
        </w:tc>
      </w:tr>
      <w:tr w:rsidR="00CD3D2F" w:rsidRPr="00CD3D2F" w14:paraId="50E634B2"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5D31FEE0"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#32</w:t>
            </w:r>
          </w:p>
        </w:tc>
        <w:tc>
          <w:tcPr>
            <w:tcW w:w="6804" w:type="dxa"/>
            <w:vAlign w:val="center"/>
          </w:tcPr>
          <w:p w14:paraId="620BCC30"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variable [tiab]</w:t>
            </w:r>
          </w:p>
        </w:tc>
        <w:tc>
          <w:tcPr>
            <w:tcW w:w="1366" w:type="dxa"/>
            <w:vAlign w:val="center"/>
          </w:tcPr>
          <w:p w14:paraId="79A52E18"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46</w:t>
            </w:r>
          </w:p>
        </w:tc>
      </w:tr>
      <w:tr w:rsidR="00CD3D2F" w:rsidRPr="00CD3D2F" w14:paraId="3D018E6D"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A8072BF"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#33</w:t>
            </w:r>
          </w:p>
        </w:tc>
        <w:tc>
          <w:tcPr>
            <w:tcW w:w="6804" w:type="dxa"/>
            <w:vAlign w:val="center"/>
          </w:tcPr>
          <w:p w14:paraId="1CBEDA50"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(cost estimate* [tiab])</w:t>
            </w:r>
          </w:p>
        </w:tc>
        <w:tc>
          <w:tcPr>
            <w:tcW w:w="1366" w:type="dxa"/>
            <w:vAlign w:val="center"/>
          </w:tcPr>
          <w:p w14:paraId="60C9E921"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2,328</w:t>
            </w:r>
          </w:p>
        </w:tc>
      </w:tr>
      <w:tr w:rsidR="00CD3D2F" w:rsidRPr="00CD3D2F" w14:paraId="21930688"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7FC1B39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#34</w:t>
            </w:r>
          </w:p>
        </w:tc>
        <w:tc>
          <w:tcPr>
            <w:tcW w:w="6804" w:type="dxa"/>
            <w:vAlign w:val="center"/>
          </w:tcPr>
          <w:p w14:paraId="45140A24"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(healthcare cost* [tiab])</w:t>
            </w:r>
          </w:p>
        </w:tc>
        <w:tc>
          <w:tcPr>
            <w:tcW w:w="1366" w:type="dxa"/>
            <w:vAlign w:val="center"/>
          </w:tcPr>
          <w:p w14:paraId="2CD5CFD6"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12,944</w:t>
            </w:r>
          </w:p>
        </w:tc>
      </w:tr>
      <w:tr w:rsidR="00CD3D2F" w:rsidRPr="00CD3D2F" w14:paraId="00302BE6"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06E5551"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#35</w:t>
            </w:r>
          </w:p>
        </w:tc>
        <w:tc>
          <w:tcPr>
            <w:tcW w:w="6804" w:type="dxa"/>
            <w:vAlign w:val="center"/>
          </w:tcPr>
          <w:p w14:paraId="43CBC9F6"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“high cost” [tiab]</w:t>
            </w:r>
          </w:p>
        </w:tc>
        <w:tc>
          <w:tcPr>
            <w:tcW w:w="1366" w:type="dxa"/>
            <w:vAlign w:val="center"/>
          </w:tcPr>
          <w:p w14:paraId="7C0FAB6B"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14,680</w:t>
            </w:r>
          </w:p>
        </w:tc>
      </w:tr>
      <w:tr w:rsidR="00CD3D2F" w:rsidRPr="00CD3D2F" w14:paraId="56701A9A"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5310CC21"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#36</w:t>
            </w:r>
          </w:p>
        </w:tc>
        <w:tc>
          <w:tcPr>
            <w:tcW w:w="6804" w:type="dxa"/>
            <w:vAlign w:val="center"/>
          </w:tcPr>
          <w:p w14:paraId="4673E2F5"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“low cost” [tiab]</w:t>
            </w:r>
          </w:p>
        </w:tc>
        <w:tc>
          <w:tcPr>
            <w:tcW w:w="1366" w:type="dxa"/>
            <w:vAlign w:val="center"/>
          </w:tcPr>
          <w:p w14:paraId="66D6B87A"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64,751</w:t>
            </w:r>
          </w:p>
        </w:tc>
      </w:tr>
      <w:tr w:rsidR="00CD3D2F" w:rsidRPr="00CD3D2F" w14:paraId="27124FF3"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5B97092"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#37</w:t>
            </w:r>
          </w:p>
        </w:tc>
        <w:tc>
          <w:tcPr>
            <w:tcW w:w="6804" w:type="dxa"/>
            <w:vAlign w:val="center"/>
          </w:tcPr>
          <w:p w14:paraId="562056B9"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markov chains[mh] OR markov[tiab] OR monte carlo method[mh] OR monte carlo[tiab] OR Decision Theory[mh] OR decision tree*[tiab] OR decision analy*[tiab] OR decision model*[tiab]</w:t>
            </w:r>
          </w:p>
        </w:tc>
        <w:tc>
          <w:tcPr>
            <w:tcW w:w="1366" w:type="dxa"/>
            <w:vAlign w:val="center"/>
          </w:tcPr>
          <w:p w14:paraId="31ABCE33"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107,001</w:t>
            </w:r>
          </w:p>
        </w:tc>
      </w:tr>
      <w:tr w:rsidR="00CD3D2F" w:rsidRPr="00CD3D2F" w14:paraId="69EB5EAB"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0491D374"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#38</w:t>
            </w:r>
          </w:p>
        </w:tc>
        <w:tc>
          <w:tcPr>
            <w:tcW w:w="6804" w:type="dxa"/>
            <w:vAlign w:val="center"/>
          </w:tcPr>
          <w:p w14:paraId="6969C921"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#5 OR #6 OR #7 OR #8 OR #9 OR #10 OR #11 OR #12 OR #13 OR #14 OR #15 OR #16 OR #17 OR #18 OR #19 OR #20 OR #21 OR #22 OR #23 OR #24 OR #25 OR #26 OR #27 OR #28 OR #29 OR #30 OR #31 OR #32 OR #33 OR #34 OR #35 OR #36 OR #37</w:t>
            </w:r>
          </w:p>
        </w:tc>
        <w:tc>
          <w:tcPr>
            <w:tcW w:w="1366" w:type="dxa"/>
            <w:vAlign w:val="center"/>
          </w:tcPr>
          <w:p w14:paraId="1A55D57A"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1,243,726</w:t>
            </w:r>
          </w:p>
        </w:tc>
      </w:tr>
      <w:tr w:rsidR="00CD3D2F" w:rsidRPr="00CD3D2F" w14:paraId="11062D79"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59BAC8D"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#39</w:t>
            </w:r>
          </w:p>
        </w:tc>
        <w:tc>
          <w:tcPr>
            <w:tcW w:w="6804" w:type="dxa"/>
            <w:vAlign w:val="center"/>
          </w:tcPr>
          <w:p w14:paraId="40375C50"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#4 AND #38</w:t>
            </w:r>
          </w:p>
        </w:tc>
        <w:tc>
          <w:tcPr>
            <w:tcW w:w="1366" w:type="dxa"/>
            <w:vAlign w:val="center"/>
          </w:tcPr>
          <w:p w14:paraId="26DD40A8"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9,493</w:t>
            </w:r>
          </w:p>
        </w:tc>
      </w:tr>
    </w:tbl>
    <w:p w14:paraId="350B3687" w14:textId="77777777" w:rsidR="00CD3D2F" w:rsidRPr="00CD3D2F" w:rsidRDefault="00CD3D2F" w:rsidP="00CD3D2F">
      <w:pPr>
        <w:numPr>
          <w:ilvl w:val="0"/>
          <w:numId w:val="5"/>
        </w:numPr>
        <w:spacing w:after="0" w:line="480" w:lineRule="auto"/>
        <w:ind w:left="284" w:hanging="284"/>
        <w:contextualSpacing/>
        <w:jc w:val="both"/>
        <w:rPr>
          <w:rFonts w:ascii="Arial" w:eastAsia="SimSun" w:hAnsi="Arial" w:cs="Arial"/>
          <w:sz w:val="16"/>
          <w:szCs w:val="16"/>
          <w:lang w:val="en-GB"/>
        </w:rPr>
      </w:pPr>
      <w:r w:rsidRPr="00CD3D2F">
        <w:rPr>
          <w:rFonts w:ascii="Arial" w:eastAsia="SimSun" w:hAnsi="Arial" w:cs="Arial"/>
          <w:sz w:val="16"/>
          <w:szCs w:val="16"/>
          <w:lang w:val="en-GB"/>
        </w:rPr>
        <w:t xml:space="preserve">CADTH COVID-19 Search Strings - </w:t>
      </w:r>
      <w:hyperlink r:id="rId9" w:history="1">
        <w:r w:rsidRPr="00CD3D2F">
          <w:rPr>
            <w:rFonts w:ascii="Arial" w:eastAsia="SimSun" w:hAnsi="Arial" w:cs="Arial"/>
            <w:color w:val="4182FF"/>
            <w:sz w:val="16"/>
            <w:szCs w:val="16"/>
            <w:u w:val="single"/>
            <w:lang w:val="en-GB"/>
          </w:rPr>
          <w:t>https://covid.cadth.ca/literature-searching-tools/cadth-covid-19-search-strings/</w:t>
        </w:r>
      </w:hyperlink>
      <w:r w:rsidRPr="00CD3D2F">
        <w:rPr>
          <w:rFonts w:ascii="Arial" w:eastAsia="SimSun" w:hAnsi="Arial" w:cs="Arial"/>
          <w:sz w:val="16"/>
          <w:szCs w:val="16"/>
          <w:lang w:val="en-GB"/>
        </w:rPr>
        <w:t xml:space="preserve"> </w:t>
      </w:r>
    </w:p>
    <w:p w14:paraId="0A379C08" w14:textId="77777777" w:rsidR="00CD3D2F" w:rsidRPr="00CD3D2F" w:rsidRDefault="00CD3D2F" w:rsidP="00CD3D2F">
      <w:pPr>
        <w:numPr>
          <w:ilvl w:val="0"/>
          <w:numId w:val="5"/>
        </w:numPr>
        <w:spacing w:after="240" w:line="480" w:lineRule="auto"/>
        <w:ind w:left="284" w:hanging="284"/>
        <w:contextualSpacing/>
        <w:jc w:val="both"/>
        <w:rPr>
          <w:rFonts w:ascii="Arial" w:eastAsia="SimSun" w:hAnsi="Arial" w:cs="Arial"/>
          <w:lang w:val="en-GB"/>
        </w:rPr>
      </w:pPr>
      <w:r w:rsidRPr="00CD3D2F">
        <w:rPr>
          <w:rFonts w:ascii="Arial" w:eastAsia="SimSun" w:hAnsi="Arial" w:cs="Arial"/>
          <w:sz w:val="16"/>
          <w:szCs w:val="16"/>
          <w:lang w:val="en-GB"/>
        </w:rPr>
        <w:t xml:space="preserve">Scottish Intelligence Guidelines Network (SIGN) filter - </w:t>
      </w:r>
      <w:hyperlink r:id="rId10" w:history="1">
        <w:r w:rsidRPr="00CD3D2F">
          <w:rPr>
            <w:rFonts w:ascii="Arial" w:eastAsia="SimSun" w:hAnsi="Arial" w:cs="Arial"/>
            <w:color w:val="4182FF"/>
            <w:sz w:val="16"/>
            <w:szCs w:val="16"/>
            <w:u w:val="single"/>
            <w:lang w:val="en-GB"/>
          </w:rPr>
          <w:t>https://www.sign.ac.uk/what-we-do/methodology/search-filters/</w:t>
        </w:r>
      </w:hyperlink>
    </w:p>
    <w:p w14:paraId="1269A139" w14:textId="77777777" w:rsidR="00CD3D2F" w:rsidRPr="00CD3D2F" w:rsidRDefault="00CD3D2F" w:rsidP="00CD3D2F">
      <w:pPr>
        <w:numPr>
          <w:ilvl w:val="0"/>
          <w:numId w:val="5"/>
        </w:numPr>
        <w:spacing w:after="240" w:line="480" w:lineRule="auto"/>
        <w:ind w:left="284" w:hanging="284"/>
        <w:contextualSpacing/>
        <w:jc w:val="both"/>
        <w:rPr>
          <w:rFonts w:ascii="Arial" w:eastAsia="SimSun" w:hAnsi="Arial" w:cs="Arial"/>
          <w:sz w:val="16"/>
          <w:szCs w:val="16"/>
          <w:lang w:val="en-GB"/>
        </w:rPr>
      </w:pPr>
      <w:r w:rsidRPr="00CD3D2F">
        <w:rPr>
          <w:rFonts w:ascii="Arial" w:eastAsia="SimSun" w:hAnsi="Arial" w:cs="Arial"/>
          <w:sz w:val="16"/>
          <w:szCs w:val="16"/>
          <w:lang w:val="en-GB"/>
        </w:rPr>
        <w:t xml:space="preserve">CADTH EE Search Strings: </w:t>
      </w:r>
      <w:hyperlink r:id="rId11" w:history="1">
        <w:r w:rsidRPr="00CD3D2F">
          <w:rPr>
            <w:rFonts w:ascii="Arial" w:eastAsia="SimSun" w:hAnsi="Arial" w:cs="Arial"/>
            <w:color w:val="4182FF"/>
            <w:sz w:val="16"/>
            <w:szCs w:val="16"/>
            <w:u w:val="single"/>
            <w:lang w:val="en-GB"/>
          </w:rPr>
          <w:t>https://www.cadth.ca/resources/finding-evidence/strings-attached-cadths-database-search-filters</w:t>
        </w:r>
      </w:hyperlink>
      <w:r w:rsidRPr="00CD3D2F">
        <w:rPr>
          <w:rFonts w:ascii="Arial" w:eastAsia="SimSun" w:hAnsi="Arial" w:cs="Arial"/>
          <w:sz w:val="16"/>
          <w:szCs w:val="16"/>
          <w:lang w:val="en-GB"/>
        </w:rPr>
        <w:t xml:space="preserve"> </w:t>
      </w:r>
    </w:p>
    <w:p w14:paraId="795AB1AA" w14:textId="77777777" w:rsidR="00CD3D2F" w:rsidRPr="00CD3D2F" w:rsidRDefault="00CD3D2F" w:rsidP="00CD3D2F">
      <w:pPr>
        <w:spacing w:after="240" w:line="480" w:lineRule="auto"/>
        <w:jc w:val="both"/>
        <w:rPr>
          <w:rFonts w:ascii="Arial" w:eastAsia="SimSun" w:hAnsi="Arial" w:cs="Arial"/>
          <w:lang w:val="en-GB"/>
        </w:rPr>
      </w:pPr>
    </w:p>
    <w:p w14:paraId="275EBC2C" w14:textId="77777777" w:rsidR="00CD3D2F" w:rsidRPr="00CD3D2F" w:rsidRDefault="00CD3D2F" w:rsidP="00CD3D2F">
      <w:pPr>
        <w:spacing w:after="240" w:line="480" w:lineRule="auto"/>
        <w:jc w:val="both"/>
        <w:rPr>
          <w:rFonts w:ascii="Arial" w:eastAsia="SimSun" w:hAnsi="Arial" w:cs="Arial"/>
          <w:lang w:val="en-GB"/>
        </w:rPr>
      </w:pPr>
      <w:r w:rsidRPr="00CD3D2F">
        <w:rPr>
          <w:rFonts w:ascii="Arial" w:eastAsia="SimSun" w:hAnsi="Arial" w:cs="Arial"/>
          <w:lang w:val="en-GB"/>
        </w:rPr>
        <w:t xml:space="preserve">Search terms in Cochrane Library via http://www.cochranelibrary.com/  </w:t>
      </w:r>
    </w:p>
    <w:p w14:paraId="7865AFBC" w14:textId="77777777" w:rsidR="00CD3D2F" w:rsidRPr="00CD3D2F" w:rsidRDefault="00CD3D2F" w:rsidP="00CD3D2F">
      <w:pPr>
        <w:spacing w:after="240" w:line="480" w:lineRule="auto"/>
        <w:jc w:val="both"/>
        <w:rPr>
          <w:rFonts w:ascii="Arial" w:eastAsia="SimSun" w:hAnsi="Arial" w:cs="Arial"/>
          <w:lang w:val="en-GB"/>
        </w:rPr>
      </w:pPr>
      <w:r w:rsidRPr="00CD3D2F">
        <w:rPr>
          <w:rFonts w:ascii="Arial" w:eastAsia="SimSun" w:hAnsi="Arial" w:cs="Arial"/>
          <w:lang w:val="en-GB"/>
        </w:rPr>
        <w:t>Date of the search: 16/04/2021</w:t>
      </w:r>
    </w:p>
    <w:tbl>
      <w:tblPr>
        <w:tblStyle w:val="GridTable4-Accent15"/>
        <w:tblW w:w="0" w:type="auto"/>
        <w:tblLook w:val="04A0" w:firstRow="1" w:lastRow="0" w:firstColumn="1" w:lastColumn="0" w:noHBand="0" w:noVBand="1"/>
      </w:tblPr>
      <w:tblGrid>
        <w:gridCol w:w="846"/>
        <w:gridCol w:w="6804"/>
        <w:gridCol w:w="1366"/>
      </w:tblGrid>
      <w:tr w:rsidR="00CD3D2F" w:rsidRPr="00CD3D2F" w14:paraId="4515B73E" w14:textId="77777777" w:rsidTr="005A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013B1A3" w14:textId="77777777" w:rsidR="00CD3D2F" w:rsidRPr="00CD3D2F" w:rsidRDefault="00CD3D2F" w:rsidP="00CD3D2F">
            <w:pPr>
              <w:spacing w:after="120" w:line="480" w:lineRule="auto"/>
              <w:jc w:val="both"/>
              <w:rPr>
                <w:rFonts w:ascii="Arial" w:eastAsia="SimSun" w:hAnsi="Arial" w:cs="Arial"/>
                <w:lang w:val="en-GB"/>
              </w:rPr>
            </w:pPr>
            <w:r w:rsidRPr="00CD3D2F">
              <w:rPr>
                <w:rFonts w:ascii="Arial" w:eastAsia="SimSun" w:hAnsi="Arial" w:cs="Arial"/>
                <w:lang w:val="en-GB"/>
              </w:rPr>
              <w:t>No</w:t>
            </w:r>
          </w:p>
        </w:tc>
        <w:tc>
          <w:tcPr>
            <w:tcW w:w="6804" w:type="dxa"/>
          </w:tcPr>
          <w:p w14:paraId="3E929B3F" w14:textId="77777777" w:rsidR="00CD3D2F" w:rsidRPr="00CD3D2F" w:rsidRDefault="00CD3D2F" w:rsidP="00CD3D2F">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Query</w:t>
            </w:r>
            <w:r w:rsidRPr="00CD3D2F">
              <w:rPr>
                <w:rFonts w:ascii="Arial" w:eastAsia="SimSun" w:hAnsi="Arial" w:cs="Arial"/>
                <w:vertAlign w:val="superscript"/>
                <w:lang w:val="en-GB"/>
              </w:rPr>
              <w:t>1</w:t>
            </w:r>
          </w:p>
        </w:tc>
        <w:tc>
          <w:tcPr>
            <w:tcW w:w="1366" w:type="dxa"/>
          </w:tcPr>
          <w:p w14:paraId="195AA26C" w14:textId="77777777" w:rsidR="00CD3D2F" w:rsidRPr="00CD3D2F" w:rsidRDefault="00CD3D2F" w:rsidP="00CD3D2F">
            <w:pPr>
              <w:spacing w:after="120" w:line="480" w:lineRule="auto"/>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Results</w:t>
            </w:r>
          </w:p>
        </w:tc>
      </w:tr>
      <w:tr w:rsidR="00CD3D2F" w:rsidRPr="00CD3D2F" w14:paraId="63E32F58"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D238D3A"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lastRenderedPageBreak/>
              <w:t>#1</w:t>
            </w:r>
          </w:p>
        </w:tc>
        <w:tc>
          <w:tcPr>
            <w:tcW w:w="6804" w:type="dxa"/>
            <w:vAlign w:val="center"/>
          </w:tcPr>
          <w:p w14:paraId="07EDE3C2" w14:textId="77777777" w:rsidR="00CD3D2F" w:rsidRPr="00CD3D2F" w:rsidRDefault="00CD3D2F" w:rsidP="00CD3D2F">
            <w:pPr>
              <w:spacing w:after="120" w:line="480" w:lineRule="auto"/>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'coronavirus disease 2019' OR 'covid 19' OR 'covid19' OR 'covid-19' OR 'sars-cov-2' OR 'severe acute respiratory syndrome coronavirus 2' OR '2019ncov' OR 19ncov OR covid OR 'sarscov-2' OR 'sars-cov2' OR sarscov2 OR 'severe acute respiratory syndrome corona virus 2'</w:t>
            </w:r>
          </w:p>
        </w:tc>
        <w:tc>
          <w:tcPr>
            <w:tcW w:w="1366" w:type="dxa"/>
            <w:vAlign w:val="center"/>
          </w:tcPr>
          <w:p w14:paraId="4C473C5A" w14:textId="77777777" w:rsidR="00CD3D2F" w:rsidRPr="00CD3D2F" w:rsidRDefault="00CD3D2F" w:rsidP="00CD3D2F">
            <w:pPr>
              <w:spacing w:after="120" w:line="480" w:lineRule="auto"/>
              <w:jc w:val="right"/>
              <w:cnfStyle w:val="000000100000" w:firstRow="0" w:lastRow="0" w:firstColumn="0" w:lastColumn="0" w:oddVBand="0" w:evenVBand="0" w:oddHBand="1"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5,112</w:t>
            </w:r>
          </w:p>
        </w:tc>
      </w:tr>
      <w:tr w:rsidR="00CD3D2F" w:rsidRPr="00CD3D2F" w14:paraId="6AB87BA4" w14:textId="77777777" w:rsidTr="005A199A">
        <w:tc>
          <w:tcPr>
            <w:cnfStyle w:val="001000000000" w:firstRow="0" w:lastRow="0" w:firstColumn="1" w:lastColumn="0" w:oddVBand="0" w:evenVBand="0" w:oddHBand="0" w:evenHBand="0" w:firstRowFirstColumn="0" w:firstRowLastColumn="0" w:lastRowFirstColumn="0" w:lastRowLastColumn="0"/>
            <w:tcW w:w="846" w:type="dxa"/>
            <w:vAlign w:val="center"/>
          </w:tcPr>
          <w:p w14:paraId="1D9C3D54" w14:textId="77777777" w:rsidR="00CD3D2F" w:rsidRPr="00CD3D2F" w:rsidRDefault="00CD3D2F" w:rsidP="00CD3D2F">
            <w:pPr>
              <w:spacing w:after="120" w:line="480" w:lineRule="auto"/>
              <w:rPr>
                <w:rFonts w:ascii="Arial" w:eastAsia="SimSun" w:hAnsi="Arial" w:cs="Arial"/>
                <w:lang w:val="en-GB"/>
              </w:rPr>
            </w:pPr>
            <w:r w:rsidRPr="00CD3D2F">
              <w:rPr>
                <w:rFonts w:ascii="Arial" w:eastAsia="SimSun" w:hAnsi="Arial" w:cs="Arial"/>
                <w:lang w:val="en-GB"/>
              </w:rPr>
              <w:t>#2</w:t>
            </w:r>
          </w:p>
        </w:tc>
        <w:tc>
          <w:tcPr>
            <w:tcW w:w="6804" w:type="dxa"/>
            <w:vAlign w:val="center"/>
          </w:tcPr>
          <w:p w14:paraId="0DE98ABF" w14:textId="77777777" w:rsidR="00CD3D2F" w:rsidRPr="00CD3D2F" w:rsidRDefault="00CD3D2F" w:rsidP="00CD3D2F">
            <w:pPr>
              <w:spacing w:after="120" w:line="480" w:lineRule="auto"/>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 AND Limits: No trials</w:t>
            </w:r>
          </w:p>
        </w:tc>
        <w:tc>
          <w:tcPr>
            <w:tcW w:w="1366" w:type="dxa"/>
            <w:vAlign w:val="center"/>
          </w:tcPr>
          <w:p w14:paraId="537C82F3" w14:textId="77777777" w:rsidR="00CD3D2F" w:rsidRPr="00CD3D2F" w:rsidRDefault="00CD3D2F" w:rsidP="00CD3D2F">
            <w:pPr>
              <w:spacing w:after="120" w:line="480" w:lineRule="auto"/>
              <w:jc w:val="right"/>
              <w:cnfStyle w:val="000000000000" w:firstRow="0" w:lastRow="0" w:firstColumn="0" w:lastColumn="0" w:oddVBand="0" w:evenVBand="0" w:oddHBand="0" w:evenHBand="0" w:firstRowFirstColumn="0" w:firstRowLastColumn="0" w:lastRowFirstColumn="0" w:lastRowLastColumn="0"/>
              <w:rPr>
                <w:rFonts w:ascii="Arial" w:eastAsia="SimSun" w:hAnsi="Arial" w:cs="Arial"/>
                <w:lang w:val="en-GB"/>
              </w:rPr>
            </w:pPr>
            <w:r w:rsidRPr="00CD3D2F">
              <w:rPr>
                <w:rFonts w:ascii="Arial" w:eastAsia="SimSun" w:hAnsi="Arial" w:cs="Arial"/>
                <w:lang w:val="en-GB"/>
              </w:rPr>
              <w:t>113</w:t>
            </w:r>
          </w:p>
        </w:tc>
      </w:tr>
    </w:tbl>
    <w:p w14:paraId="426C3AD7" w14:textId="77777777" w:rsidR="00CD3D2F" w:rsidRPr="00CD3D2F" w:rsidRDefault="00CD3D2F" w:rsidP="00CD3D2F">
      <w:pPr>
        <w:numPr>
          <w:ilvl w:val="0"/>
          <w:numId w:val="27"/>
        </w:numPr>
        <w:spacing w:after="0" w:line="480" w:lineRule="auto"/>
        <w:ind w:left="284" w:hanging="284"/>
        <w:contextualSpacing/>
        <w:jc w:val="both"/>
        <w:rPr>
          <w:rFonts w:ascii="Arial" w:eastAsia="SimSun" w:hAnsi="Arial" w:cs="Arial"/>
          <w:sz w:val="16"/>
          <w:szCs w:val="16"/>
          <w:lang w:val="en-GB"/>
        </w:rPr>
      </w:pPr>
      <w:r w:rsidRPr="00CD3D2F">
        <w:rPr>
          <w:rFonts w:ascii="Arial" w:eastAsia="SimSun" w:hAnsi="Arial" w:cs="Arial"/>
          <w:sz w:val="16"/>
          <w:szCs w:val="16"/>
          <w:lang w:val="en-GB"/>
        </w:rPr>
        <w:t xml:space="preserve">CADTH COVID-19 Search Strings - </w:t>
      </w:r>
      <w:hyperlink r:id="rId12" w:history="1">
        <w:r w:rsidRPr="00CD3D2F">
          <w:rPr>
            <w:rFonts w:ascii="Arial" w:eastAsia="SimSun" w:hAnsi="Arial" w:cs="Arial"/>
            <w:color w:val="4182FF"/>
            <w:sz w:val="16"/>
            <w:szCs w:val="16"/>
            <w:u w:val="single"/>
            <w:lang w:val="en-GB"/>
          </w:rPr>
          <w:t>https://covid.cadth.ca/literature-searching-tools/cadth-covid-19-search-strings/</w:t>
        </w:r>
      </w:hyperlink>
      <w:r w:rsidRPr="00CD3D2F">
        <w:rPr>
          <w:rFonts w:ascii="Arial" w:eastAsia="SimSun" w:hAnsi="Arial" w:cs="Arial"/>
          <w:sz w:val="16"/>
          <w:szCs w:val="16"/>
          <w:lang w:val="en-GB"/>
        </w:rPr>
        <w:t xml:space="preserve"> </w:t>
      </w:r>
    </w:p>
    <w:bookmarkEnd w:id="2"/>
    <w:p w14:paraId="4D1A1209" w14:textId="77777777" w:rsidR="00CD3D2F" w:rsidRPr="00CD3D2F" w:rsidRDefault="00CD3D2F" w:rsidP="00CD3D2F">
      <w:pPr>
        <w:spacing w:before="120" w:after="120" w:line="480" w:lineRule="auto"/>
        <w:jc w:val="both"/>
        <w:rPr>
          <w:rFonts w:ascii="Arial" w:eastAsia="SimSun" w:hAnsi="Arial" w:cs="Arial"/>
        </w:rPr>
      </w:pPr>
    </w:p>
    <w:p w14:paraId="7C32CB7E" w14:textId="77777777" w:rsidR="00CD3D2F" w:rsidRPr="00CD3D2F" w:rsidRDefault="00CD3D2F" w:rsidP="00CD3D2F">
      <w:pPr>
        <w:spacing w:before="120" w:after="120" w:line="480" w:lineRule="auto"/>
        <w:jc w:val="both"/>
        <w:rPr>
          <w:rFonts w:ascii="Arial" w:eastAsia="SimSun" w:hAnsi="Arial" w:cs="Arial"/>
        </w:rPr>
      </w:pPr>
    </w:p>
    <w:p w14:paraId="43B59403" w14:textId="77777777" w:rsidR="00CD3D2F" w:rsidRPr="00CD3D2F" w:rsidRDefault="00CD3D2F" w:rsidP="00CD3D2F">
      <w:pPr>
        <w:spacing w:before="120" w:after="120" w:line="480" w:lineRule="auto"/>
        <w:jc w:val="both"/>
        <w:rPr>
          <w:rFonts w:ascii="Arial" w:eastAsia="SimSun" w:hAnsi="Arial" w:cs="Arial"/>
        </w:rPr>
      </w:pPr>
    </w:p>
    <w:p w14:paraId="27FC1F04" w14:textId="77777777" w:rsidR="00CD3D2F" w:rsidRPr="00CD3D2F" w:rsidRDefault="00CD3D2F" w:rsidP="00CD3D2F">
      <w:pPr>
        <w:spacing w:before="120" w:after="120" w:line="480" w:lineRule="auto"/>
        <w:jc w:val="both"/>
        <w:rPr>
          <w:rFonts w:ascii="Arial" w:eastAsia="SimSun" w:hAnsi="Arial" w:cs="Arial"/>
        </w:rPr>
      </w:pPr>
    </w:p>
    <w:p w14:paraId="0E3EB3D3" w14:textId="77777777" w:rsidR="00CD3D2F" w:rsidRPr="00CD3D2F" w:rsidRDefault="00CD3D2F" w:rsidP="00CD3D2F">
      <w:pPr>
        <w:spacing w:before="120" w:after="120" w:line="480" w:lineRule="auto"/>
        <w:jc w:val="both"/>
        <w:rPr>
          <w:rFonts w:ascii="Arial" w:eastAsia="SimSun" w:hAnsi="Arial" w:cs="Arial"/>
        </w:rPr>
      </w:pPr>
    </w:p>
    <w:p w14:paraId="16855130" w14:textId="77777777" w:rsidR="00CD3D2F" w:rsidRPr="00CD3D2F" w:rsidRDefault="00CD3D2F" w:rsidP="00CD3D2F">
      <w:pPr>
        <w:keepNext/>
        <w:keepLines/>
        <w:spacing w:before="40" w:after="0" w:line="480" w:lineRule="auto"/>
        <w:outlineLvl w:val="2"/>
        <w:rPr>
          <w:rFonts w:ascii="Arial" w:eastAsia="MS Gothic" w:hAnsi="Arial" w:cs="Arial"/>
          <w:bCs/>
          <w:color w:val="272774"/>
          <w:szCs w:val="24"/>
        </w:rPr>
      </w:pPr>
      <w:bookmarkStart w:id="3" w:name="_Toc65497972"/>
      <w:r w:rsidRPr="00CD3D2F">
        <w:rPr>
          <w:rFonts w:ascii="Arial" w:eastAsia="MS Gothic" w:hAnsi="Arial" w:cs="Arial"/>
          <w:bCs/>
          <w:color w:val="272774"/>
          <w:szCs w:val="24"/>
        </w:rPr>
        <w:t>Manual searches</w:t>
      </w:r>
      <w:bookmarkEnd w:id="3"/>
    </w:p>
    <w:p w14:paraId="1388665F" w14:textId="77777777" w:rsidR="00CD3D2F" w:rsidRPr="00CD3D2F" w:rsidRDefault="00CD3D2F" w:rsidP="00CD3D2F">
      <w:pPr>
        <w:spacing w:line="480" w:lineRule="auto"/>
        <w:rPr>
          <w:rFonts w:ascii="Arial" w:eastAsiaTheme="minorEastAsia" w:hAnsi="Arial" w:cs="Arial"/>
          <w:sz w:val="20"/>
        </w:rPr>
      </w:pPr>
      <w:r w:rsidRPr="00CD3D2F">
        <w:rPr>
          <w:rFonts w:ascii="Arial" w:eastAsiaTheme="minorEastAsia" w:hAnsi="Arial" w:cs="Arial"/>
          <w:sz w:val="20"/>
        </w:rPr>
        <w:t xml:space="preserve">In addition to the searches of the electronic databases, manual searches were also conducted to capture data from recent studies not yet published, searches were conducted by searching for: “COVID-19 vaccines OR cost OR economic OR resource use”. The retrieval of unpublished clinical trials and other studies through the search of registries and conference proceedings is recommended in the National Health for Health and Care Excellence (NICE) Guide to the methods of technology appraisals </w:t>
      </w:r>
      <w:r w:rsidRPr="00CD3D2F">
        <w:rPr>
          <w:rFonts w:ascii="Arial" w:eastAsiaTheme="minorEastAsia" w:hAnsi="Arial" w:cs="Arial"/>
          <w:sz w:val="20"/>
        </w:rPr>
        <w:fldChar w:fldCharType="begin"/>
      </w:r>
      <w:r w:rsidRPr="00CD3D2F">
        <w:rPr>
          <w:rFonts w:ascii="Arial" w:eastAsiaTheme="minorEastAsia" w:hAnsi="Arial" w:cs="Arial"/>
          <w:sz w:val="20"/>
        </w:rPr>
        <w:instrText xml:space="preserve"> ADDIN EN.CITE &lt;EndNote&gt;&lt;Cite&gt;&lt;Author&gt;National Institute for Health and Care Excellence (NICE)&lt;/Author&gt;&lt;Year&gt;2013&lt;/Year&gt;&lt;RecNum&gt;59&lt;/RecNum&gt;&lt;DisplayText&gt;[58]&lt;/DisplayText&gt;&lt;record&gt;&lt;rec-number&gt;59&lt;/rec-number&gt;&lt;foreign-keys&gt;&lt;key app="EN" db-id="f09r5xa5jtz5aberzp9xwvwnfvpaw5tzxzar" timestamp="1617063506"&gt;59&lt;/key&gt;&lt;/foreign-keys&gt;&lt;ref-type name="Web Page"&gt;12&lt;/ref-type&gt;&lt;contributors&gt;&lt;authors&gt;&lt;author&gt;National Institute for Health and Care Excellence (NICE), 2013&lt;/author&gt;&lt;/authors&gt;&lt;/contributors&gt;&lt;titles&gt;&lt;title&gt;Guide to the methods of technology appraisal 2013&lt;/title&gt;&lt;/titles&gt;&lt;dates&gt;&lt;year&gt;2013&lt;/year&gt;&lt;/dates&gt;&lt;urls&gt;&lt;related-urls&gt;&lt;url&gt;https://www.nice.org.uk/process/pmg9/chapter/foreword&lt;/url&gt;&lt;/related-urls&gt;&lt;/urls&gt;&lt;/record&gt;&lt;/Cite&gt;&lt;/EndNote&gt;</w:instrText>
      </w:r>
      <w:r w:rsidRPr="00CD3D2F">
        <w:rPr>
          <w:rFonts w:ascii="Arial" w:eastAsiaTheme="minorEastAsia" w:hAnsi="Arial" w:cs="Arial"/>
          <w:sz w:val="20"/>
        </w:rPr>
        <w:fldChar w:fldCharType="separate"/>
      </w:r>
      <w:r w:rsidRPr="00CD3D2F">
        <w:rPr>
          <w:rFonts w:ascii="Arial" w:eastAsiaTheme="minorEastAsia" w:hAnsi="Arial" w:cs="Arial"/>
          <w:noProof/>
          <w:sz w:val="20"/>
        </w:rPr>
        <w:t>[58]</w:t>
      </w:r>
      <w:r w:rsidRPr="00CD3D2F">
        <w:rPr>
          <w:rFonts w:ascii="Arial" w:eastAsiaTheme="minorEastAsia" w:hAnsi="Arial" w:cs="Arial"/>
          <w:sz w:val="20"/>
        </w:rPr>
        <w:fldChar w:fldCharType="end"/>
      </w:r>
      <w:r w:rsidRPr="00CD3D2F">
        <w:rPr>
          <w:rFonts w:ascii="Arial" w:eastAsiaTheme="minorEastAsia" w:hAnsi="Arial" w:cs="Arial"/>
          <w:sz w:val="20"/>
        </w:rPr>
        <w:t xml:space="preserve">. Manual searches included: </w:t>
      </w:r>
    </w:p>
    <w:p w14:paraId="72CC0C5F" w14:textId="77777777" w:rsidR="00CD3D2F" w:rsidRPr="00CD3D2F" w:rsidRDefault="00CD3D2F" w:rsidP="00CD3D2F">
      <w:pPr>
        <w:spacing w:before="120" w:after="120" w:line="480" w:lineRule="auto"/>
        <w:ind w:left="934" w:hanging="504"/>
        <w:contextualSpacing/>
        <w:jc w:val="both"/>
        <w:rPr>
          <w:rFonts w:ascii="Arial" w:eastAsiaTheme="minorEastAsia" w:hAnsi="Arial" w:cs="Arial"/>
          <w:sz w:val="20"/>
        </w:rPr>
      </w:pPr>
      <w:r w:rsidRPr="00CD3D2F">
        <w:rPr>
          <w:rFonts w:ascii="Arial" w:eastAsiaTheme="minorEastAsia" w:hAnsi="Arial" w:cs="Arial"/>
          <w:sz w:val="20"/>
        </w:rPr>
        <w:t>Conference proceedings (published from 2020 onwards) and online information repositories:</w:t>
      </w:r>
    </w:p>
    <w:p w14:paraId="19038BC1" w14:textId="77777777" w:rsidR="00CD3D2F" w:rsidRPr="00CD3D2F" w:rsidRDefault="00CD3D2F" w:rsidP="00CD3D2F">
      <w:pPr>
        <w:numPr>
          <w:ilvl w:val="1"/>
          <w:numId w:val="0"/>
        </w:numPr>
        <w:spacing w:before="120" w:after="120" w:line="480" w:lineRule="auto"/>
        <w:ind w:left="1366" w:hanging="432"/>
        <w:jc w:val="both"/>
        <w:rPr>
          <w:rFonts w:ascii="Arial" w:eastAsiaTheme="minorEastAsia" w:hAnsi="Arial" w:cs="Arial"/>
          <w:sz w:val="20"/>
        </w:rPr>
      </w:pPr>
      <w:r w:rsidRPr="00CD3D2F">
        <w:rPr>
          <w:rFonts w:ascii="Arial" w:eastAsiaTheme="minorEastAsia" w:hAnsi="Arial" w:cs="Arial"/>
          <w:sz w:val="20"/>
        </w:rPr>
        <w:t>NIH COVID database (</w:t>
      </w:r>
      <w:hyperlink r:id="rId13" w:history="1">
        <w:r w:rsidRPr="00CD3D2F">
          <w:rPr>
            <w:rFonts w:ascii="Arial" w:eastAsiaTheme="minorEastAsia" w:hAnsi="Arial" w:cs="Arial"/>
            <w:sz w:val="20"/>
            <w:u w:val="single"/>
          </w:rPr>
          <w:t>https://www.ncbi.nlm.nih.gov/research/coronavirus/</w:t>
        </w:r>
      </w:hyperlink>
      <w:r w:rsidRPr="00CD3D2F">
        <w:rPr>
          <w:rFonts w:ascii="Arial" w:eastAsiaTheme="minorEastAsia" w:hAnsi="Arial" w:cs="Arial"/>
          <w:sz w:val="20"/>
        </w:rPr>
        <w:t>)</w:t>
      </w:r>
    </w:p>
    <w:p w14:paraId="38152CAD" w14:textId="77777777" w:rsidR="00CD3D2F" w:rsidRPr="00CD3D2F" w:rsidRDefault="00CD3D2F" w:rsidP="00CD3D2F">
      <w:pPr>
        <w:numPr>
          <w:ilvl w:val="1"/>
          <w:numId w:val="0"/>
        </w:numPr>
        <w:spacing w:before="120" w:after="120" w:line="480" w:lineRule="auto"/>
        <w:ind w:left="1366" w:hanging="432"/>
        <w:jc w:val="both"/>
        <w:rPr>
          <w:rFonts w:ascii="Arial" w:eastAsiaTheme="minorEastAsia" w:hAnsi="Arial" w:cs="Arial"/>
          <w:sz w:val="20"/>
        </w:rPr>
      </w:pPr>
      <w:r w:rsidRPr="00CD3D2F">
        <w:rPr>
          <w:rFonts w:ascii="Arial" w:eastAsiaTheme="minorEastAsia" w:hAnsi="Arial" w:cs="Arial"/>
          <w:sz w:val="20"/>
        </w:rPr>
        <w:t>International Society for Pharmacoeconomics and Outcomes Research (ISPOR) all meetings</w:t>
      </w:r>
    </w:p>
    <w:p w14:paraId="1F5FC037" w14:textId="77777777" w:rsidR="00CD3D2F" w:rsidRPr="00CD3D2F" w:rsidRDefault="00CD3D2F" w:rsidP="00CD3D2F">
      <w:pPr>
        <w:numPr>
          <w:ilvl w:val="1"/>
          <w:numId w:val="0"/>
        </w:numPr>
        <w:spacing w:before="120" w:after="120" w:line="480" w:lineRule="auto"/>
        <w:ind w:left="1366" w:hanging="432"/>
        <w:jc w:val="both"/>
        <w:rPr>
          <w:rFonts w:ascii="Arial" w:eastAsiaTheme="minorEastAsia" w:hAnsi="Arial" w:cs="Arial"/>
          <w:sz w:val="20"/>
        </w:rPr>
      </w:pPr>
      <w:r w:rsidRPr="00CD3D2F">
        <w:rPr>
          <w:rFonts w:ascii="Arial" w:eastAsiaTheme="minorEastAsia" w:hAnsi="Arial" w:cs="Arial"/>
          <w:sz w:val="20"/>
        </w:rPr>
        <w:t>International Health Economics Association (IHEA)</w:t>
      </w:r>
    </w:p>
    <w:p w14:paraId="375DCFE1" w14:textId="77777777" w:rsidR="00CD3D2F" w:rsidRPr="00CD3D2F" w:rsidRDefault="00CD3D2F" w:rsidP="00CD3D2F">
      <w:pPr>
        <w:numPr>
          <w:ilvl w:val="1"/>
          <w:numId w:val="0"/>
        </w:numPr>
        <w:spacing w:before="120" w:after="120" w:line="480" w:lineRule="auto"/>
        <w:ind w:left="1366" w:hanging="432"/>
        <w:jc w:val="both"/>
        <w:rPr>
          <w:rFonts w:ascii="Arial" w:eastAsiaTheme="minorEastAsia" w:hAnsi="Arial" w:cs="Arial"/>
          <w:sz w:val="20"/>
        </w:rPr>
      </w:pPr>
      <w:r w:rsidRPr="00CD3D2F">
        <w:rPr>
          <w:rFonts w:ascii="Arial" w:eastAsiaTheme="minorEastAsia" w:hAnsi="Arial" w:cs="Arial"/>
          <w:sz w:val="20"/>
        </w:rPr>
        <w:t>Research Papers in Economics (RePEc) website</w:t>
      </w:r>
    </w:p>
    <w:p w14:paraId="24FCB2AC" w14:textId="77777777" w:rsidR="00CD3D2F" w:rsidRPr="00CD3D2F" w:rsidRDefault="00CD3D2F" w:rsidP="00CD3D2F">
      <w:pPr>
        <w:numPr>
          <w:ilvl w:val="1"/>
          <w:numId w:val="0"/>
        </w:numPr>
        <w:spacing w:before="120" w:after="120" w:line="480" w:lineRule="auto"/>
        <w:ind w:left="1366" w:hanging="432"/>
        <w:jc w:val="both"/>
        <w:rPr>
          <w:rFonts w:ascii="Arial" w:eastAsiaTheme="minorEastAsia" w:hAnsi="Arial" w:cs="Arial"/>
          <w:sz w:val="20"/>
        </w:rPr>
      </w:pPr>
      <w:r w:rsidRPr="00CD3D2F">
        <w:rPr>
          <w:rFonts w:ascii="Arial" w:eastAsiaTheme="minorEastAsia" w:hAnsi="Arial" w:cs="Arial"/>
          <w:sz w:val="20"/>
        </w:rPr>
        <w:lastRenderedPageBreak/>
        <w:t xml:space="preserve">Google scholar </w:t>
      </w:r>
    </w:p>
    <w:p w14:paraId="0D5F325A" w14:textId="77777777" w:rsidR="00CD3D2F" w:rsidRPr="00CD3D2F" w:rsidRDefault="00CD3D2F" w:rsidP="00CD3D2F">
      <w:pPr>
        <w:spacing w:before="120" w:after="120" w:line="480" w:lineRule="auto"/>
        <w:ind w:left="934" w:hanging="504"/>
        <w:contextualSpacing/>
        <w:jc w:val="both"/>
        <w:rPr>
          <w:rFonts w:ascii="Arial" w:eastAsiaTheme="minorEastAsia" w:hAnsi="Arial" w:cs="Arial"/>
          <w:sz w:val="20"/>
        </w:rPr>
      </w:pPr>
      <w:r w:rsidRPr="00CD3D2F">
        <w:rPr>
          <w:rFonts w:ascii="Arial" w:eastAsiaTheme="minorEastAsia" w:hAnsi="Arial" w:cs="Arial"/>
          <w:sz w:val="20"/>
        </w:rPr>
        <w:t>Preprint server</w:t>
      </w:r>
    </w:p>
    <w:p w14:paraId="181B4D36" w14:textId="77777777" w:rsidR="00CD3D2F" w:rsidRPr="00CD3D2F" w:rsidRDefault="00CD3D2F" w:rsidP="00CD3D2F">
      <w:pPr>
        <w:numPr>
          <w:ilvl w:val="1"/>
          <w:numId w:val="0"/>
        </w:numPr>
        <w:spacing w:after="240" w:line="480" w:lineRule="auto"/>
        <w:ind w:left="1366" w:hanging="432"/>
        <w:rPr>
          <w:rFonts w:ascii="Arial" w:eastAsiaTheme="minorEastAsia" w:hAnsi="Arial" w:cs="Arial"/>
          <w:sz w:val="20"/>
          <w:lang w:val="nl-NL"/>
        </w:rPr>
      </w:pPr>
      <w:r w:rsidRPr="00CD3D2F">
        <w:rPr>
          <w:rFonts w:ascii="Arial" w:eastAsiaTheme="minorEastAsia" w:hAnsi="Arial" w:cs="Arial"/>
          <w:sz w:val="20"/>
          <w:lang w:val="nl-NL"/>
        </w:rPr>
        <w:t xml:space="preserve">MedRxiv </w:t>
      </w:r>
      <w:hyperlink r:id="rId14" w:history="1">
        <w:r w:rsidRPr="00CD3D2F">
          <w:rPr>
            <w:rFonts w:ascii="Arial" w:eastAsiaTheme="minorEastAsia" w:hAnsi="Arial" w:cs="Arial"/>
            <w:color w:val="0563C1" w:themeColor="hyperlink"/>
            <w:sz w:val="20"/>
            <w:u w:val="single"/>
            <w:lang w:val="nl-NL"/>
          </w:rPr>
          <w:t>https://www.medrxiv.org/</w:t>
        </w:r>
      </w:hyperlink>
    </w:p>
    <w:p w14:paraId="6A6DD207" w14:textId="77777777" w:rsidR="00CD3D2F" w:rsidRPr="00CD3D2F" w:rsidRDefault="00CD3D2F" w:rsidP="00CD3D2F">
      <w:pPr>
        <w:spacing w:before="120" w:after="120" w:line="480" w:lineRule="auto"/>
        <w:ind w:left="934" w:hanging="504"/>
        <w:contextualSpacing/>
        <w:jc w:val="both"/>
        <w:rPr>
          <w:rFonts w:ascii="Arial" w:eastAsiaTheme="minorEastAsia" w:hAnsi="Arial" w:cs="Arial"/>
          <w:sz w:val="20"/>
        </w:rPr>
      </w:pPr>
      <w:r w:rsidRPr="00CD3D2F">
        <w:rPr>
          <w:rFonts w:ascii="Arial" w:eastAsiaTheme="minorEastAsia" w:hAnsi="Arial" w:cs="Arial"/>
          <w:sz w:val="20"/>
        </w:rPr>
        <w:t>Health Technology Assessment (HTA) agencies:</w:t>
      </w:r>
    </w:p>
    <w:p w14:paraId="121F4657" w14:textId="77777777" w:rsidR="00CD3D2F" w:rsidRPr="00CD3D2F" w:rsidRDefault="00CD3D2F" w:rsidP="00CD3D2F">
      <w:pPr>
        <w:numPr>
          <w:ilvl w:val="1"/>
          <w:numId w:val="0"/>
        </w:numPr>
        <w:spacing w:after="240" w:line="480" w:lineRule="auto"/>
        <w:ind w:left="1366" w:hanging="432"/>
        <w:jc w:val="both"/>
        <w:rPr>
          <w:rFonts w:ascii="Arial" w:eastAsiaTheme="minorEastAsia" w:hAnsi="Arial" w:cs="Arial"/>
          <w:sz w:val="20"/>
        </w:rPr>
      </w:pPr>
      <w:r w:rsidRPr="00CD3D2F">
        <w:rPr>
          <w:rFonts w:ascii="Arial" w:eastAsiaTheme="minorEastAsia" w:hAnsi="Arial" w:cs="Arial"/>
          <w:b/>
          <w:sz w:val="20"/>
        </w:rPr>
        <w:t xml:space="preserve">UK: </w:t>
      </w:r>
      <w:r w:rsidRPr="00CD3D2F">
        <w:rPr>
          <w:rFonts w:ascii="Arial" w:eastAsiaTheme="minorEastAsia" w:hAnsi="Arial" w:cs="Arial"/>
          <w:sz w:val="20"/>
        </w:rPr>
        <w:t>National Health for Health and Care Excellence (NICE), Scottish Medicines Consortium (SMC) and All Wales Medicines Strategy Group (AWMSG)</w:t>
      </w:r>
    </w:p>
    <w:p w14:paraId="54DA2B61" w14:textId="77777777" w:rsidR="00CD3D2F" w:rsidRPr="00CD3D2F" w:rsidRDefault="00CD3D2F" w:rsidP="00CD3D2F">
      <w:pPr>
        <w:numPr>
          <w:ilvl w:val="1"/>
          <w:numId w:val="0"/>
        </w:numPr>
        <w:spacing w:after="240" w:line="480" w:lineRule="auto"/>
        <w:ind w:left="1366" w:hanging="432"/>
        <w:jc w:val="both"/>
        <w:rPr>
          <w:rFonts w:ascii="Arial" w:eastAsiaTheme="minorEastAsia" w:hAnsi="Arial" w:cs="Arial"/>
          <w:sz w:val="20"/>
          <w:lang w:val="fr-CA"/>
        </w:rPr>
      </w:pPr>
      <w:r w:rsidRPr="00CD3D2F">
        <w:rPr>
          <w:rFonts w:ascii="Arial" w:eastAsiaTheme="minorEastAsia" w:hAnsi="Arial" w:cs="Arial"/>
          <w:b/>
          <w:sz w:val="20"/>
          <w:lang w:val="fr-CA"/>
        </w:rPr>
        <w:t>France:</w:t>
      </w:r>
      <w:r w:rsidRPr="00CD3D2F">
        <w:rPr>
          <w:rFonts w:ascii="Arial" w:eastAsiaTheme="minorEastAsia" w:hAnsi="Arial" w:cs="Arial"/>
          <w:sz w:val="20"/>
          <w:lang w:val="fr-CA"/>
        </w:rPr>
        <w:t xml:space="preserve"> Haute Autorité de Santé (HAS)</w:t>
      </w:r>
    </w:p>
    <w:p w14:paraId="50BF15C8" w14:textId="77777777" w:rsidR="00CD3D2F" w:rsidRPr="00CD3D2F" w:rsidRDefault="00CD3D2F" w:rsidP="00CD3D2F">
      <w:pPr>
        <w:numPr>
          <w:ilvl w:val="1"/>
          <w:numId w:val="0"/>
        </w:numPr>
        <w:spacing w:after="240" w:line="480" w:lineRule="auto"/>
        <w:ind w:left="1366" w:hanging="432"/>
        <w:jc w:val="both"/>
        <w:rPr>
          <w:rFonts w:ascii="Arial" w:eastAsiaTheme="minorEastAsia" w:hAnsi="Arial" w:cs="Arial"/>
          <w:sz w:val="20"/>
        </w:rPr>
      </w:pPr>
      <w:r w:rsidRPr="00CD3D2F">
        <w:rPr>
          <w:rFonts w:ascii="Arial" w:eastAsiaTheme="minorEastAsia" w:hAnsi="Arial" w:cs="Arial"/>
          <w:b/>
          <w:sz w:val="20"/>
        </w:rPr>
        <w:t>Germany:</w:t>
      </w:r>
      <w:r w:rsidRPr="00CD3D2F">
        <w:rPr>
          <w:rFonts w:ascii="Arial" w:eastAsiaTheme="minorEastAsia" w:hAnsi="Arial" w:cs="Arial"/>
          <w:sz w:val="20"/>
        </w:rPr>
        <w:t xml:space="preserve"> Gemeinsamer Bundesausschuss (GBA) and Institut für Qualität und Wirtschaftlichkeit im Gesundheitswesenis (IQWiG)</w:t>
      </w:r>
    </w:p>
    <w:p w14:paraId="4DB388ED" w14:textId="77777777" w:rsidR="00CD3D2F" w:rsidRPr="00CD3D2F" w:rsidRDefault="00CD3D2F" w:rsidP="00CD3D2F">
      <w:pPr>
        <w:numPr>
          <w:ilvl w:val="1"/>
          <w:numId w:val="0"/>
        </w:numPr>
        <w:spacing w:after="240" w:line="480" w:lineRule="auto"/>
        <w:ind w:left="1366" w:hanging="432"/>
        <w:jc w:val="both"/>
        <w:rPr>
          <w:rFonts w:ascii="Arial" w:eastAsiaTheme="minorEastAsia" w:hAnsi="Arial" w:cs="Arial"/>
          <w:sz w:val="20"/>
        </w:rPr>
      </w:pPr>
      <w:r w:rsidRPr="00CD3D2F">
        <w:rPr>
          <w:rFonts w:ascii="Arial" w:eastAsiaTheme="minorEastAsia" w:hAnsi="Arial" w:cs="Arial"/>
          <w:b/>
          <w:sz w:val="20"/>
        </w:rPr>
        <w:t>Canada:</w:t>
      </w:r>
      <w:r w:rsidRPr="00CD3D2F">
        <w:rPr>
          <w:rFonts w:ascii="Arial" w:eastAsiaTheme="minorEastAsia" w:hAnsi="Arial" w:cs="Arial"/>
          <w:sz w:val="20"/>
        </w:rPr>
        <w:t xml:space="preserve"> Canadian Agency for Drugs and. Technologies in Health (CADTH)</w:t>
      </w:r>
    </w:p>
    <w:p w14:paraId="7B98BBD1" w14:textId="77777777" w:rsidR="00CD3D2F" w:rsidRPr="00CD3D2F" w:rsidRDefault="00CD3D2F" w:rsidP="00CD3D2F">
      <w:pPr>
        <w:numPr>
          <w:ilvl w:val="1"/>
          <w:numId w:val="0"/>
        </w:numPr>
        <w:spacing w:after="240" w:line="480" w:lineRule="auto"/>
        <w:ind w:left="1366" w:hanging="432"/>
        <w:jc w:val="both"/>
        <w:rPr>
          <w:rFonts w:ascii="Arial" w:eastAsiaTheme="minorEastAsia" w:hAnsi="Arial" w:cs="Arial"/>
          <w:sz w:val="20"/>
        </w:rPr>
      </w:pPr>
      <w:r w:rsidRPr="00CD3D2F">
        <w:rPr>
          <w:rFonts w:ascii="Arial" w:eastAsiaTheme="minorEastAsia" w:hAnsi="Arial" w:cs="Arial"/>
          <w:b/>
          <w:sz w:val="20"/>
        </w:rPr>
        <w:t>US:</w:t>
      </w:r>
      <w:r w:rsidRPr="00CD3D2F">
        <w:rPr>
          <w:rFonts w:ascii="Arial" w:eastAsiaTheme="minorEastAsia" w:hAnsi="Arial" w:cs="Arial"/>
          <w:sz w:val="20"/>
        </w:rPr>
        <w:t xml:space="preserve"> Institute for Clinical and Economic Review (ICER)</w:t>
      </w:r>
    </w:p>
    <w:p w14:paraId="2D6A4B52" w14:textId="77777777" w:rsidR="00CD3D2F" w:rsidRPr="00CD3D2F" w:rsidRDefault="00CD3D2F" w:rsidP="00CD3D2F">
      <w:pPr>
        <w:numPr>
          <w:ilvl w:val="1"/>
          <w:numId w:val="0"/>
        </w:numPr>
        <w:spacing w:after="240" w:line="480" w:lineRule="auto"/>
        <w:ind w:left="1366" w:hanging="432"/>
        <w:rPr>
          <w:rFonts w:ascii="Arial" w:eastAsiaTheme="minorEastAsia" w:hAnsi="Arial" w:cs="Arial"/>
          <w:sz w:val="20"/>
        </w:rPr>
      </w:pPr>
      <w:r w:rsidRPr="00CD3D2F">
        <w:rPr>
          <w:rFonts w:ascii="Arial" w:eastAsiaTheme="minorEastAsia" w:hAnsi="Arial" w:cs="Arial"/>
          <w:b/>
          <w:sz w:val="20"/>
        </w:rPr>
        <w:t>Australia:</w:t>
      </w:r>
      <w:r w:rsidRPr="00CD3D2F">
        <w:rPr>
          <w:rFonts w:ascii="Arial" w:eastAsiaTheme="minorEastAsia" w:hAnsi="Arial" w:cs="Arial"/>
          <w:sz w:val="20"/>
        </w:rPr>
        <w:t xml:space="preserve"> Pharmaceutical Benefits Advisory Committee (PBAC)</w:t>
      </w:r>
    </w:p>
    <w:p w14:paraId="61D84F25" w14:textId="77777777" w:rsidR="00CD3D2F" w:rsidRPr="00CD3D2F" w:rsidRDefault="00CD3D2F" w:rsidP="00CD3D2F">
      <w:pPr>
        <w:numPr>
          <w:ilvl w:val="1"/>
          <w:numId w:val="0"/>
        </w:numPr>
        <w:spacing w:after="240" w:line="480" w:lineRule="auto"/>
        <w:ind w:left="1366" w:hanging="432"/>
        <w:rPr>
          <w:rFonts w:ascii="Arial" w:eastAsiaTheme="minorEastAsia" w:hAnsi="Arial" w:cs="Arial"/>
          <w:sz w:val="20"/>
        </w:rPr>
      </w:pPr>
      <w:r w:rsidRPr="00CD3D2F">
        <w:rPr>
          <w:rFonts w:ascii="Arial" w:eastAsiaTheme="minorEastAsia" w:hAnsi="Arial" w:cs="Arial"/>
          <w:b/>
          <w:sz w:val="20"/>
        </w:rPr>
        <w:t>South Korea:</w:t>
      </w:r>
      <w:r w:rsidRPr="00CD3D2F">
        <w:rPr>
          <w:rFonts w:ascii="Arial" w:eastAsiaTheme="minorEastAsia" w:hAnsi="Arial" w:cs="Arial"/>
          <w:sz w:val="20"/>
        </w:rPr>
        <w:t xml:space="preserve"> Health Insurance Review and Assessment Service (HIRA)</w:t>
      </w:r>
    </w:p>
    <w:p w14:paraId="42612DC9" w14:textId="77777777" w:rsidR="00CD3D2F" w:rsidRPr="00CD3D2F" w:rsidRDefault="00CD3D2F" w:rsidP="00CD3D2F">
      <w:pPr>
        <w:numPr>
          <w:ilvl w:val="1"/>
          <w:numId w:val="0"/>
        </w:numPr>
        <w:spacing w:after="240" w:line="480" w:lineRule="auto"/>
        <w:ind w:left="1366" w:hanging="432"/>
        <w:rPr>
          <w:rFonts w:ascii="Arial" w:eastAsiaTheme="minorEastAsia" w:hAnsi="Arial" w:cs="Arial"/>
          <w:sz w:val="20"/>
        </w:rPr>
      </w:pPr>
      <w:r w:rsidRPr="00CD3D2F">
        <w:rPr>
          <w:rFonts w:ascii="Arial" w:eastAsiaTheme="minorEastAsia" w:hAnsi="Arial" w:cs="Arial"/>
          <w:b/>
          <w:sz w:val="20"/>
        </w:rPr>
        <w:t>Taiwan:</w:t>
      </w:r>
      <w:r w:rsidRPr="00CD3D2F">
        <w:rPr>
          <w:rFonts w:ascii="Arial" w:eastAsiaTheme="minorEastAsia" w:hAnsi="Arial" w:cs="Arial"/>
          <w:sz w:val="20"/>
        </w:rPr>
        <w:t xml:space="preserve"> Center of Drug Evaluation (CDE)</w:t>
      </w:r>
    </w:p>
    <w:p w14:paraId="25264EB7" w14:textId="77777777" w:rsidR="00CD3D2F" w:rsidRPr="00CD3D2F" w:rsidRDefault="00CD3D2F" w:rsidP="00CD3D2F">
      <w:pPr>
        <w:spacing w:before="120" w:after="120" w:line="480" w:lineRule="auto"/>
        <w:jc w:val="both"/>
        <w:rPr>
          <w:rFonts w:ascii="Arial" w:eastAsia="SimSun" w:hAnsi="Arial" w:cs="Arial"/>
        </w:rPr>
        <w:sectPr w:rsidR="00CD3D2F" w:rsidRPr="00CD3D2F" w:rsidSect="002805FB">
          <w:pgSz w:w="11906" w:h="16838" w:code="9"/>
          <w:pgMar w:top="1595" w:right="1440" w:bottom="1440" w:left="1440" w:header="720" w:footer="288" w:gutter="0"/>
          <w:cols w:space="720"/>
          <w:titlePg/>
          <w:docGrid w:linePitch="360"/>
        </w:sectPr>
      </w:pPr>
    </w:p>
    <w:p w14:paraId="49A67C06" w14:textId="77777777" w:rsidR="00CD3D2F" w:rsidRPr="00CD3D2F" w:rsidRDefault="00CD3D2F" w:rsidP="00CD3D2F">
      <w:pPr>
        <w:keepNext/>
        <w:keepLines/>
        <w:spacing w:before="240" w:after="120" w:line="480" w:lineRule="auto"/>
        <w:jc w:val="both"/>
        <w:outlineLvl w:val="0"/>
        <w:rPr>
          <w:rFonts w:ascii="Arial" w:eastAsia="MS Gothic" w:hAnsi="Arial" w:cs="Arial"/>
          <w:b/>
          <w:color w:val="272774"/>
          <w:sz w:val="32"/>
          <w:szCs w:val="32"/>
        </w:rPr>
      </w:pPr>
      <w:bookmarkStart w:id="4" w:name="_Ref52968173"/>
      <w:bookmarkStart w:id="5" w:name="_Toc65497987"/>
      <w:bookmarkStart w:id="6" w:name="_Hlk66369371"/>
      <w:r w:rsidRPr="00CD3D2F">
        <w:rPr>
          <w:rFonts w:ascii="Arial" w:eastAsia="MS Gothic" w:hAnsi="Arial" w:cs="Arial"/>
          <w:b/>
          <w:color w:val="272774"/>
          <w:sz w:val="32"/>
          <w:szCs w:val="32"/>
        </w:rPr>
        <w:lastRenderedPageBreak/>
        <w:t>Appendix 2: Inclusion/exclusion criteria</w:t>
      </w:r>
      <w:bookmarkEnd w:id="4"/>
      <w:bookmarkEnd w:id="5"/>
    </w:p>
    <w:tbl>
      <w:tblPr>
        <w:tblStyle w:val="GridTable4-Accent111"/>
        <w:tblW w:w="9058" w:type="dxa"/>
        <w:tblLook w:val="04A0" w:firstRow="1" w:lastRow="0" w:firstColumn="1" w:lastColumn="0" w:noHBand="0" w:noVBand="1"/>
      </w:tblPr>
      <w:tblGrid>
        <w:gridCol w:w="2254"/>
        <w:gridCol w:w="3402"/>
        <w:gridCol w:w="3402"/>
      </w:tblGrid>
      <w:tr w:rsidR="00CD3D2F" w:rsidRPr="00CD3D2F" w14:paraId="04B4539C" w14:textId="77777777" w:rsidTr="005A1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2F0DF34"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lastRenderedPageBreak/>
              <w:t>Category</w:t>
            </w:r>
          </w:p>
        </w:tc>
        <w:tc>
          <w:tcPr>
            <w:tcW w:w="3402" w:type="dxa"/>
          </w:tcPr>
          <w:p w14:paraId="3DAF8C62" w14:textId="77777777" w:rsidR="00CD3D2F" w:rsidRPr="00CD3D2F" w:rsidRDefault="00CD3D2F" w:rsidP="00CD3D2F">
            <w:pPr>
              <w:keepNext/>
              <w:keepLines/>
              <w:spacing w:before="120" w:after="12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Inclusion criteria</w:t>
            </w:r>
          </w:p>
        </w:tc>
        <w:tc>
          <w:tcPr>
            <w:tcW w:w="3402" w:type="dxa"/>
          </w:tcPr>
          <w:p w14:paraId="12A951D0" w14:textId="77777777" w:rsidR="00CD3D2F" w:rsidRPr="00CD3D2F" w:rsidRDefault="00CD3D2F" w:rsidP="00CD3D2F">
            <w:pPr>
              <w:keepNext/>
              <w:keepLines/>
              <w:spacing w:before="120" w:after="120"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Exclusion criteria</w:t>
            </w:r>
          </w:p>
        </w:tc>
      </w:tr>
      <w:tr w:rsidR="00CD3D2F" w:rsidRPr="00CD3D2F" w14:paraId="279864D3"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4F8403F"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t>Population</w:t>
            </w:r>
          </w:p>
        </w:tc>
        <w:tc>
          <w:tcPr>
            <w:tcW w:w="3402" w:type="dxa"/>
          </w:tcPr>
          <w:p w14:paraId="12C569AF" w14:textId="77777777" w:rsidR="00CD3D2F" w:rsidRPr="00CD3D2F" w:rsidRDefault="00CD3D2F" w:rsidP="00CD3D2F">
            <w:pPr>
              <w:spacing w:before="120" w:after="44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COVID-19 patients</w:t>
            </w:r>
          </w:p>
          <w:p w14:paraId="3A742C47"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People who are indirectly affected by COVID-19, including populations who are affected by COVID-19 prevention measures, and caregivers/carers</w:t>
            </w:r>
          </w:p>
        </w:tc>
        <w:tc>
          <w:tcPr>
            <w:tcW w:w="3402" w:type="dxa"/>
          </w:tcPr>
          <w:p w14:paraId="15D36122" w14:textId="77777777" w:rsidR="00CD3D2F" w:rsidRPr="00CD3D2F" w:rsidRDefault="00CD3D2F" w:rsidP="00CD3D2F">
            <w:pPr>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People not having received a COVID-19 diagnosis</w:t>
            </w:r>
          </w:p>
          <w:p w14:paraId="694217D0"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People or populations not affected by COVID-19 indirectly</w:t>
            </w:r>
          </w:p>
        </w:tc>
      </w:tr>
      <w:tr w:rsidR="00CD3D2F" w:rsidRPr="00CD3D2F" w14:paraId="48CC43D7" w14:textId="77777777" w:rsidTr="005A199A">
        <w:tc>
          <w:tcPr>
            <w:cnfStyle w:val="001000000000" w:firstRow="0" w:lastRow="0" w:firstColumn="1" w:lastColumn="0" w:oddVBand="0" w:evenVBand="0" w:oddHBand="0" w:evenHBand="0" w:firstRowFirstColumn="0" w:firstRowLastColumn="0" w:lastRowFirstColumn="0" w:lastRowLastColumn="0"/>
            <w:tcW w:w="2254" w:type="dxa"/>
          </w:tcPr>
          <w:p w14:paraId="1C60B976"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t>Interventions</w:t>
            </w:r>
          </w:p>
        </w:tc>
        <w:tc>
          <w:tcPr>
            <w:tcW w:w="3402" w:type="dxa"/>
          </w:tcPr>
          <w:p w14:paraId="45B7B04B" w14:textId="77777777" w:rsidR="00CD3D2F" w:rsidRPr="00CD3D2F" w:rsidRDefault="00CD3D2F" w:rsidP="00CD3D2F">
            <w:pPr>
              <w:keepNext/>
              <w:keepLines/>
              <w:spacing w:before="120" w:after="12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Strategies for prevention or control of COVID-19</w:t>
            </w:r>
          </w:p>
          <w:p w14:paraId="32F31194" w14:textId="77777777" w:rsidR="00CD3D2F" w:rsidRPr="00CD3D2F" w:rsidRDefault="00CD3D2F" w:rsidP="00CD3D2F">
            <w:pPr>
              <w:keepNext/>
              <w:keepLines/>
              <w:spacing w:before="120" w:after="120"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Treatment of COVID-19</w:t>
            </w:r>
          </w:p>
        </w:tc>
        <w:tc>
          <w:tcPr>
            <w:tcW w:w="3402" w:type="dxa"/>
          </w:tcPr>
          <w:p w14:paraId="31F6168F" w14:textId="77777777" w:rsidR="00CD3D2F" w:rsidRPr="00CD3D2F" w:rsidRDefault="00CD3D2F" w:rsidP="00CD3D2F">
            <w:pPr>
              <w:keepNext/>
              <w:keepLines/>
              <w:spacing w:before="120" w:after="120"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Interventions not for the prevention, control, or treatment of COVID-19</w:t>
            </w:r>
          </w:p>
        </w:tc>
      </w:tr>
      <w:tr w:rsidR="00CD3D2F" w:rsidRPr="00CD3D2F" w14:paraId="2117AF05"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F536B6A"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t>Comparators</w:t>
            </w:r>
          </w:p>
        </w:tc>
        <w:tc>
          <w:tcPr>
            <w:tcW w:w="3402" w:type="dxa"/>
          </w:tcPr>
          <w:p w14:paraId="1E4CB952"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No intervention, standard care or any other intervention</w:t>
            </w:r>
          </w:p>
        </w:tc>
        <w:tc>
          <w:tcPr>
            <w:tcW w:w="3402" w:type="dxa"/>
          </w:tcPr>
          <w:p w14:paraId="006E4347"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w:t>
            </w:r>
          </w:p>
        </w:tc>
      </w:tr>
      <w:tr w:rsidR="00CD3D2F" w:rsidRPr="00CD3D2F" w14:paraId="6A6B1B15" w14:textId="77777777" w:rsidTr="005A199A">
        <w:tc>
          <w:tcPr>
            <w:cnfStyle w:val="001000000000" w:firstRow="0" w:lastRow="0" w:firstColumn="1" w:lastColumn="0" w:oddVBand="0" w:evenVBand="0" w:oddHBand="0" w:evenHBand="0" w:firstRowFirstColumn="0" w:firstRowLastColumn="0" w:lastRowFirstColumn="0" w:lastRowLastColumn="0"/>
            <w:tcW w:w="2254" w:type="dxa"/>
          </w:tcPr>
          <w:p w14:paraId="24A21D73"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t>Outcomes</w:t>
            </w:r>
          </w:p>
        </w:tc>
        <w:tc>
          <w:tcPr>
            <w:tcW w:w="3402" w:type="dxa"/>
          </w:tcPr>
          <w:p w14:paraId="7A508074" w14:textId="77777777" w:rsidR="00CD3D2F" w:rsidRPr="00CD3D2F" w:rsidRDefault="00CD3D2F" w:rsidP="00CD3D2F">
            <w:pPr>
              <w:keepNext/>
              <w:keepLines/>
              <w:spacing w:before="120" w:after="120"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Resource use related to disease and the associated intervention, including but not restricted to hospital admissions, length of stay, physician visits, emergency department/accident and emergency visits and pharmacy costs</w:t>
            </w:r>
          </w:p>
          <w:p w14:paraId="7D5CE91F" w14:textId="77777777" w:rsidR="00CD3D2F" w:rsidRPr="00CD3D2F" w:rsidRDefault="00CD3D2F" w:rsidP="00CD3D2F">
            <w:pPr>
              <w:keepNext/>
              <w:keepLines/>
              <w:spacing w:before="120" w:after="120"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Cost (per health state, mean cost per patient, etc.)</w:t>
            </w:r>
          </w:p>
        </w:tc>
        <w:tc>
          <w:tcPr>
            <w:tcW w:w="3402" w:type="dxa"/>
          </w:tcPr>
          <w:p w14:paraId="70683FF9" w14:textId="77777777" w:rsidR="00CD3D2F" w:rsidRPr="00CD3D2F" w:rsidRDefault="00CD3D2F" w:rsidP="00CD3D2F">
            <w:pPr>
              <w:keepNext/>
              <w:keepLines/>
              <w:spacing w:before="120" w:after="120"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 xml:space="preserve">No relevant outcomes </w:t>
            </w:r>
          </w:p>
        </w:tc>
      </w:tr>
      <w:tr w:rsidR="00CD3D2F" w:rsidRPr="00CD3D2F" w14:paraId="4A7AD9D8"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9FAD690"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lastRenderedPageBreak/>
              <w:t>Study type</w:t>
            </w:r>
          </w:p>
        </w:tc>
        <w:tc>
          <w:tcPr>
            <w:tcW w:w="3402" w:type="dxa"/>
          </w:tcPr>
          <w:p w14:paraId="1706154D"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Observation studies, SLRs and NMAs</w:t>
            </w:r>
          </w:p>
        </w:tc>
        <w:tc>
          <w:tcPr>
            <w:tcW w:w="3402" w:type="dxa"/>
          </w:tcPr>
          <w:p w14:paraId="5F6BED48"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Case studies/reports, RCTs</w:t>
            </w:r>
          </w:p>
        </w:tc>
      </w:tr>
      <w:tr w:rsidR="00CD3D2F" w:rsidRPr="00CD3D2F" w14:paraId="4FD718F2" w14:textId="77777777" w:rsidTr="005A199A">
        <w:tc>
          <w:tcPr>
            <w:cnfStyle w:val="001000000000" w:firstRow="0" w:lastRow="0" w:firstColumn="1" w:lastColumn="0" w:oddVBand="0" w:evenVBand="0" w:oddHBand="0" w:evenHBand="0" w:firstRowFirstColumn="0" w:firstRowLastColumn="0" w:lastRowFirstColumn="0" w:lastRowLastColumn="0"/>
            <w:tcW w:w="2254" w:type="dxa"/>
          </w:tcPr>
          <w:p w14:paraId="66040284"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t>Language</w:t>
            </w:r>
          </w:p>
        </w:tc>
        <w:tc>
          <w:tcPr>
            <w:tcW w:w="3402" w:type="dxa"/>
          </w:tcPr>
          <w:p w14:paraId="42E173FE" w14:textId="77777777" w:rsidR="00CD3D2F" w:rsidRPr="00CD3D2F" w:rsidRDefault="00CD3D2F" w:rsidP="00CD3D2F">
            <w:pPr>
              <w:keepNext/>
              <w:keepLines/>
              <w:spacing w:before="120" w:after="120" w:line="48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No restrictions</w:t>
            </w:r>
          </w:p>
        </w:tc>
        <w:tc>
          <w:tcPr>
            <w:tcW w:w="3402" w:type="dxa"/>
          </w:tcPr>
          <w:p w14:paraId="5E2BC2A5" w14:textId="77777777" w:rsidR="00CD3D2F" w:rsidRPr="00CD3D2F" w:rsidRDefault="00CD3D2F" w:rsidP="00CD3D2F">
            <w:pPr>
              <w:keepNext/>
              <w:keepLines/>
              <w:spacing w:before="120" w:after="120"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CD3D2F">
              <w:rPr>
                <w:rFonts w:ascii="Arial" w:hAnsi="Arial" w:cs="Arial"/>
              </w:rPr>
              <w:t>-</w:t>
            </w:r>
          </w:p>
        </w:tc>
      </w:tr>
      <w:tr w:rsidR="00CD3D2F" w:rsidRPr="00CD3D2F" w14:paraId="0E0F60F6" w14:textId="77777777" w:rsidTr="005A1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9E4D010" w14:textId="77777777" w:rsidR="00CD3D2F" w:rsidRPr="00CD3D2F" w:rsidRDefault="00CD3D2F" w:rsidP="00CD3D2F">
            <w:pPr>
              <w:keepNext/>
              <w:keepLines/>
              <w:spacing w:before="120" w:after="120" w:line="480" w:lineRule="auto"/>
              <w:jc w:val="both"/>
              <w:rPr>
                <w:rFonts w:ascii="Arial" w:hAnsi="Arial" w:cs="Arial"/>
              </w:rPr>
            </w:pPr>
            <w:r w:rsidRPr="00CD3D2F">
              <w:rPr>
                <w:rFonts w:ascii="Arial" w:hAnsi="Arial" w:cs="Arial"/>
              </w:rPr>
              <w:t>Publication year</w:t>
            </w:r>
          </w:p>
        </w:tc>
        <w:tc>
          <w:tcPr>
            <w:tcW w:w="3402" w:type="dxa"/>
          </w:tcPr>
          <w:p w14:paraId="2A0EA89E" w14:textId="77777777" w:rsidR="00CD3D2F" w:rsidRPr="00CD3D2F" w:rsidRDefault="00CD3D2F" w:rsidP="00CD3D2F">
            <w:pPr>
              <w:keepNext/>
              <w:keepLines/>
              <w:spacing w:before="120" w:after="120" w:line="48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No restrictions</w:t>
            </w:r>
          </w:p>
        </w:tc>
        <w:tc>
          <w:tcPr>
            <w:tcW w:w="3402" w:type="dxa"/>
          </w:tcPr>
          <w:p w14:paraId="0F676EB9" w14:textId="77777777" w:rsidR="00CD3D2F" w:rsidRPr="00CD3D2F" w:rsidRDefault="00CD3D2F" w:rsidP="00CD3D2F">
            <w:pPr>
              <w:keepNext/>
              <w:keepLines/>
              <w:spacing w:before="120" w:after="12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CD3D2F">
              <w:rPr>
                <w:rFonts w:ascii="Arial" w:hAnsi="Arial" w:cs="Arial"/>
              </w:rPr>
              <w:t>-</w:t>
            </w:r>
          </w:p>
        </w:tc>
      </w:tr>
    </w:tbl>
    <w:p w14:paraId="7F078838" w14:textId="77777777" w:rsidR="00CD3D2F" w:rsidRPr="00CD3D2F" w:rsidRDefault="00CD3D2F" w:rsidP="00CD3D2F">
      <w:pPr>
        <w:spacing w:before="120" w:after="120" w:line="480" w:lineRule="auto"/>
        <w:jc w:val="both"/>
        <w:rPr>
          <w:rFonts w:ascii="Arial" w:eastAsia="SimSun" w:hAnsi="Arial" w:cs="Arial"/>
          <w:color w:val="000000"/>
          <w:sz w:val="20"/>
          <w:szCs w:val="20"/>
        </w:rPr>
        <w:sectPr w:rsidR="00CD3D2F" w:rsidRPr="00CD3D2F" w:rsidSect="002805FB">
          <w:pgSz w:w="11906" w:h="16838" w:code="9"/>
          <w:pgMar w:top="1595" w:right="1440" w:bottom="1440" w:left="1440" w:header="720" w:footer="288" w:gutter="0"/>
          <w:cols w:space="720"/>
          <w:titlePg/>
          <w:docGrid w:linePitch="360"/>
        </w:sectPr>
      </w:pPr>
    </w:p>
    <w:bookmarkEnd w:id="6"/>
    <w:p w14:paraId="5F01B7CA" w14:textId="77777777" w:rsidR="00CD3D2F" w:rsidRPr="00CD3D2F" w:rsidRDefault="00CD3D2F" w:rsidP="00CD3D2F">
      <w:pPr>
        <w:spacing w:after="120" w:line="480" w:lineRule="auto"/>
        <w:jc w:val="both"/>
        <w:rPr>
          <w:rFonts w:ascii="Arial" w:eastAsia="SimSun" w:hAnsi="Arial" w:cs="Arial"/>
          <w:sz w:val="18"/>
        </w:rPr>
        <w:sectPr w:rsidR="00CD3D2F" w:rsidRPr="00CD3D2F" w:rsidSect="002805FB">
          <w:pgSz w:w="11906" w:h="16838" w:code="9"/>
          <w:pgMar w:top="1595" w:right="1440" w:bottom="1440" w:left="1440" w:header="720" w:footer="288" w:gutter="0"/>
          <w:cols w:space="720"/>
          <w:titlePg/>
          <w:docGrid w:linePitch="360"/>
        </w:sectPr>
      </w:pPr>
    </w:p>
    <w:p w14:paraId="5FF4AC81" w14:textId="77777777" w:rsidR="00CD3D2F" w:rsidRPr="00CD3D2F" w:rsidRDefault="00CD3D2F" w:rsidP="00CD3D2F">
      <w:pPr>
        <w:keepNext/>
        <w:keepLines/>
        <w:spacing w:before="240" w:after="120" w:line="480" w:lineRule="auto"/>
        <w:jc w:val="both"/>
        <w:outlineLvl w:val="0"/>
        <w:rPr>
          <w:rFonts w:ascii="Arial" w:eastAsia="MS Gothic" w:hAnsi="Arial" w:cs="Arial"/>
          <w:b/>
          <w:color w:val="272774"/>
          <w:sz w:val="32"/>
          <w:szCs w:val="32"/>
        </w:rPr>
      </w:pPr>
      <w:bookmarkStart w:id="7" w:name="_Ref65488960"/>
      <w:bookmarkStart w:id="8" w:name="_Toc65497989"/>
      <w:bookmarkStart w:id="9" w:name="_Hlk66369758"/>
      <w:r w:rsidRPr="00CD3D2F">
        <w:rPr>
          <w:rFonts w:ascii="Arial" w:eastAsia="MS Gothic" w:hAnsi="Arial" w:cs="Arial"/>
          <w:b/>
          <w:color w:val="272774"/>
          <w:sz w:val="32"/>
          <w:szCs w:val="32"/>
        </w:rPr>
        <w:lastRenderedPageBreak/>
        <w:t>Appendix 3: Excluded studies</w:t>
      </w:r>
      <w:bookmarkEnd w:id="7"/>
      <w:bookmarkEnd w:id="8"/>
      <w:r w:rsidRPr="00CD3D2F">
        <w:rPr>
          <w:rFonts w:ascii="Arial" w:eastAsia="MS Gothic" w:hAnsi="Arial" w:cs="Arial"/>
          <w:b/>
          <w:color w:val="272774"/>
          <w:sz w:val="32"/>
          <w:szCs w:val="32"/>
        </w:rPr>
        <w:t xml:space="preserve"> </w:t>
      </w:r>
    </w:p>
    <w:tbl>
      <w:tblPr>
        <w:tblStyle w:val="GridTable4-Accent1"/>
        <w:tblW w:w="8954" w:type="dxa"/>
        <w:tblLook w:val="06A0" w:firstRow="1" w:lastRow="0" w:firstColumn="1" w:lastColumn="0" w:noHBand="1" w:noVBand="1"/>
      </w:tblPr>
      <w:tblGrid>
        <w:gridCol w:w="575"/>
        <w:gridCol w:w="6508"/>
        <w:gridCol w:w="1871"/>
      </w:tblGrid>
      <w:tr w:rsidR="00CD3D2F" w:rsidRPr="00CD3D2F" w14:paraId="6E006C44" w14:textId="77777777" w:rsidTr="005A19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75" w:type="dxa"/>
            <w:noWrap/>
            <w:vAlign w:val="center"/>
          </w:tcPr>
          <w:p w14:paraId="488AAED3" w14:textId="77777777" w:rsidR="00CD3D2F" w:rsidRPr="00CD3D2F" w:rsidRDefault="00CD3D2F" w:rsidP="00CD3D2F">
            <w:pPr>
              <w:spacing w:line="480" w:lineRule="auto"/>
              <w:rPr>
                <w:rFonts w:ascii="Arial" w:eastAsia="Times New Roman" w:hAnsi="Arial" w:cs="Arial"/>
                <w:sz w:val="20"/>
                <w:szCs w:val="20"/>
              </w:rPr>
            </w:pPr>
            <w:r w:rsidRPr="00CD3D2F">
              <w:rPr>
                <w:rFonts w:ascii="Arial" w:eastAsia="Times New Roman" w:hAnsi="Arial" w:cs="Arial"/>
                <w:sz w:val="20"/>
                <w:szCs w:val="20"/>
              </w:rPr>
              <w:t>#</w:t>
            </w:r>
          </w:p>
        </w:tc>
        <w:tc>
          <w:tcPr>
            <w:tcW w:w="6508" w:type="dxa"/>
            <w:noWrap/>
            <w:vAlign w:val="center"/>
          </w:tcPr>
          <w:p w14:paraId="0B61A5F4" w14:textId="77777777" w:rsidR="00CD3D2F" w:rsidRPr="00CD3D2F" w:rsidRDefault="00CD3D2F" w:rsidP="00CD3D2F">
            <w:pPr>
              <w:spacing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D3D2F">
              <w:rPr>
                <w:rFonts w:ascii="Arial" w:eastAsia="Times New Roman" w:hAnsi="Arial" w:cs="Arial"/>
                <w:sz w:val="20"/>
                <w:szCs w:val="20"/>
              </w:rPr>
              <w:t>Citation</w:t>
            </w:r>
          </w:p>
        </w:tc>
        <w:tc>
          <w:tcPr>
            <w:tcW w:w="1871" w:type="dxa"/>
            <w:noWrap/>
            <w:vAlign w:val="center"/>
          </w:tcPr>
          <w:p w14:paraId="3C283830" w14:textId="77777777" w:rsidR="00CD3D2F" w:rsidRPr="00CD3D2F" w:rsidRDefault="00CD3D2F" w:rsidP="00CD3D2F">
            <w:pPr>
              <w:spacing w:line="48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D3D2F">
              <w:rPr>
                <w:rFonts w:ascii="Arial" w:eastAsia="Times New Roman" w:hAnsi="Arial" w:cs="Arial"/>
                <w:sz w:val="20"/>
                <w:szCs w:val="20"/>
              </w:rPr>
              <w:t>Reason</w:t>
            </w:r>
          </w:p>
        </w:tc>
      </w:tr>
      <w:tr w:rsidR="00CD3D2F" w:rsidRPr="00CD3D2F" w14:paraId="42E8B4B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1465CF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w:t>
            </w:r>
          </w:p>
        </w:tc>
        <w:tc>
          <w:tcPr>
            <w:tcW w:w="6508" w:type="dxa"/>
            <w:noWrap/>
            <w:vAlign w:val="center"/>
            <w:hideMark/>
          </w:tcPr>
          <w:p w14:paraId="23688DA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Bartsch S. M.;Ferguson M. C.;McKinnell J. A.;O'Shea K. J.;Wedlock P. T.;Siegmund S. S., et al.. The potential health care costs and resource use associated with COVID-19 in the United States</w:t>
            </w:r>
          </w:p>
        </w:tc>
        <w:tc>
          <w:tcPr>
            <w:tcW w:w="1871" w:type="dxa"/>
            <w:noWrap/>
            <w:vAlign w:val="center"/>
            <w:hideMark/>
          </w:tcPr>
          <w:p w14:paraId="7D0EFC0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study type of interest</w:t>
            </w:r>
          </w:p>
        </w:tc>
      </w:tr>
      <w:tr w:rsidR="00CD3D2F" w:rsidRPr="00CD3D2F" w14:paraId="71BDA45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469FEF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w:t>
            </w:r>
          </w:p>
        </w:tc>
        <w:tc>
          <w:tcPr>
            <w:tcW w:w="6508" w:type="dxa"/>
            <w:noWrap/>
            <w:vAlign w:val="center"/>
            <w:hideMark/>
          </w:tcPr>
          <w:p w14:paraId="21680B5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Walzer S.;Vollmer L.;Krenberger S.. </w:t>
            </w:r>
            <w:r w:rsidRPr="00CD3D2F">
              <w:rPr>
                <w:rFonts w:ascii="Arial" w:hAnsi="Arial" w:cs="Arial"/>
                <w:color w:val="000000"/>
                <w:sz w:val="16"/>
                <w:szCs w:val="16"/>
              </w:rPr>
              <w:t>PIN123 How Much Will the COVID-19 Outbreak Have Cost the German Health Care System in the First Months Since the Outbreak?</w:t>
            </w:r>
          </w:p>
        </w:tc>
        <w:tc>
          <w:tcPr>
            <w:tcW w:w="1871" w:type="dxa"/>
            <w:noWrap/>
            <w:vAlign w:val="center"/>
            <w:hideMark/>
          </w:tcPr>
          <w:p w14:paraId="2F8739B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study type of interest</w:t>
            </w:r>
          </w:p>
        </w:tc>
      </w:tr>
      <w:tr w:rsidR="00CD3D2F" w:rsidRPr="00CD3D2F" w14:paraId="0EA22922"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356009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w:t>
            </w:r>
          </w:p>
        </w:tc>
        <w:tc>
          <w:tcPr>
            <w:tcW w:w="6508" w:type="dxa"/>
            <w:noWrap/>
            <w:vAlign w:val="center"/>
            <w:hideMark/>
          </w:tcPr>
          <w:p w14:paraId="65622F4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Schoeneberg C.;Eschbach D. A.;Friess T.;Lendemans S.;Hoefer C.;Ruchholtz S.. Effect of the COVID-19 Pandemic in German Trauma Centres and Geriatric Trauma Centres DGU</w:t>
            </w:r>
          </w:p>
        </w:tc>
        <w:tc>
          <w:tcPr>
            <w:tcW w:w="1871" w:type="dxa"/>
            <w:noWrap/>
            <w:vAlign w:val="center"/>
            <w:hideMark/>
          </w:tcPr>
          <w:p w14:paraId="02BC58A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4C4C944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E10B9B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w:t>
            </w:r>
          </w:p>
        </w:tc>
        <w:tc>
          <w:tcPr>
            <w:tcW w:w="6508" w:type="dxa"/>
            <w:noWrap/>
            <w:vAlign w:val="center"/>
            <w:hideMark/>
          </w:tcPr>
          <w:p w14:paraId="62B2AE4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Lloyd P.;Dixon R.. Modelling the Spread of the Coronavirus: A View from Economics</w:t>
            </w:r>
          </w:p>
        </w:tc>
        <w:tc>
          <w:tcPr>
            <w:tcW w:w="1871" w:type="dxa"/>
            <w:noWrap/>
            <w:vAlign w:val="center"/>
            <w:hideMark/>
          </w:tcPr>
          <w:p w14:paraId="7BD5989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AA48C8C"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0E2431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w:t>
            </w:r>
          </w:p>
        </w:tc>
        <w:tc>
          <w:tcPr>
            <w:tcW w:w="6508" w:type="dxa"/>
            <w:noWrap/>
            <w:vAlign w:val="center"/>
            <w:hideMark/>
          </w:tcPr>
          <w:p w14:paraId="7334792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Babajanyan S. G.;Cheong K. H.. Age-structured SIR model and resource growth dynamics: a COVID-19 study</w:t>
            </w:r>
          </w:p>
        </w:tc>
        <w:tc>
          <w:tcPr>
            <w:tcW w:w="1871" w:type="dxa"/>
            <w:noWrap/>
            <w:vAlign w:val="center"/>
            <w:hideMark/>
          </w:tcPr>
          <w:p w14:paraId="3F18EF6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study type of interest</w:t>
            </w:r>
          </w:p>
        </w:tc>
      </w:tr>
      <w:tr w:rsidR="00CD3D2F" w:rsidRPr="00CD3D2F" w14:paraId="1FB1590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5B099B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w:t>
            </w:r>
          </w:p>
        </w:tc>
        <w:tc>
          <w:tcPr>
            <w:tcW w:w="6508" w:type="dxa"/>
            <w:noWrap/>
            <w:vAlign w:val="center"/>
            <w:hideMark/>
          </w:tcPr>
          <w:p w14:paraId="73051C6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Lai C. C.;Hsu C. Y.;Jen H. H.;Yen A. M.;Chan C. C.;Chen H. H.. The Bayesian Susceptible-Exposed-Infected-Recovered model for the outbreak of COVID-19 on the Diamond Princess Cruise Ship</w:t>
            </w:r>
          </w:p>
        </w:tc>
        <w:tc>
          <w:tcPr>
            <w:tcW w:w="1871" w:type="dxa"/>
            <w:noWrap/>
            <w:vAlign w:val="center"/>
            <w:hideMark/>
          </w:tcPr>
          <w:p w14:paraId="261F73F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5EE184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1B00F4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w:t>
            </w:r>
          </w:p>
        </w:tc>
        <w:tc>
          <w:tcPr>
            <w:tcW w:w="6508" w:type="dxa"/>
            <w:noWrap/>
            <w:vAlign w:val="center"/>
            <w:hideMark/>
          </w:tcPr>
          <w:p w14:paraId="0A47963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Andreata M.;Faraldi M.;Bucci E.;Lombardi G.;Zagra L.. Operating room efficiency and timing during coronavirus disease 2019 outbreak in a referral orthopaedic hospital in Northern Italy</w:t>
            </w:r>
          </w:p>
        </w:tc>
        <w:tc>
          <w:tcPr>
            <w:tcW w:w="1871" w:type="dxa"/>
            <w:noWrap/>
            <w:vAlign w:val="center"/>
            <w:hideMark/>
          </w:tcPr>
          <w:p w14:paraId="775AEAC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C3DAA37"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A2748C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w:t>
            </w:r>
          </w:p>
        </w:tc>
        <w:tc>
          <w:tcPr>
            <w:tcW w:w="6508" w:type="dxa"/>
            <w:noWrap/>
            <w:vAlign w:val="center"/>
            <w:hideMark/>
          </w:tcPr>
          <w:p w14:paraId="601F7EB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GutiÃ©rrez-GutiÃ©rrez B.;Del Toro M. D.;Borobia A. M.;Carcas A.;JarrÃ</w:t>
            </w:r>
            <w:r w:rsidRPr="00CD3D2F">
              <w:rPr>
                <w:rFonts w:ascii="Arial" w:hAnsi="Arial" w:cs="Arial"/>
                <w:color w:val="000000"/>
                <w:sz w:val="16"/>
                <w:szCs w:val="16"/>
              </w:rPr>
              <w:softHyphen/>
              <w:t>n I.;Yllescas M., et al.. Identification and validation of clinical phenotypes with prognostic implications in patients admitted to hospital with COVID-19: a multicentre cohort study</w:t>
            </w:r>
          </w:p>
        </w:tc>
        <w:tc>
          <w:tcPr>
            <w:tcW w:w="1871" w:type="dxa"/>
            <w:noWrap/>
            <w:vAlign w:val="center"/>
            <w:hideMark/>
          </w:tcPr>
          <w:p w14:paraId="334D017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08CAF7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4B7C91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w:t>
            </w:r>
          </w:p>
        </w:tc>
        <w:tc>
          <w:tcPr>
            <w:tcW w:w="6508" w:type="dxa"/>
            <w:noWrap/>
            <w:vAlign w:val="center"/>
            <w:hideMark/>
          </w:tcPr>
          <w:p w14:paraId="29AB1BC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Patt D.;Gordan L.;Diaz M.;Okon T.;Grady L.;Harmison M., et al.. </w:t>
            </w:r>
            <w:r w:rsidRPr="00CD3D2F">
              <w:rPr>
                <w:rFonts w:ascii="Arial" w:hAnsi="Arial" w:cs="Arial"/>
                <w:color w:val="000000"/>
                <w:sz w:val="16"/>
                <w:szCs w:val="16"/>
              </w:rPr>
              <w:t>Impact of COVID-19 on cancer care: How the pandemic is delaying cancer diagnosis and treatment for American seniors</w:t>
            </w:r>
          </w:p>
        </w:tc>
        <w:tc>
          <w:tcPr>
            <w:tcW w:w="1871" w:type="dxa"/>
            <w:noWrap/>
            <w:vAlign w:val="center"/>
            <w:hideMark/>
          </w:tcPr>
          <w:p w14:paraId="24565F2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19537C8"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03505D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10</w:t>
            </w:r>
          </w:p>
        </w:tc>
        <w:tc>
          <w:tcPr>
            <w:tcW w:w="6508" w:type="dxa"/>
            <w:noWrap/>
            <w:vAlign w:val="center"/>
            <w:hideMark/>
          </w:tcPr>
          <w:p w14:paraId="1D2E8C4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Lassale C.;Hamer M.;HernÃ¡ez Ã;Gale C. R.;Batty G. D.. High density lipoprotein cholesterol and risk of subsequent COVID-19 hospitalisation: the UK Biobank study</w:t>
            </w:r>
          </w:p>
        </w:tc>
        <w:tc>
          <w:tcPr>
            <w:tcW w:w="1871" w:type="dxa"/>
            <w:noWrap/>
            <w:vAlign w:val="center"/>
            <w:hideMark/>
          </w:tcPr>
          <w:p w14:paraId="1DC88B5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09D2F1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489C49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11</w:t>
            </w:r>
          </w:p>
        </w:tc>
        <w:tc>
          <w:tcPr>
            <w:tcW w:w="6508" w:type="dxa"/>
            <w:noWrap/>
            <w:vAlign w:val="center"/>
            <w:hideMark/>
          </w:tcPr>
          <w:p w14:paraId="7447423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Martei Y. M.;Rick T. J.;Fadelu T.;Ezzi M. S.;Hammad N.;Quadri N. S., et al.. Impact of COVID-19 on cancer care delivery Africa: A cross-sectional survey of oncology providers in Africa</w:t>
            </w:r>
          </w:p>
        </w:tc>
        <w:tc>
          <w:tcPr>
            <w:tcW w:w="1871" w:type="dxa"/>
            <w:noWrap/>
            <w:vAlign w:val="center"/>
            <w:hideMark/>
          </w:tcPr>
          <w:p w14:paraId="6CC36F9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426CD6E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924CF4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12</w:t>
            </w:r>
          </w:p>
        </w:tc>
        <w:tc>
          <w:tcPr>
            <w:tcW w:w="6508" w:type="dxa"/>
            <w:noWrap/>
            <w:vAlign w:val="center"/>
            <w:hideMark/>
          </w:tcPr>
          <w:p w14:paraId="2431115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Rezel-Potts E.;L'Esperance V.;Gullifiord M.. Antimicrobial stewardship during the COVID-19 epidemic: population-based cohort study and interrupted time series analysis in the United Kingdom</w:t>
            </w:r>
          </w:p>
        </w:tc>
        <w:tc>
          <w:tcPr>
            <w:tcW w:w="1871" w:type="dxa"/>
            <w:noWrap/>
            <w:vAlign w:val="center"/>
            <w:hideMark/>
          </w:tcPr>
          <w:p w14:paraId="0974019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51E6EF78"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47DB48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13</w:t>
            </w:r>
          </w:p>
        </w:tc>
        <w:tc>
          <w:tcPr>
            <w:tcW w:w="6508" w:type="dxa"/>
            <w:noWrap/>
            <w:vAlign w:val="center"/>
            <w:hideMark/>
          </w:tcPr>
          <w:p w14:paraId="4583CA5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Berlin A.;Lovas M.;Truong T.;Melwani S.;Liu J.;Liu Z. A., et al.. Implementation and Outcomes of Virtual Care across a Tertiary Cancer Center during COVID-19</w:t>
            </w:r>
          </w:p>
        </w:tc>
        <w:tc>
          <w:tcPr>
            <w:tcW w:w="1871" w:type="dxa"/>
            <w:noWrap/>
            <w:vAlign w:val="center"/>
            <w:hideMark/>
          </w:tcPr>
          <w:p w14:paraId="6BF5DB3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4A675E36"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37DB46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14</w:t>
            </w:r>
          </w:p>
        </w:tc>
        <w:tc>
          <w:tcPr>
            <w:tcW w:w="6508" w:type="dxa"/>
            <w:noWrap/>
            <w:vAlign w:val="center"/>
            <w:hideMark/>
          </w:tcPr>
          <w:p w14:paraId="287F674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Datta P.;Barrett W.;Bentzinger M.;Jasinski T.;Jayagopal L. A.;Mahoney A., et al.. Ambulatory care for epilepsy via telemedicine during the COVID-19 pandemic</w:t>
            </w:r>
          </w:p>
        </w:tc>
        <w:tc>
          <w:tcPr>
            <w:tcW w:w="1871" w:type="dxa"/>
            <w:noWrap/>
            <w:vAlign w:val="center"/>
            <w:hideMark/>
          </w:tcPr>
          <w:p w14:paraId="3AAAED8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728B12F2"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A96155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15</w:t>
            </w:r>
          </w:p>
        </w:tc>
        <w:tc>
          <w:tcPr>
            <w:tcW w:w="6508" w:type="dxa"/>
            <w:noWrap/>
            <w:vAlign w:val="center"/>
            <w:hideMark/>
          </w:tcPr>
          <w:p w14:paraId="6ABE38C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Singh J.;Green M. B.;Lindblom S.;Reif M. S.;Thakkar N. P.;Papali A.. Telecritical Care Clinical and Operational Strategies in Response to COVID-19</w:t>
            </w:r>
          </w:p>
        </w:tc>
        <w:tc>
          <w:tcPr>
            <w:tcW w:w="1871" w:type="dxa"/>
            <w:noWrap/>
            <w:vAlign w:val="center"/>
            <w:hideMark/>
          </w:tcPr>
          <w:p w14:paraId="1E95C3F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A593ADB"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C62CDA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16</w:t>
            </w:r>
          </w:p>
        </w:tc>
        <w:tc>
          <w:tcPr>
            <w:tcW w:w="6508" w:type="dxa"/>
            <w:noWrap/>
            <w:vAlign w:val="center"/>
            <w:hideMark/>
          </w:tcPr>
          <w:p w14:paraId="5578E76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He J.;Yang L.;Tao Z.;Yang J.;Zhou Y.;Wang R., et al.. </w:t>
            </w:r>
            <w:r w:rsidRPr="00CD3D2F">
              <w:rPr>
                <w:rFonts w:ascii="Arial" w:hAnsi="Arial" w:cs="Arial"/>
                <w:color w:val="000000"/>
                <w:sz w:val="16"/>
                <w:szCs w:val="16"/>
              </w:rPr>
              <w:t>Impact of the 2019 novel coronavirus disease (Covid-19) epidemic on radiotherapy-treated patients with cancer: A single-center descriptive study</w:t>
            </w:r>
          </w:p>
        </w:tc>
        <w:tc>
          <w:tcPr>
            <w:tcW w:w="1871" w:type="dxa"/>
            <w:noWrap/>
            <w:vAlign w:val="center"/>
            <w:hideMark/>
          </w:tcPr>
          <w:p w14:paraId="1A52ECF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DE9DE6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C33EB2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17</w:t>
            </w:r>
          </w:p>
        </w:tc>
        <w:tc>
          <w:tcPr>
            <w:tcW w:w="6508" w:type="dxa"/>
            <w:noWrap/>
            <w:vAlign w:val="center"/>
            <w:hideMark/>
          </w:tcPr>
          <w:p w14:paraId="7ED214D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Nowak D.;Ochmann U.;Brandenburg S.;Nienhaus A.;Woltjen M.. </w:t>
            </w:r>
            <w:r w:rsidRPr="00CD3D2F">
              <w:rPr>
                <w:rFonts w:ascii="Arial" w:hAnsi="Arial" w:cs="Arial"/>
                <w:color w:val="000000"/>
                <w:sz w:val="16"/>
                <w:szCs w:val="16"/>
              </w:rPr>
              <w:t>COVID-19 as an occupational disease or work-related accident: Considerations regarding insurance cover and reporting obligation in the statutory accident insurance</w:t>
            </w:r>
          </w:p>
        </w:tc>
        <w:tc>
          <w:tcPr>
            <w:tcW w:w="1871" w:type="dxa"/>
            <w:noWrap/>
            <w:vAlign w:val="center"/>
            <w:hideMark/>
          </w:tcPr>
          <w:p w14:paraId="5C770AE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4478F7B5"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0065F9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18</w:t>
            </w:r>
          </w:p>
        </w:tc>
        <w:tc>
          <w:tcPr>
            <w:tcW w:w="6508" w:type="dxa"/>
            <w:noWrap/>
            <w:vAlign w:val="center"/>
            <w:hideMark/>
          </w:tcPr>
          <w:p w14:paraId="3F8D66C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themeColor="text1"/>
                <w:sz w:val="16"/>
                <w:szCs w:val="16"/>
              </w:rPr>
              <w:t>Marin-Gomez F. X.;FÃ bregas-Escurriola M.;SeguÃ F. L.;PÃ©rez E. H.;Camps M. B.;PeÃ±a J. M., et al.. Assessing the likelihood of contracting COVID-19 disease based on a predictive tree model: A retrospective cohort study</w:t>
            </w:r>
          </w:p>
        </w:tc>
        <w:tc>
          <w:tcPr>
            <w:tcW w:w="1871" w:type="dxa"/>
            <w:noWrap/>
            <w:vAlign w:val="center"/>
            <w:hideMark/>
          </w:tcPr>
          <w:p w14:paraId="2EAD2BE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F77BA3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FC3B19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19</w:t>
            </w:r>
          </w:p>
        </w:tc>
        <w:tc>
          <w:tcPr>
            <w:tcW w:w="6508" w:type="dxa"/>
            <w:noWrap/>
            <w:vAlign w:val="center"/>
            <w:hideMark/>
          </w:tcPr>
          <w:p w14:paraId="4181021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Adam E. H.;Flinspach A. N.;Jankovic R.;De Hert S.;Zacharowski K.. Treating patients across European Union borders: An international survey in light of the coronavirus disease-19 pandemic</w:t>
            </w:r>
          </w:p>
        </w:tc>
        <w:tc>
          <w:tcPr>
            <w:tcW w:w="1871" w:type="dxa"/>
            <w:noWrap/>
            <w:vAlign w:val="center"/>
            <w:hideMark/>
          </w:tcPr>
          <w:p w14:paraId="0D3904B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41266C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F2F13D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20</w:t>
            </w:r>
          </w:p>
        </w:tc>
        <w:tc>
          <w:tcPr>
            <w:tcW w:w="6508" w:type="dxa"/>
            <w:noWrap/>
            <w:vAlign w:val="center"/>
            <w:hideMark/>
          </w:tcPr>
          <w:p w14:paraId="1C17F1E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Nairz M.;Bellmann-Weiler R.;LadstÃ¤tter M.;SchÃ¼llner F.;Zimmermann M.;Koller A. M., et al.. </w:t>
            </w:r>
            <w:r w:rsidRPr="00CD3D2F">
              <w:rPr>
                <w:rFonts w:ascii="Arial" w:hAnsi="Arial" w:cs="Arial"/>
                <w:color w:val="000000"/>
                <w:sz w:val="16"/>
                <w:szCs w:val="16"/>
              </w:rPr>
              <w:t>Overcoming limitations in the availability of swabs systems used for SARS-CoV-2 laboratory diagnostics</w:t>
            </w:r>
          </w:p>
        </w:tc>
        <w:tc>
          <w:tcPr>
            <w:tcW w:w="1871" w:type="dxa"/>
            <w:noWrap/>
            <w:vAlign w:val="center"/>
            <w:hideMark/>
          </w:tcPr>
          <w:p w14:paraId="5DA6D3A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8AA99A7"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0FD306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21</w:t>
            </w:r>
          </w:p>
        </w:tc>
        <w:tc>
          <w:tcPr>
            <w:tcW w:w="6508" w:type="dxa"/>
            <w:noWrap/>
            <w:vAlign w:val="center"/>
            <w:hideMark/>
          </w:tcPr>
          <w:p w14:paraId="7C3729B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Purtle J.;Joshi R.;LÃŠ-Scherban F.;Henson R. M.;Diez Roux A. V.. Linking Data on Constituent Health with Elected Officials' Opinions: Associations Between Urban Health Disparities and Mayoral Officials' Beliefs About Health Disparities in Their Cities</w:t>
            </w:r>
          </w:p>
        </w:tc>
        <w:tc>
          <w:tcPr>
            <w:tcW w:w="1871" w:type="dxa"/>
            <w:noWrap/>
            <w:vAlign w:val="center"/>
            <w:hideMark/>
          </w:tcPr>
          <w:p w14:paraId="6B48888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4D928F1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3D58A30"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22</w:t>
            </w:r>
          </w:p>
        </w:tc>
        <w:tc>
          <w:tcPr>
            <w:tcW w:w="6508" w:type="dxa"/>
            <w:noWrap/>
            <w:vAlign w:val="center"/>
            <w:hideMark/>
          </w:tcPr>
          <w:p w14:paraId="52232A3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Briggs D. C.;Numbere T. W.. Covid-19 and the Nigerian child: The time to act is now</w:t>
            </w:r>
          </w:p>
        </w:tc>
        <w:tc>
          <w:tcPr>
            <w:tcW w:w="1871" w:type="dxa"/>
            <w:noWrap/>
            <w:vAlign w:val="center"/>
            <w:hideMark/>
          </w:tcPr>
          <w:p w14:paraId="2A16F3C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study type of interest</w:t>
            </w:r>
          </w:p>
        </w:tc>
      </w:tr>
      <w:tr w:rsidR="00CD3D2F" w:rsidRPr="00CD3D2F" w14:paraId="299C5DD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A88BDAD"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23</w:t>
            </w:r>
          </w:p>
        </w:tc>
        <w:tc>
          <w:tcPr>
            <w:tcW w:w="6508" w:type="dxa"/>
            <w:noWrap/>
            <w:vAlign w:val="center"/>
            <w:hideMark/>
          </w:tcPr>
          <w:p w14:paraId="3AE1588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Dunleavy L.;Preston N.;Bajwah S.;Bradshaw A.;Cripps R.;Fraser L. K., et al.. 'Necessity is the mother of invention': Specialist palliative care service innovation and practice change in response to COVID-19. Results from a multinational survey (CovPall)</w:t>
            </w:r>
          </w:p>
        </w:tc>
        <w:tc>
          <w:tcPr>
            <w:tcW w:w="1871" w:type="dxa"/>
            <w:noWrap/>
            <w:vAlign w:val="center"/>
            <w:hideMark/>
          </w:tcPr>
          <w:p w14:paraId="720E4C9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4CFFC072"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EC91B6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24</w:t>
            </w:r>
          </w:p>
        </w:tc>
        <w:tc>
          <w:tcPr>
            <w:tcW w:w="6508" w:type="dxa"/>
            <w:noWrap/>
            <w:vAlign w:val="center"/>
            <w:hideMark/>
          </w:tcPr>
          <w:p w14:paraId="342C585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Faiva E.;Hashim H. T.;Ramadhan M. A.;Musa S. K.;Bchara J.;Tuama Y. D., et al.. Drug supply shortage in Nigeria during COVID-19: efforts and challenges</w:t>
            </w:r>
          </w:p>
        </w:tc>
        <w:tc>
          <w:tcPr>
            <w:tcW w:w="1871" w:type="dxa"/>
            <w:noWrap/>
            <w:vAlign w:val="center"/>
            <w:hideMark/>
          </w:tcPr>
          <w:p w14:paraId="2446D90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070410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A86C16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25</w:t>
            </w:r>
          </w:p>
        </w:tc>
        <w:tc>
          <w:tcPr>
            <w:tcW w:w="6508" w:type="dxa"/>
            <w:noWrap/>
            <w:vAlign w:val="center"/>
            <w:hideMark/>
          </w:tcPr>
          <w:p w14:paraId="6EB5C2F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Jarolimova J.;Bunda B.;Govere S.;Wara N.;Bogart L.;Thulare H., et al.. Experiences of participants in a decentralized HIV medication distribution program in South Africa during the COVID-19 pandemic</w:t>
            </w:r>
          </w:p>
        </w:tc>
        <w:tc>
          <w:tcPr>
            <w:tcW w:w="1871" w:type="dxa"/>
            <w:noWrap/>
            <w:vAlign w:val="center"/>
            <w:hideMark/>
          </w:tcPr>
          <w:p w14:paraId="4E063D7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4C03EB8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D7B00E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26</w:t>
            </w:r>
          </w:p>
        </w:tc>
        <w:tc>
          <w:tcPr>
            <w:tcW w:w="6508" w:type="dxa"/>
            <w:noWrap/>
            <w:vAlign w:val="center"/>
            <w:hideMark/>
          </w:tcPr>
          <w:p w14:paraId="02DF996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Gomez-Roas M.;Davis K. D.;Leziak K.;Jackson J.;Williams B. R.;Feinglass J. M., et al.. 227 Postpartum during a pandemic: challenges of low-income women with healthcare interactions during COVID-19</w:t>
            </w:r>
          </w:p>
        </w:tc>
        <w:tc>
          <w:tcPr>
            <w:tcW w:w="1871" w:type="dxa"/>
            <w:noWrap/>
            <w:vAlign w:val="center"/>
            <w:hideMark/>
          </w:tcPr>
          <w:p w14:paraId="570DEB2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0865D9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D6E694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27</w:t>
            </w:r>
          </w:p>
        </w:tc>
        <w:tc>
          <w:tcPr>
            <w:tcW w:w="6508" w:type="dxa"/>
            <w:noWrap/>
            <w:vAlign w:val="center"/>
            <w:hideMark/>
          </w:tcPr>
          <w:p w14:paraId="1FCA02E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Aran D.;Beachler D. C.;Lanes S.;Overhage J. M.. Prior presumed coronavirus infection reduces COVID-19 risk: A cohort study</w:t>
            </w:r>
          </w:p>
        </w:tc>
        <w:tc>
          <w:tcPr>
            <w:tcW w:w="1871" w:type="dxa"/>
            <w:noWrap/>
            <w:vAlign w:val="center"/>
            <w:hideMark/>
          </w:tcPr>
          <w:p w14:paraId="23DEAC5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FFA108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DC08D5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28</w:t>
            </w:r>
          </w:p>
        </w:tc>
        <w:tc>
          <w:tcPr>
            <w:tcW w:w="6508" w:type="dxa"/>
            <w:noWrap/>
            <w:vAlign w:val="center"/>
            <w:hideMark/>
          </w:tcPr>
          <w:p w14:paraId="4EFA501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Specificity testing by point prevalence as a simple assessment strategy using the Roche ElecsysÃ‚Â® anti-SARS-CoV-2 immunoassay</w:t>
            </w:r>
          </w:p>
        </w:tc>
        <w:tc>
          <w:tcPr>
            <w:tcW w:w="1871" w:type="dxa"/>
            <w:noWrap/>
            <w:vAlign w:val="center"/>
            <w:hideMark/>
          </w:tcPr>
          <w:p w14:paraId="73E053C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383949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759810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29</w:t>
            </w:r>
          </w:p>
        </w:tc>
        <w:tc>
          <w:tcPr>
            <w:tcW w:w="6508" w:type="dxa"/>
            <w:noWrap/>
            <w:vAlign w:val="center"/>
            <w:hideMark/>
          </w:tcPr>
          <w:p w14:paraId="7FB7F65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Hemalatha M.;Kiran U.;Kuncha S. K.;Kopperi H.;Gokulan C. G.;Mohan S. V., et al.. </w:t>
            </w:r>
            <w:r w:rsidRPr="00CD3D2F">
              <w:rPr>
                <w:rFonts w:ascii="Arial" w:hAnsi="Arial" w:cs="Arial"/>
                <w:color w:val="000000"/>
                <w:sz w:val="16"/>
                <w:szCs w:val="16"/>
              </w:rPr>
              <w:t>Surveillance of SARS-CoV-2 spread using wastewater-based epidemiology: Comprehensive study</w:t>
            </w:r>
          </w:p>
        </w:tc>
        <w:tc>
          <w:tcPr>
            <w:tcW w:w="1871" w:type="dxa"/>
            <w:noWrap/>
            <w:vAlign w:val="center"/>
            <w:hideMark/>
          </w:tcPr>
          <w:p w14:paraId="4F72005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9CED497"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9E9662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30</w:t>
            </w:r>
          </w:p>
        </w:tc>
        <w:tc>
          <w:tcPr>
            <w:tcW w:w="6508" w:type="dxa"/>
            <w:noWrap/>
            <w:vAlign w:val="center"/>
            <w:hideMark/>
          </w:tcPr>
          <w:p w14:paraId="1A00266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Yacouba A.;LagarÃ© A.;Maiga D. A.;Sambo H. M.;Ousmane S.;Harouna Z. H., et al.. Laboratory organisation and management of SARS-CoV-2 infection in Niger, West Africa</w:t>
            </w:r>
          </w:p>
        </w:tc>
        <w:tc>
          <w:tcPr>
            <w:tcW w:w="1871" w:type="dxa"/>
            <w:noWrap/>
            <w:vAlign w:val="center"/>
            <w:hideMark/>
          </w:tcPr>
          <w:p w14:paraId="12CE278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EC6ABCF"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EBE4BF7"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31</w:t>
            </w:r>
          </w:p>
        </w:tc>
        <w:tc>
          <w:tcPr>
            <w:tcW w:w="6508" w:type="dxa"/>
            <w:noWrap/>
            <w:vAlign w:val="center"/>
            <w:hideMark/>
          </w:tcPr>
          <w:p w14:paraId="45753BE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Chia W. Y.;Kok H.;Chew K. W.;Low S. S.;Show P. L.. Can algae contribute to the war with Covid-19?</w:t>
            </w:r>
          </w:p>
        </w:tc>
        <w:tc>
          <w:tcPr>
            <w:tcW w:w="1871" w:type="dxa"/>
            <w:noWrap/>
            <w:vAlign w:val="center"/>
            <w:hideMark/>
          </w:tcPr>
          <w:p w14:paraId="3D8768A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study type of interest</w:t>
            </w:r>
          </w:p>
        </w:tc>
      </w:tr>
      <w:tr w:rsidR="00CD3D2F" w:rsidRPr="00CD3D2F" w14:paraId="433812F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6B9CF3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32</w:t>
            </w:r>
          </w:p>
        </w:tc>
        <w:tc>
          <w:tcPr>
            <w:tcW w:w="6508" w:type="dxa"/>
            <w:noWrap/>
            <w:vAlign w:val="center"/>
            <w:hideMark/>
          </w:tcPr>
          <w:p w14:paraId="514F082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Singh A.;Mountjoy N.;McElroy D.;Coffee N.;Mittal S.. Patient satisfaction with telehealth in cardiology: Lessons and caution from the response to COVID-19 restrictions</w:t>
            </w:r>
          </w:p>
        </w:tc>
        <w:tc>
          <w:tcPr>
            <w:tcW w:w="1871" w:type="dxa"/>
            <w:noWrap/>
            <w:vAlign w:val="center"/>
            <w:hideMark/>
          </w:tcPr>
          <w:p w14:paraId="5FF7DF2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22B83032"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93B572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33</w:t>
            </w:r>
          </w:p>
        </w:tc>
        <w:tc>
          <w:tcPr>
            <w:tcW w:w="6508" w:type="dxa"/>
            <w:noWrap/>
            <w:vAlign w:val="center"/>
            <w:hideMark/>
          </w:tcPr>
          <w:p w14:paraId="548A73F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Kharofa R.;Anthony C.;Stackpole K.;Siegel R.;Moorhead R.. Pediatric weight management amid the covid 19 pandemic: A natural experiment</w:t>
            </w:r>
          </w:p>
        </w:tc>
        <w:tc>
          <w:tcPr>
            <w:tcW w:w="1871" w:type="dxa"/>
            <w:noWrap/>
            <w:vAlign w:val="center"/>
            <w:hideMark/>
          </w:tcPr>
          <w:p w14:paraId="5E8EAE0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036ADF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F1DB13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34</w:t>
            </w:r>
          </w:p>
        </w:tc>
        <w:tc>
          <w:tcPr>
            <w:tcW w:w="6508" w:type="dxa"/>
            <w:noWrap/>
            <w:vAlign w:val="center"/>
            <w:hideMark/>
          </w:tcPr>
          <w:p w14:paraId="0124C75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Hruschak V.;Flowers K. M.;Azizoddin D. R.;Jamison R. N.;Edwards R. R.;Schreiber K. L.. Cross-sectional study of psychosocial and pain-related variables among patients with chronic pain during a time of social distancing imposed by the coronavirus disease 2019 pandemic</w:t>
            </w:r>
          </w:p>
        </w:tc>
        <w:tc>
          <w:tcPr>
            <w:tcW w:w="1871" w:type="dxa"/>
            <w:noWrap/>
            <w:vAlign w:val="center"/>
            <w:hideMark/>
          </w:tcPr>
          <w:p w14:paraId="7B0093E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4AE4CB2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CBD49E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35</w:t>
            </w:r>
          </w:p>
        </w:tc>
        <w:tc>
          <w:tcPr>
            <w:tcW w:w="6508" w:type="dxa"/>
            <w:noWrap/>
            <w:vAlign w:val="center"/>
            <w:hideMark/>
          </w:tcPr>
          <w:p w14:paraId="74C8127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Khunti K.;Knighton P.;Zaccardi F.;Bakhai C.;Barron E.;Holman N., et al.. Prescription of glucose-lowering therapies and risk of COVID-19 mortality in people with type 2 diabetes: a nationwide observational study in England</w:t>
            </w:r>
          </w:p>
        </w:tc>
        <w:tc>
          <w:tcPr>
            <w:tcW w:w="1871" w:type="dxa"/>
            <w:noWrap/>
            <w:vAlign w:val="center"/>
            <w:hideMark/>
          </w:tcPr>
          <w:p w14:paraId="3A78E48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5C50B92"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652F13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36</w:t>
            </w:r>
          </w:p>
        </w:tc>
        <w:tc>
          <w:tcPr>
            <w:tcW w:w="6508" w:type="dxa"/>
            <w:noWrap/>
            <w:vAlign w:val="center"/>
            <w:hideMark/>
          </w:tcPr>
          <w:p w14:paraId="76FC6E1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Ntambara J.;Chu M.. The risk to child nutrition during and after COVID-19 pandemic: what to expect and how to respond</w:t>
            </w:r>
          </w:p>
        </w:tc>
        <w:tc>
          <w:tcPr>
            <w:tcW w:w="1871" w:type="dxa"/>
            <w:noWrap/>
            <w:vAlign w:val="center"/>
            <w:hideMark/>
          </w:tcPr>
          <w:p w14:paraId="4D197C5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1057D001"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359CFA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37</w:t>
            </w:r>
          </w:p>
        </w:tc>
        <w:tc>
          <w:tcPr>
            <w:tcW w:w="6508" w:type="dxa"/>
            <w:noWrap/>
            <w:vAlign w:val="center"/>
            <w:hideMark/>
          </w:tcPr>
          <w:p w14:paraId="378138C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Debroy P.;Lupo S.;Reimer-McAtee M.;Gioia J. E.;Lake J. E.. Attitudes toward COVID-19 among people living with HIV attending a multiethnic outpatient centre in Houston, Texas</w:t>
            </w:r>
          </w:p>
        </w:tc>
        <w:tc>
          <w:tcPr>
            <w:tcW w:w="1871" w:type="dxa"/>
            <w:noWrap/>
            <w:vAlign w:val="center"/>
            <w:hideMark/>
          </w:tcPr>
          <w:p w14:paraId="736BF9B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3046BCB1"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3D366D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38</w:t>
            </w:r>
          </w:p>
        </w:tc>
        <w:tc>
          <w:tcPr>
            <w:tcW w:w="6508" w:type="dxa"/>
            <w:noWrap/>
            <w:vAlign w:val="center"/>
            <w:hideMark/>
          </w:tcPr>
          <w:p w14:paraId="301D33F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Chattu V. K.;Knight W. A.;Adisesh A.;Yaya S.;Reddy K. S.;Di Ruggiero E., et al.. Politics of disease control in Africa and the critical role of global health diplomacy: A systematic review</w:t>
            </w:r>
          </w:p>
        </w:tc>
        <w:tc>
          <w:tcPr>
            <w:tcW w:w="1871" w:type="dxa"/>
            <w:noWrap/>
            <w:vAlign w:val="center"/>
            <w:hideMark/>
          </w:tcPr>
          <w:p w14:paraId="6B5ED60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7FE301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4C1917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39</w:t>
            </w:r>
          </w:p>
        </w:tc>
        <w:tc>
          <w:tcPr>
            <w:tcW w:w="6508" w:type="dxa"/>
            <w:noWrap/>
            <w:vAlign w:val="center"/>
            <w:hideMark/>
          </w:tcPr>
          <w:p w14:paraId="30F660C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Borges-Machado F.;Barros D.;Ribeiro Ã“;Carvalho J.. The Effects of COVID-19 Home Confinement in Dementia Care: Physical and Cognitive Decline, Severe Neuropsychiatric Symptoms and Increased Caregiving Burden</w:t>
            </w:r>
          </w:p>
        </w:tc>
        <w:tc>
          <w:tcPr>
            <w:tcW w:w="1871" w:type="dxa"/>
            <w:noWrap/>
            <w:vAlign w:val="center"/>
            <w:hideMark/>
          </w:tcPr>
          <w:p w14:paraId="76EC080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1625EFB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D88D4B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40</w:t>
            </w:r>
          </w:p>
        </w:tc>
        <w:tc>
          <w:tcPr>
            <w:tcW w:w="6508" w:type="dxa"/>
            <w:noWrap/>
            <w:vAlign w:val="center"/>
            <w:hideMark/>
          </w:tcPr>
          <w:p w14:paraId="1555B7A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themeColor="text1"/>
                <w:sz w:val="16"/>
                <w:szCs w:val="16"/>
              </w:rPr>
              <w:t>Devpura N.. Effect of COVID-19 on the relationship between Euro/USD exchange rate and oil price</w:t>
            </w:r>
          </w:p>
        </w:tc>
        <w:tc>
          <w:tcPr>
            <w:tcW w:w="1871" w:type="dxa"/>
            <w:noWrap/>
            <w:vAlign w:val="center"/>
            <w:hideMark/>
          </w:tcPr>
          <w:p w14:paraId="1472E0C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9670B9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86AD70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41</w:t>
            </w:r>
          </w:p>
        </w:tc>
        <w:tc>
          <w:tcPr>
            <w:tcW w:w="6508" w:type="dxa"/>
            <w:noWrap/>
            <w:vAlign w:val="center"/>
            <w:hideMark/>
          </w:tcPr>
          <w:p w14:paraId="45C8690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Robledo C.;Machiorlatti M.;Clark L.;Morrow J.. COVID-19 Impact on Health &amp; Well-Being Survey: Measuring Depression and Anxiety Among Individuals Sheltering at Home</w:t>
            </w:r>
          </w:p>
        </w:tc>
        <w:tc>
          <w:tcPr>
            <w:tcW w:w="1871" w:type="dxa"/>
            <w:noWrap/>
            <w:vAlign w:val="center"/>
            <w:hideMark/>
          </w:tcPr>
          <w:p w14:paraId="34714B6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8C555D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1351AF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42</w:t>
            </w:r>
          </w:p>
        </w:tc>
        <w:tc>
          <w:tcPr>
            <w:tcW w:w="6508" w:type="dxa"/>
            <w:noWrap/>
            <w:vAlign w:val="center"/>
            <w:hideMark/>
          </w:tcPr>
          <w:p w14:paraId="6D575D1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Wang L.;Xu C.;Wang J.;Qiao J.;Yan M.;Zhu Q.. </w:t>
            </w:r>
            <w:r w:rsidRPr="00CD3D2F">
              <w:rPr>
                <w:rFonts w:ascii="Arial" w:hAnsi="Arial" w:cs="Arial"/>
                <w:color w:val="000000"/>
                <w:sz w:val="16"/>
                <w:szCs w:val="16"/>
              </w:rPr>
              <w:t>Spatiotemporal heterogeneity and its determinants of COVID-19 transmission in typical labor export provinces of China</w:t>
            </w:r>
          </w:p>
        </w:tc>
        <w:tc>
          <w:tcPr>
            <w:tcW w:w="1871" w:type="dxa"/>
            <w:noWrap/>
            <w:vAlign w:val="center"/>
            <w:hideMark/>
          </w:tcPr>
          <w:p w14:paraId="4B9B883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3680881"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57BB56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43</w:t>
            </w:r>
          </w:p>
        </w:tc>
        <w:tc>
          <w:tcPr>
            <w:tcW w:w="6508" w:type="dxa"/>
            <w:noWrap/>
            <w:vAlign w:val="center"/>
            <w:hideMark/>
          </w:tcPr>
          <w:p w14:paraId="65EA4FF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themeColor="text1"/>
                <w:sz w:val="16"/>
                <w:szCs w:val="16"/>
              </w:rPr>
              <w:t>Manchikanti L.;Vanaparthy R.;Atluri S.;Sachdeva H.;Kaye A. D.;Hirsch J. A.. COVID-19 and the Opioid Epidemic: Two Public Health Emergencies That Intersect With Chronic Pain</w:t>
            </w:r>
          </w:p>
        </w:tc>
        <w:tc>
          <w:tcPr>
            <w:tcW w:w="1871" w:type="dxa"/>
            <w:noWrap/>
            <w:vAlign w:val="center"/>
            <w:hideMark/>
          </w:tcPr>
          <w:p w14:paraId="690B592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5745C5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91B26CF"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44</w:t>
            </w:r>
          </w:p>
        </w:tc>
        <w:tc>
          <w:tcPr>
            <w:tcW w:w="6508" w:type="dxa"/>
            <w:noWrap/>
            <w:vAlign w:val="center"/>
            <w:hideMark/>
          </w:tcPr>
          <w:p w14:paraId="21ACCD6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COVID-19 severity is tripled in the diabetes community: A prospective analysis of the pandemicÃ¢â‚¬â„¢s impact in type 1 and type 2 diabetes</w:t>
            </w:r>
          </w:p>
        </w:tc>
        <w:tc>
          <w:tcPr>
            <w:tcW w:w="1871" w:type="dxa"/>
            <w:noWrap/>
            <w:vAlign w:val="center"/>
            <w:hideMark/>
          </w:tcPr>
          <w:p w14:paraId="7D50F28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282F401"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C082E6D"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45</w:t>
            </w:r>
          </w:p>
        </w:tc>
        <w:tc>
          <w:tcPr>
            <w:tcW w:w="6508" w:type="dxa"/>
            <w:noWrap/>
            <w:vAlign w:val="center"/>
            <w:hideMark/>
          </w:tcPr>
          <w:p w14:paraId="60EA193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Fry H. L.;Levin O.;Kholina K.;Bianco J. L.;Gallant J.;Chan K., et al.. Infant feeding experiences and concerns among caregivers early in the COVID-19 State of Emergency in Nova Scotia, Canada</w:t>
            </w:r>
          </w:p>
        </w:tc>
        <w:tc>
          <w:tcPr>
            <w:tcW w:w="1871" w:type="dxa"/>
            <w:noWrap/>
            <w:vAlign w:val="center"/>
            <w:hideMark/>
          </w:tcPr>
          <w:p w14:paraId="0FD6122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A14A0B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4D786AF"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46</w:t>
            </w:r>
          </w:p>
        </w:tc>
        <w:tc>
          <w:tcPr>
            <w:tcW w:w="6508" w:type="dxa"/>
            <w:noWrap/>
            <w:vAlign w:val="center"/>
            <w:hideMark/>
          </w:tcPr>
          <w:p w14:paraId="2B56A38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Adikari A.;Nawaratne R.;De Silva D.;Ranasinghe S.;Alahakoon O.;Alahakoon D.. Emotions of COVID-19: A Study of Self-Reported Information and Emotions during the COVID-19 Pandemic using Artificial Intelligence</w:t>
            </w:r>
          </w:p>
        </w:tc>
        <w:tc>
          <w:tcPr>
            <w:tcW w:w="1871" w:type="dxa"/>
            <w:noWrap/>
            <w:vAlign w:val="center"/>
            <w:hideMark/>
          </w:tcPr>
          <w:p w14:paraId="35CBE4C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32C8DF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466D1C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47</w:t>
            </w:r>
          </w:p>
        </w:tc>
        <w:tc>
          <w:tcPr>
            <w:tcW w:w="6508" w:type="dxa"/>
            <w:noWrap/>
            <w:vAlign w:val="center"/>
            <w:hideMark/>
          </w:tcPr>
          <w:p w14:paraId="678A300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Lindinger-Sternart S.;Kaur V.;Widyaningsih Y.;Patel A. K.. COVID-19 phobia across the world: Impact of resilience on COVID-19 phobia in different nations</w:t>
            </w:r>
          </w:p>
        </w:tc>
        <w:tc>
          <w:tcPr>
            <w:tcW w:w="1871" w:type="dxa"/>
            <w:noWrap/>
            <w:vAlign w:val="center"/>
            <w:hideMark/>
          </w:tcPr>
          <w:p w14:paraId="3B60947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42AFC5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F4F3CC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48</w:t>
            </w:r>
          </w:p>
        </w:tc>
        <w:tc>
          <w:tcPr>
            <w:tcW w:w="6508" w:type="dxa"/>
            <w:noWrap/>
            <w:vAlign w:val="center"/>
            <w:hideMark/>
          </w:tcPr>
          <w:p w14:paraId="7DDBAEC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themeColor="text1"/>
                <w:sz w:val="16"/>
                <w:szCs w:val="16"/>
              </w:rPr>
              <w:t>Alkhresheh M. M.. Semiological discourse analysis of the editorial cartoons of international newspapers on covid-19</w:t>
            </w:r>
          </w:p>
        </w:tc>
        <w:tc>
          <w:tcPr>
            <w:tcW w:w="1871" w:type="dxa"/>
            <w:noWrap/>
            <w:vAlign w:val="center"/>
            <w:hideMark/>
          </w:tcPr>
          <w:p w14:paraId="6FCC1AB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ACEDDC5"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01E445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49</w:t>
            </w:r>
          </w:p>
        </w:tc>
        <w:tc>
          <w:tcPr>
            <w:tcW w:w="6508" w:type="dxa"/>
            <w:noWrap/>
            <w:vAlign w:val="center"/>
            <w:hideMark/>
          </w:tcPr>
          <w:p w14:paraId="24303E5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Current state of trauma and violence in SÃƒÂ£o Paulo - Brazil during the COVID-19 pandemic</w:t>
            </w:r>
          </w:p>
        </w:tc>
        <w:tc>
          <w:tcPr>
            <w:tcW w:w="1871" w:type="dxa"/>
            <w:noWrap/>
            <w:vAlign w:val="center"/>
            <w:hideMark/>
          </w:tcPr>
          <w:p w14:paraId="69D4FBD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71981A8"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D1EA6E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50</w:t>
            </w:r>
          </w:p>
        </w:tc>
        <w:tc>
          <w:tcPr>
            <w:tcW w:w="6508" w:type="dxa"/>
            <w:noWrap/>
            <w:vAlign w:val="center"/>
            <w:hideMark/>
          </w:tcPr>
          <w:p w14:paraId="7BF5F20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Mukhra R.;Krishan K.;Kanchan T.. Agony of the laborers and daily wagers during the COVID-19 induced lockdown in India</w:t>
            </w:r>
          </w:p>
        </w:tc>
        <w:tc>
          <w:tcPr>
            <w:tcW w:w="1871" w:type="dxa"/>
            <w:noWrap/>
            <w:vAlign w:val="center"/>
            <w:hideMark/>
          </w:tcPr>
          <w:p w14:paraId="255348B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8D64AB6"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88FB017"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51</w:t>
            </w:r>
          </w:p>
        </w:tc>
        <w:tc>
          <w:tcPr>
            <w:tcW w:w="6508" w:type="dxa"/>
            <w:noWrap/>
            <w:vAlign w:val="center"/>
            <w:hideMark/>
          </w:tcPr>
          <w:p w14:paraId="3B636D0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Alomar R. S.;Alshamlan N. A.;Alamer N. A.;Aldulijan F.;Almuhaidib S.;Almukhadhib O., et al.. What are the barriers and facilitators of volunteering among healthcare students during the COVID-19 pandemic? A Saudi-based cross-sectional study</w:t>
            </w:r>
          </w:p>
        </w:tc>
        <w:tc>
          <w:tcPr>
            <w:tcW w:w="1871" w:type="dxa"/>
            <w:noWrap/>
            <w:vAlign w:val="center"/>
            <w:hideMark/>
          </w:tcPr>
          <w:p w14:paraId="705B479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6D853B0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FFD26D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52</w:t>
            </w:r>
          </w:p>
        </w:tc>
        <w:tc>
          <w:tcPr>
            <w:tcW w:w="6508" w:type="dxa"/>
            <w:noWrap/>
            <w:vAlign w:val="center"/>
            <w:hideMark/>
          </w:tcPr>
          <w:p w14:paraId="3DC7261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Sayeed A.;Rahman M. H.;Bundschuh J.;Herath I.;Ahmed F.;Bhattacharya P., et al.. Handwashing with soap: A concern for overuse of water amidst the COVID-19 pandemic in Bangladesh</w:t>
            </w:r>
          </w:p>
        </w:tc>
        <w:tc>
          <w:tcPr>
            <w:tcW w:w="1871" w:type="dxa"/>
            <w:noWrap/>
            <w:vAlign w:val="center"/>
            <w:hideMark/>
          </w:tcPr>
          <w:p w14:paraId="1C0E595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20107F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B36B47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53</w:t>
            </w:r>
          </w:p>
        </w:tc>
        <w:tc>
          <w:tcPr>
            <w:tcW w:w="6508" w:type="dxa"/>
            <w:noWrap/>
            <w:vAlign w:val="center"/>
            <w:hideMark/>
          </w:tcPr>
          <w:p w14:paraId="6CB61E2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Wang S.;Green H. C.;Wilder M. L.;Du Q.;Kmush B. L.;Collins M. B., et al.. </w:t>
            </w:r>
            <w:r w:rsidRPr="00CD3D2F">
              <w:rPr>
                <w:rFonts w:ascii="Arial" w:hAnsi="Arial" w:cs="Arial"/>
                <w:color w:val="000000"/>
                <w:sz w:val="16"/>
                <w:szCs w:val="16"/>
              </w:rPr>
              <w:t>High-throughput wastewater analysis for substance use assessment in central New York during the COVID-19 pandemic</w:t>
            </w:r>
          </w:p>
        </w:tc>
        <w:tc>
          <w:tcPr>
            <w:tcW w:w="1871" w:type="dxa"/>
            <w:noWrap/>
            <w:vAlign w:val="center"/>
            <w:hideMark/>
          </w:tcPr>
          <w:p w14:paraId="21AFD81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B411E8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C9BC8B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54</w:t>
            </w:r>
          </w:p>
        </w:tc>
        <w:tc>
          <w:tcPr>
            <w:tcW w:w="6508" w:type="dxa"/>
            <w:noWrap/>
            <w:vAlign w:val="center"/>
            <w:hideMark/>
          </w:tcPr>
          <w:p w14:paraId="6F6F74E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themeColor="text1"/>
                <w:sz w:val="16"/>
                <w:szCs w:val="16"/>
              </w:rPr>
              <w:t>Bisne V. V.. Increased demand of emergency medical services in covid-19</w:t>
            </w:r>
          </w:p>
        </w:tc>
        <w:tc>
          <w:tcPr>
            <w:tcW w:w="1871" w:type="dxa"/>
            <w:noWrap/>
            <w:vAlign w:val="center"/>
            <w:hideMark/>
          </w:tcPr>
          <w:p w14:paraId="21E5E2F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5EFA2C5"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C3D2A7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55</w:t>
            </w:r>
          </w:p>
        </w:tc>
        <w:tc>
          <w:tcPr>
            <w:tcW w:w="6508" w:type="dxa"/>
            <w:noWrap/>
            <w:vAlign w:val="center"/>
            <w:hideMark/>
          </w:tcPr>
          <w:p w14:paraId="3192CFA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Olding M.;Barker A.;McNeil R.;Boyd J.. Essential work, precarious labour: The need for safer and equitable harm reduction work in the era of COVID-19</w:t>
            </w:r>
          </w:p>
        </w:tc>
        <w:tc>
          <w:tcPr>
            <w:tcW w:w="1871" w:type="dxa"/>
            <w:noWrap/>
            <w:vAlign w:val="center"/>
            <w:hideMark/>
          </w:tcPr>
          <w:p w14:paraId="68350AE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F3E6E1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544468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56</w:t>
            </w:r>
          </w:p>
        </w:tc>
        <w:tc>
          <w:tcPr>
            <w:tcW w:w="6508" w:type="dxa"/>
            <w:noWrap/>
            <w:vAlign w:val="center"/>
            <w:hideMark/>
          </w:tcPr>
          <w:p w14:paraId="075225D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Naik D.;Giri M.;Nagarajappa R.;Mahapatra I.;Dhar U.. </w:t>
            </w:r>
            <w:r w:rsidRPr="00CD3D2F">
              <w:rPr>
                <w:rFonts w:ascii="Arial" w:hAnsi="Arial" w:cs="Arial"/>
                <w:color w:val="000000"/>
                <w:sz w:val="16"/>
                <w:szCs w:val="16"/>
              </w:rPr>
              <w:t>Covid 19 pandemic: Challenges in healthcare system of india</w:t>
            </w:r>
          </w:p>
        </w:tc>
        <w:tc>
          <w:tcPr>
            <w:tcW w:w="1871" w:type="dxa"/>
            <w:noWrap/>
            <w:vAlign w:val="center"/>
            <w:hideMark/>
          </w:tcPr>
          <w:p w14:paraId="7581CA6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54380A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9133E40"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57</w:t>
            </w:r>
          </w:p>
        </w:tc>
        <w:tc>
          <w:tcPr>
            <w:tcW w:w="6508" w:type="dxa"/>
            <w:noWrap/>
            <w:vAlign w:val="center"/>
            <w:hideMark/>
          </w:tcPr>
          <w:p w14:paraId="224816C9"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Rodriguez J. A.;Betancourt J. R.;Sequist T. D.;Ganguli I.. Differences in the use of telephone and video telemedicine visits during the COVID-19 pandemic</w:t>
            </w:r>
          </w:p>
        </w:tc>
        <w:tc>
          <w:tcPr>
            <w:tcW w:w="1871" w:type="dxa"/>
            <w:noWrap/>
            <w:vAlign w:val="center"/>
            <w:hideMark/>
          </w:tcPr>
          <w:p w14:paraId="429EE85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FD95AD5"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9AC8CD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58</w:t>
            </w:r>
          </w:p>
        </w:tc>
        <w:tc>
          <w:tcPr>
            <w:tcW w:w="6508" w:type="dxa"/>
            <w:noWrap/>
            <w:vAlign w:val="center"/>
            <w:hideMark/>
          </w:tcPr>
          <w:p w14:paraId="1BA3269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Tse K. Y.;Domingo E. J.;Konar H.;Kumarasamy S.;Pariyar J.;Tjokroprawiro B. A., et al.. </w:t>
            </w:r>
            <w:r w:rsidRPr="00CD3D2F">
              <w:rPr>
                <w:rFonts w:ascii="Arial" w:hAnsi="Arial" w:cs="Arial"/>
                <w:color w:val="000000"/>
                <w:sz w:val="16"/>
                <w:szCs w:val="16"/>
              </w:rPr>
              <w:t>COVID-19 and gynecological cancers: Asia and Oceania Federation of Obstetrics and Gynecology oncology committee opinion</w:t>
            </w:r>
          </w:p>
        </w:tc>
        <w:tc>
          <w:tcPr>
            <w:tcW w:w="1871" w:type="dxa"/>
            <w:noWrap/>
            <w:vAlign w:val="center"/>
            <w:hideMark/>
          </w:tcPr>
          <w:p w14:paraId="5D0B26B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intervention of interest</w:t>
            </w:r>
          </w:p>
        </w:tc>
      </w:tr>
      <w:tr w:rsidR="00CD3D2F" w:rsidRPr="00CD3D2F" w14:paraId="283289DF"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07E45C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59</w:t>
            </w:r>
          </w:p>
        </w:tc>
        <w:tc>
          <w:tcPr>
            <w:tcW w:w="6508" w:type="dxa"/>
            <w:noWrap/>
            <w:vAlign w:val="center"/>
            <w:hideMark/>
          </w:tcPr>
          <w:p w14:paraId="2747465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Belhadi A.;Kamble S.;Jabbour C. J. C.;Gunasekaran A.;Ndubisi N. O.;Venkatesh M.. Manufacturing and service supply chain resilience to the COVID-19 outbreak: Lessons learned from the automobile and airline industries</w:t>
            </w:r>
          </w:p>
        </w:tc>
        <w:tc>
          <w:tcPr>
            <w:tcW w:w="1871" w:type="dxa"/>
            <w:noWrap/>
            <w:vAlign w:val="center"/>
            <w:hideMark/>
          </w:tcPr>
          <w:p w14:paraId="7463800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1AB06BC1"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5DFEBE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60</w:t>
            </w:r>
          </w:p>
        </w:tc>
        <w:tc>
          <w:tcPr>
            <w:tcW w:w="6508" w:type="dxa"/>
            <w:noWrap/>
            <w:vAlign w:val="center"/>
            <w:hideMark/>
          </w:tcPr>
          <w:p w14:paraId="6A68F59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Rangon C. M.;Krantic S.;Moyse E.;FougÃ¨re B.. The Vagal Autonomic Pathway of COVID-19 at the Crossroad of Alzheimer's Disease and Aging: A Review of Knowledge</w:t>
            </w:r>
          </w:p>
        </w:tc>
        <w:tc>
          <w:tcPr>
            <w:tcW w:w="1871" w:type="dxa"/>
            <w:noWrap/>
            <w:vAlign w:val="center"/>
            <w:hideMark/>
          </w:tcPr>
          <w:p w14:paraId="57A2C6C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6E2D0C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D228C1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61</w:t>
            </w:r>
          </w:p>
        </w:tc>
        <w:tc>
          <w:tcPr>
            <w:tcW w:w="6508" w:type="dxa"/>
            <w:noWrap/>
            <w:vAlign w:val="center"/>
            <w:hideMark/>
          </w:tcPr>
          <w:p w14:paraId="3164A14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Wilkinson E.;Jetty A.;Petterson S.;Jabbarpour Y.;Westfall J. M.. Primary Care's Historic Role in Vaccination and Potential Role in COVID-19 Immunization Programs</w:t>
            </w:r>
          </w:p>
        </w:tc>
        <w:tc>
          <w:tcPr>
            <w:tcW w:w="1871" w:type="dxa"/>
            <w:noWrap/>
            <w:vAlign w:val="center"/>
            <w:hideMark/>
          </w:tcPr>
          <w:p w14:paraId="7C8AE0E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A092EEF"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670AB5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62</w:t>
            </w:r>
          </w:p>
        </w:tc>
        <w:tc>
          <w:tcPr>
            <w:tcW w:w="6508" w:type="dxa"/>
            <w:noWrap/>
            <w:vAlign w:val="center"/>
            <w:hideMark/>
          </w:tcPr>
          <w:p w14:paraId="5B69762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themeColor="text1"/>
                <w:sz w:val="16"/>
                <w:szCs w:val="16"/>
              </w:rPr>
              <w:t>Pati S.;Mahapatra P.;Kanungo S.;Uddin A.;Sahoo K. C.. Managing Multimorbidity (Multiple Chronic Diseases) Amid COVID-19 Pandemic: A Community Based Study From Odisha, India</w:t>
            </w:r>
          </w:p>
        </w:tc>
        <w:tc>
          <w:tcPr>
            <w:tcW w:w="1871" w:type="dxa"/>
            <w:noWrap/>
            <w:vAlign w:val="center"/>
            <w:hideMark/>
          </w:tcPr>
          <w:p w14:paraId="77E7934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1FA5A78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D5A464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63</w:t>
            </w:r>
          </w:p>
        </w:tc>
        <w:tc>
          <w:tcPr>
            <w:tcW w:w="6508" w:type="dxa"/>
            <w:noWrap/>
            <w:vAlign w:val="center"/>
            <w:hideMark/>
          </w:tcPr>
          <w:p w14:paraId="2B4758F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Islam M. S.;Ferdous M. Z.;Islam U. S.;Mosaddek A. S. M.;Potenza M. N.;Pardhan S.. Treatment, persistent symptoms, and depression in people infected with covid-19 in bangladesh</w:t>
            </w:r>
          </w:p>
        </w:tc>
        <w:tc>
          <w:tcPr>
            <w:tcW w:w="1871" w:type="dxa"/>
            <w:noWrap/>
            <w:vAlign w:val="center"/>
            <w:hideMark/>
          </w:tcPr>
          <w:p w14:paraId="6B2C5AD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FA0CC6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1197D9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64</w:t>
            </w:r>
          </w:p>
        </w:tc>
        <w:tc>
          <w:tcPr>
            <w:tcW w:w="6508" w:type="dxa"/>
            <w:noWrap/>
            <w:vAlign w:val="center"/>
            <w:hideMark/>
          </w:tcPr>
          <w:p w14:paraId="39F44B5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Mohammadpour M.;Zarifinezhad E.;Ghanbarzadegan A.;Naderimanesh K.;Shaarbafchizadeh N.;Bastani P.. Main factors affecting the readiness and responsiveness of healthcare systems during epidemic crises: A scoping review on cases of sars, mers, and covid-19</w:t>
            </w:r>
          </w:p>
        </w:tc>
        <w:tc>
          <w:tcPr>
            <w:tcW w:w="1871" w:type="dxa"/>
            <w:noWrap/>
            <w:vAlign w:val="center"/>
            <w:hideMark/>
          </w:tcPr>
          <w:p w14:paraId="6BFA627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C7F6421"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6CF0680"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65</w:t>
            </w:r>
          </w:p>
        </w:tc>
        <w:tc>
          <w:tcPr>
            <w:tcW w:w="6508" w:type="dxa"/>
            <w:noWrap/>
            <w:vAlign w:val="center"/>
            <w:hideMark/>
          </w:tcPr>
          <w:p w14:paraId="5F39506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Haque M.;Kumar S.;Charan J.;Bhatt R.;Islam S.;Dutta S., et al.. Utilisation, Availability and Price Changes of Medicines and Protection Equipment for COVID-19 Among Selected Regions in India: Findings and Implications</w:t>
            </w:r>
          </w:p>
        </w:tc>
        <w:tc>
          <w:tcPr>
            <w:tcW w:w="1871" w:type="dxa"/>
            <w:noWrap/>
            <w:vAlign w:val="center"/>
            <w:hideMark/>
          </w:tcPr>
          <w:p w14:paraId="34CECC4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intervention of interest</w:t>
            </w:r>
          </w:p>
        </w:tc>
      </w:tr>
      <w:tr w:rsidR="00CD3D2F" w:rsidRPr="00CD3D2F" w14:paraId="53F83C7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E3149DD"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66</w:t>
            </w:r>
          </w:p>
        </w:tc>
        <w:tc>
          <w:tcPr>
            <w:tcW w:w="6508" w:type="dxa"/>
            <w:noWrap/>
            <w:vAlign w:val="center"/>
            <w:hideMark/>
          </w:tcPr>
          <w:p w14:paraId="03EB712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Gad M.;Kazibwe J.;Quirk E.;Gheorghe A.;Homan Z.;Bricknell M.. Civil-military cooperation in the early response to the COVID-19 pandemic in six European countries</w:t>
            </w:r>
          </w:p>
        </w:tc>
        <w:tc>
          <w:tcPr>
            <w:tcW w:w="1871" w:type="dxa"/>
            <w:noWrap/>
            <w:vAlign w:val="center"/>
            <w:hideMark/>
          </w:tcPr>
          <w:p w14:paraId="7A601AF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B7077DB"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5358CD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67</w:t>
            </w:r>
          </w:p>
        </w:tc>
        <w:tc>
          <w:tcPr>
            <w:tcW w:w="6508" w:type="dxa"/>
            <w:noWrap/>
            <w:vAlign w:val="center"/>
            <w:hideMark/>
          </w:tcPr>
          <w:p w14:paraId="22699AA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Malykhina I. O.;Riapuhina V. N.;Chizhova E. N.;Rozdolskaya I. V.. Neo-industrialization as the bases of the innovative trajectory of the development of Russian industry before and during the coronavirus disease-19 pandemic</w:t>
            </w:r>
          </w:p>
        </w:tc>
        <w:tc>
          <w:tcPr>
            <w:tcW w:w="1871" w:type="dxa"/>
            <w:noWrap/>
            <w:vAlign w:val="center"/>
            <w:hideMark/>
          </w:tcPr>
          <w:p w14:paraId="485EE47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43D72C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4B314B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68</w:t>
            </w:r>
          </w:p>
        </w:tc>
        <w:tc>
          <w:tcPr>
            <w:tcW w:w="6508" w:type="dxa"/>
            <w:noWrap/>
            <w:vAlign w:val="center"/>
            <w:hideMark/>
          </w:tcPr>
          <w:p w14:paraId="052E18E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Collins C. D.;Huang J.;Potoski B. A.. Open-source institutional guideline recommendations during the COVID-19 pandemic</w:t>
            </w:r>
          </w:p>
        </w:tc>
        <w:tc>
          <w:tcPr>
            <w:tcW w:w="1871" w:type="dxa"/>
            <w:noWrap/>
            <w:vAlign w:val="center"/>
            <w:hideMark/>
          </w:tcPr>
          <w:p w14:paraId="547D414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49A2C068"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469AC37"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69</w:t>
            </w:r>
          </w:p>
        </w:tc>
        <w:tc>
          <w:tcPr>
            <w:tcW w:w="6508" w:type="dxa"/>
            <w:noWrap/>
            <w:vAlign w:val="center"/>
            <w:hideMark/>
          </w:tcPr>
          <w:p w14:paraId="050084F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Kameda K.;Barbeitas M. M.;Caetano R.;LÃ¶wy I.;Oliveira A. C. D.;CorrÃªa Mcdv, et al.. Testing COVID-19 in Brazil: fragmented efforts and challenges to expand diagnostic capacity at the Brazilian Unified National Health System</w:t>
            </w:r>
          </w:p>
        </w:tc>
        <w:tc>
          <w:tcPr>
            <w:tcW w:w="1871" w:type="dxa"/>
            <w:noWrap/>
            <w:vAlign w:val="center"/>
            <w:hideMark/>
          </w:tcPr>
          <w:p w14:paraId="7FFA8A9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1655C96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3BC26A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70</w:t>
            </w:r>
          </w:p>
        </w:tc>
        <w:tc>
          <w:tcPr>
            <w:tcW w:w="6508" w:type="dxa"/>
            <w:noWrap/>
            <w:vAlign w:val="center"/>
            <w:hideMark/>
          </w:tcPr>
          <w:p w14:paraId="6422C7F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Filimonau V.. The prospects of waste management in the hospitality sector post COVID-19</w:t>
            </w:r>
          </w:p>
        </w:tc>
        <w:tc>
          <w:tcPr>
            <w:tcW w:w="1871" w:type="dxa"/>
            <w:noWrap/>
            <w:vAlign w:val="center"/>
            <w:hideMark/>
          </w:tcPr>
          <w:p w14:paraId="255DB0D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23ED76B"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741B343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71</w:t>
            </w:r>
          </w:p>
        </w:tc>
        <w:tc>
          <w:tcPr>
            <w:tcW w:w="6508" w:type="dxa"/>
            <w:noWrap/>
            <w:vAlign w:val="center"/>
            <w:hideMark/>
          </w:tcPr>
          <w:p w14:paraId="52AF726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The Arab regionÃ¢â‚¬â„¢s contribution to global COVID-19 research: Bibliometric and visualization analysis</w:t>
            </w:r>
          </w:p>
        </w:tc>
        <w:tc>
          <w:tcPr>
            <w:tcW w:w="1871" w:type="dxa"/>
            <w:noWrap/>
            <w:vAlign w:val="center"/>
            <w:hideMark/>
          </w:tcPr>
          <w:p w14:paraId="2FC5CC6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DBAFA1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FDAFB7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72</w:t>
            </w:r>
          </w:p>
        </w:tc>
        <w:tc>
          <w:tcPr>
            <w:tcW w:w="6508" w:type="dxa"/>
            <w:noWrap/>
            <w:vAlign w:val="center"/>
            <w:hideMark/>
          </w:tcPr>
          <w:p w14:paraId="1EEDC4A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Dharmaraj S.;Ashokkumar V.;Hariharan S.;Manibharathi A.;Show P. L.;Chong C. T., et al.. The COVID-19 pandemic face mask waste: A blooming threat to the marine environment</w:t>
            </w:r>
          </w:p>
        </w:tc>
        <w:tc>
          <w:tcPr>
            <w:tcW w:w="1871" w:type="dxa"/>
            <w:noWrap/>
            <w:vAlign w:val="center"/>
            <w:hideMark/>
          </w:tcPr>
          <w:p w14:paraId="229EB60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05BE3A5"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9186D37"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73</w:t>
            </w:r>
          </w:p>
        </w:tc>
        <w:tc>
          <w:tcPr>
            <w:tcW w:w="6508" w:type="dxa"/>
            <w:noWrap/>
            <w:vAlign w:val="center"/>
            <w:hideMark/>
          </w:tcPr>
          <w:p w14:paraId="4922A74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Adeyinka A.;Bailey K.;Pierre L.;Kondamudi N.. COVID 19 infection: Pediatric perspectives</w:t>
            </w:r>
          </w:p>
        </w:tc>
        <w:tc>
          <w:tcPr>
            <w:tcW w:w="1871" w:type="dxa"/>
            <w:noWrap/>
            <w:vAlign w:val="center"/>
            <w:hideMark/>
          </w:tcPr>
          <w:p w14:paraId="51792A62"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5AF9924"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038F5F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74</w:t>
            </w:r>
          </w:p>
        </w:tc>
        <w:tc>
          <w:tcPr>
            <w:tcW w:w="6508" w:type="dxa"/>
            <w:noWrap/>
            <w:vAlign w:val="center"/>
            <w:hideMark/>
          </w:tcPr>
          <w:p w14:paraId="3440504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Cristea M.;Noja G. G.;JurcuÅ£ C. N.;Ponea C. Åž;Caragiani E. S.;Istodor A. V.. The interplay between public health, well-being and population aging in europe: An advanced structural equation modelling and gaussian network approach</w:t>
            </w:r>
          </w:p>
        </w:tc>
        <w:tc>
          <w:tcPr>
            <w:tcW w:w="1871" w:type="dxa"/>
            <w:noWrap/>
            <w:vAlign w:val="center"/>
            <w:hideMark/>
          </w:tcPr>
          <w:p w14:paraId="2254AE4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71EBFF3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C92B36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75</w:t>
            </w:r>
          </w:p>
        </w:tc>
        <w:tc>
          <w:tcPr>
            <w:tcW w:w="6508" w:type="dxa"/>
            <w:noWrap/>
            <w:vAlign w:val="center"/>
            <w:hideMark/>
          </w:tcPr>
          <w:p w14:paraId="02F9282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Li Z.;Guan X.;Mao N.;Luo H.;Qin Y.;He N., et al.. Antibody seroprevalence in the epicenter Wuhan, Hubei, and six selected provinces after containment of the first epidemic wave of COVID-19 in China</w:t>
            </w:r>
          </w:p>
        </w:tc>
        <w:tc>
          <w:tcPr>
            <w:tcW w:w="1871" w:type="dxa"/>
            <w:noWrap/>
            <w:vAlign w:val="center"/>
            <w:hideMark/>
          </w:tcPr>
          <w:p w14:paraId="2B86EAD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DD21A4F"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5A9D76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76</w:t>
            </w:r>
          </w:p>
        </w:tc>
        <w:tc>
          <w:tcPr>
            <w:tcW w:w="6508" w:type="dxa"/>
            <w:noWrap/>
            <w:vAlign w:val="center"/>
            <w:hideMark/>
          </w:tcPr>
          <w:p w14:paraId="5FB9C47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Javaid M.;Khan I. H.. Internet of Things (IoT) enabled healthcare helps to take the challenges of COVID-19 Pandemic</w:t>
            </w:r>
          </w:p>
        </w:tc>
        <w:tc>
          <w:tcPr>
            <w:tcW w:w="1871" w:type="dxa"/>
            <w:noWrap/>
            <w:vAlign w:val="center"/>
            <w:hideMark/>
          </w:tcPr>
          <w:p w14:paraId="74B2E39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C0D894B"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048055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77</w:t>
            </w:r>
          </w:p>
        </w:tc>
        <w:tc>
          <w:tcPr>
            <w:tcW w:w="6508" w:type="dxa"/>
            <w:noWrap/>
            <w:vAlign w:val="center"/>
            <w:hideMark/>
          </w:tcPr>
          <w:p w14:paraId="7600CC3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Boum Y.;Fai K. N.;Nicolay B.;Mboringong A. B.;Bebell L. M.;Ndifon M., et al.. Performance and operational feasibility of antigen and antibody rapid diagnostic tests for COVID-19 in symptomatic and asymptomatic patients in Cameroon: a clinical, prospective, diagnostic accuracy study</w:t>
            </w:r>
          </w:p>
        </w:tc>
        <w:tc>
          <w:tcPr>
            <w:tcW w:w="1871" w:type="dxa"/>
            <w:noWrap/>
            <w:vAlign w:val="center"/>
            <w:hideMark/>
          </w:tcPr>
          <w:p w14:paraId="17A83BD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E430016"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E58CD5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78</w:t>
            </w:r>
          </w:p>
        </w:tc>
        <w:tc>
          <w:tcPr>
            <w:tcW w:w="6508" w:type="dxa"/>
            <w:noWrap/>
            <w:vAlign w:val="center"/>
            <w:hideMark/>
          </w:tcPr>
          <w:p w14:paraId="4FC9C32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Koysombat K.;Plonczak A. M.;West C. A.. The role of teleconsultation in the management of suspected skin malignancy in plastic surgery during COVID-19 outbreak: A single centre experience</w:t>
            </w:r>
          </w:p>
        </w:tc>
        <w:tc>
          <w:tcPr>
            <w:tcW w:w="1871" w:type="dxa"/>
            <w:noWrap/>
            <w:vAlign w:val="center"/>
            <w:hideMark/>
          </w:tcPr>
          <w:p w14:paraId="0A501BB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population of interest</w:t>
            </w:r>
          </w:p>
        </w:tc>
      </w:tr>
      <w:tr w:rsidR="00CD3D2F" w:rsidRPr="00CD3D2F" w14:paraId="1114F35D"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2B671AF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79</w:t>
            </w:r>
          </w:p>
        </w:tc>
        <w:tc>
          <w:tcPr>
            <w:tcW w:w="6508" w:type="dxa"/>
            <w:noWrap/>
            <w:vAlign w:val="center"/>
            <w:hideMark/>
          </w:tcPr>
          <w:p w14:paraId="2D8260C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AlKhaldi M.;James N.;Chattu V. K.;Ahmed S.;Meghari H.;Kaiser K., et al.. Rethinking and strengthening the Global Health Diplomacy through triangulated nexus between policy makers, scientists and the community in light of COVID-19 global crisis</w:t>
            </w:r>
          </w:p>
        </w:tc>
        <w:tc>
          <w:tcPr>
            <w:tcW w:w="1871" w:type="dxa"/>
            <w:noWrap/>
            <w:vAlign w:val="center"/>
            <w:hideMark/>
          </w:tcPr>
          <w:p w14:paraId="7DC887F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450420F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BC8E82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80</w:t>
            </w:r>
          </w:p>
        </w:tc>
        <w:tc>
          <w:tcPr>
            <w:tcW w:w="6508" w:type="dxa"/>
            <w:noWrap/>
            <w:vAlign w:val="center"/>
            <w:hideMark/>
          </w:tcPr>
          <w:p w14:paraId="157F61A3"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Rahimi N. R.;Fouladi-Fard R.;Aali R.;Shahryari A.;Rezaali M.;Ghafouri Y., et al.. Bidirectional association between COVID-19 and the environment: A systematic review</w:t>
            </w:r>
          </w:p>
        </w:tc>
        <w:tc>
          <w:tcPr>
            <w:tcW w:w="1871" w:type="dxa"/>
            <w:noWrap/>
            <w:vAlign w:val="center"/>
            <w:hideMark/>
          </w:tcPr>
          <w:p w14:paraId="52D15DB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94BADD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A71C9D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81</w:t>
            </w:r>
          </w:p>
        </w:tc>
        <w:tc>
          <w:tcPr>
            <w:tcW w:w="6508" w:type="dxa"/>
            <w:noWrap/>
            <w:vAlign w:val="center"/>
            <w:hideMark/>
          </w:tcPr>
          <w:p w14:paraId="0A59581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Yilmaz FerhatoÄŸlu S.;Yurtseven N.. Analysis of articles on COVID-19: Is scientific productivity parallel to case rates across countries?</w:t>
            </w:r>
          </w:p>
        </w:tc>
        <w:tc>
          <w:tcPr>
            <w:tcW w:w="1871" w:type="dxa"/>
            <w:noWrap/>
            <w:vAlign w:val="center"/>
            <w:hideMark/>
          </w:tcPr>
          <w:p w14:paraId="2094033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22552C2E"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759FE8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82</w:t>
            </w:r>
          </w:p>
        </w:tc>
        <w:tc>
          <w:tcPr>
            <w:tcW w:w="6508" w:type="dxa"/>
            <w:noWrap/>
            <w:vAlign w:val="center"/>
            <w:hideMark/>
          </w:tcPr>
          <w:p w14:paraId="72867BE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Zhu W.;Yang J.;Lv H.;Zhuang M.. </w:t>
            </w:r>
            <w:r w:rsidRPr="00CD3D2F">
              <w:rPr>
                <w:rFonts w:ascii="Arial" w:hAnsi="Arial" w:cs="Arial"/>
                <w:color w:val="000000"/>
                <w:sz w:val="16"/>
                <w:szCs w:val="16"/>
              </w:rPr>
              <w:t>Pandemic Uncertainty and Socially Responsible Investments</w:t>
            </w:r>
          </w:p>
        </w:tc>
        <w:tc>
          <w:tcPr>
            <w:tcW w:w="1871" w:type="dxa"/>
            <w:noWrap/>
            <w:vAlign w:val="center"/>
            <w:hideMark/>
          </w:tcPr>
          <w:p w14:paraId="2C4D08B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19363CC"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88C9B4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83</w:t>
            </w:r>
          </w:p>
        </w:tc>
        <w:tc>
          <w:tcPr>
            <w:tcW w:w="6508" w:type="dxa"/>
            <w:noWrap/>
            <w:vAlign w:val="center"/>
            <w:hideMark/>
          </w:tcPr>
          <w:p w14:paraId="052EDAD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McClure T.;Davis J.;Garcia M.;Eddy K. R.;Palanee-Phillips T.;Bam B., et al.. Implementing a rapid response to the COVID-19 global pandemic in MTN-034/REACH: An HIV prevention trial among adolescent girls and young women in Africa</w:t>
            </w:r>
          </w:p>
        </w:tc>
        <w:tc>
          <w:tcPr>
            <w:tcW w:w="1871" w:type="dxa"/>
            <w:noWrap/>
            <w:vAlign w:val="center"/>
            <w:hideMark/>
          </w:tcPr>
          <w:p w14:paraId="718DA22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study type of interest</w:t>
            </w:r>
          </w:p>
        </w:tc>
      </w:tr>
      <w:tr w:rsidR="00CD3D2F" w:rsidRPr="00CD3D2F" w14:paraId="055660FC"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E68860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84</w:t>
            </w:r>
          </w:p>
        </w:tc>
        <w:tc>
          <w:tcPr>
            <w:tcW w:w="6508" w:type="dxa"/>
            <w:noWrap/>
            <w:vAlign w:val="center"/>
            <w:hideMark/>
          </w:tcPr>
          <w:p w14:paraId="3AEA196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 xml:space="preserve">Lima M. C.;Sander M.;dos Santos Lunardi M.;Ribeiro L. C.;Rieger D. K.;Lin K., et al.. Challenges in telemedicine for adult patients with drug-resistant epilepsy undergoing </w:t>
            </w:r>
            <w:r w:rsidRPr="00CD3D2F">
              <w:rPr>
                <w:rFonts w:ascii="Arial" w:hAnsi="Arial" w:cs="Arial"/>
                <w:color w:val="000000"/>
                <w:sz w:val="16"/>
                <w:szCs w:val="16"/>
              </w:rPr>
              <w:lastRenderedPageBreak/>
              <w:t>ketogenic diet treatment during the COVID-19 pandemic in the public healthcare system in Brazil</w:t>
            </w:r>
          </w:p>
        </w:tc>
        <w:tc>
          <w:tcPr>
            <w:tcW w:w="1871" w:type="dxa"/>
            <w:noWrap/>
            <w:vAlign w:val="center"/>
            <w:hideMark/>
          </w:tcPr>
          <w:p w14:paraId="41DE39A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lastRenderedPageBreak/>
              <w:t>Not population of interest</w:t>
            </w:r>
          </w:p>
        </w:tc>
      </w:tr>
      <w:tr w:rsidR="00CD3D2F" w:rsidRPr="00CD3D2F" w14:paraId="4CFDEE2A"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DD3688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85</w:t>
            </w:r>
          </w:p>
        </w:tc>
        <w:tc>
          <w:tcPr>
            <w:tcW w:w="6508" w:type="dxa"/>
            <w:noWrap/>
            <w:vAlign w:val="center"/>
            <w:hideMark/>
          </w:tcPr>
          <w:p w14:paraId="125EF498"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Shivangi;Meena L. S.. A comprehensive review of COVID-19 in India: A frequent catch of the information</w:t>
            </w:r>
          </w:p>
        </w:tc>
        <w:tc>
          <w:tcPr>
            <w:tcW w:w="1871" w:type="dxa"/>
            <w:noWrap/>
            <w:vAlign w:val="center"/>
            <w:hideMark/>
          </w:tcPr>
          <w:p w14:paraId="5FDA190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9753AE7"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44A6A0F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86</w:t>
            </w:r>
          </w:p>
        </w:tc>
        <w:tc>
          <w:tcPr>
            <w:tcW w:w="6508" w:type="dxa"/>
            <w:noWrap/>
            <w:vAlign w:val="center"/>
            <w:hideMark/>
          </w:tcPr>
          <w:p w14:paraId="477915A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Wilke N. G.;Howard A. H.;Goldman P.. Rapid return of children in residential care to family as a result of COVID-19: Scope, challenges, and recommendations</w:t>
            </w:r>
          </w:p>
        </w:tc>
        <w:tc>
          <w:tcPr>
            <w:tcW w:w="1871" w:type="dxa"/>
            <w:noWrap/>
            <w:vAlign w:val="center"/>
            <w:hideMark/>
          </w:tcPr>
          <w:p w14:paraId="0B410BF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1BE58F6"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1619BE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87</w:t>
            </w:r>
          </w:p>
        </w:tc>
        <w:tc>
          <w:tcPr>
            <w:tcW w:w="6508" w:type="dxa"/>
            <w:noWrap/>
            <w:vAlign w:val="center"/>
            <w:hideMark/>
          </w:tcPr>
          <w:p w14:paraId="18A649DB"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Ming Z.;Han S.;Deng K.;Reyes E.;Ha Y.;Kim S., et al.. </w:t>
            </w:r>
            <w:r w:rsidRPr="00CD3D2F">
              <w:rPr>
                <w:rFonts w:ascii="Arial" w:hAnsi="Arial" w:cs="Arial"/>
                <w:color w:val="000000"/>
                <w:sz w:val="16"/>
                <w:szCs w:val="16"/>
              </w:rPr>
              <w:t>Prevalence of SARS-CoV-2 Contamination on Food Plant Surfaces as Determined by Environmental Monitoring</w:t>
            </w:r>
          </w:p>
        </w:tc>
        <w:tc>
          <w:tcPr>
            <w:tcW w:w="1871" w:type="dxa"/>
            <w:noWrap/>
            <w:vAlign w:val="center"/>
            <w:hideMark/>
          </w:tcPr>
          <w:p w14:paraId="3E6C09BC"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00FCAC0"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E67A77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88</w:t>
            </w:r>
          </w:p>
        </w:tc>
        <w:tc>
          <w:tcPr>
            <w:tcW w:w="6508" w:type="dxa"/>
            <w:noWrap/>
            <w:vAlign w:val="center"/>
            <w:hideMark/>
          </w:tcPr>
          <w:p w14:paraId="3991433F"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Aquanno S. M.;Bryant T.. Situating the Pandemic: Welfare Capitalism and Canada's Liberal Regime</w:t>
            </w:r>
          </w:p>
        </w:tc>
        <w:tc>
          <w:tcPr>
            <w:tcW w:w="1871" w:type="dxa"/>
            <w:noWrap/>
            <w:vAlign w:val="center"/>
            <w:hideMark/>
          </w:tcPr>
          <w:p w14:paraId="14CDA3C0"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BB454AC"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8E204F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89</w:t>
            </w:r>
          </w:p>
        </w:tc>
        <w:tc>
          <w:tcPr>
            <w:tcW w:w="6508" w:type="dxa"/>
            <w:noWrap/>
            <w:vAlign w:val="center"/>
            <w:hideMark/>
          </w:tcPr>
          <w:p w14:paraId="41E529B5"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lang w:val="nl-NL"/>
              </w:rPr>
              <w:t xml:space="preserve">Lurie N.;Keusch G. T.;Dzau V. J.. </w:t>
            </w:r>
            <w:r w:rsidRPr="00CD3D2F">
              <w:rPr>
                <w:rFonts w:ascii="Arial" w:hAnsi="Arial" w:cs="Arial"/>
                <w:color w:val="000000"/>
                <w:sz w:val="16"/>
                <w:szCs w:val="16"/>
              </w:rPr>
              <w:t>Urgent lessons from COVID 19: why the world needs a standing, coordinated system and sustainable financing for global research and development</w:t>
            </w:r>
          </w:p>
        </w:tc>
        <w:tc>
          <w:tcPr>
            <w:tcW w:w="1871" w:type="dxa"/>
            <w:noWrap/>
            <w:vAlign w:val="center"/>
            <w:hideMark/>
          </w:tcPr>
          <w:p w14:paraId="0F7DE484"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5F395BB3"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0021379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90</w:t>
            </w:r>
          </w:p>
        </w:tc>
        <w:tc>
          <w:tcPr>
            <w:tcW w:w="6508" w:type="dxa"/>
            <w:noWrap/>
            <w:vAlign w:val="center"/>
            <w:hideMark/>
          </w:tcPr>
          <w:p w14:paraId="155E149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Narithi Maharani A. A. S.;Supriyadinatha Gorda A. A. N. E.. Investigating community decisions in online medicines purchasing</w:t>
            </w:r>
          </w:p>
        </w:tc>
        <w:tc>
          <w:tcPr>
            <w:tcW w:w="1871" w:type="dxa"/>
            <w:noWrap/>
            <w:vAlign w:val="center"/>
            <w:hideMark/>
          </w:tcPr>
          <w:p w14:paraId="5548A6F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3DE6C382"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367FC08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91</w:t>
            </w:r>
          </w:p>
        </w:tc>
        <w:tc>
          <w:tcPr>
            <w:tcW w:w="6508" w:type="dxa"/>
            <w:noWrap/>
            <w:vAlign w:val="center"/>
            <w:hideMark/>
          </w:tcPr>
          <w:p w14:paraId="5E093D4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Hejaz H. A.. Palestinian strategies, guidelines, and challenges in the treatment and management of coronavirus disease-2019 (COVID-19)</w:t>
            </w:r>
          </w:p>
        </w:tc>
        <w:tc>
          <w:tcPr>
            <w:tcW w:w="1871" w:type="dxa"/>
            <w:noWrap/>
            <w:vAlign w:val="center"/>
            <w:hideMark/>
          </w:tcPr>
          <w:p w14:paraId="23819967"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682FF9D9"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58E729D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92</w:t>
            </w:r>
          </w:p>
        </w:tc>
        <w:tc>
          <w:tcPr>
            <w:tcW w:w="6508" w:type="dxa"/>
            <w:noWrap/>
            <w:vAlign w:val="center"/>
            <w:hideMark/>
          </w:tcPr>
          <w:p w14:paraId="373C1DB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Campagnano S.;Angelini F.;Fonsi G. B.;Novelli S.;Drudi F. M.. Diagnostic imaging in COVID-19 pneumonia: a literature review</w:t>
            </w:r>
          </w:p>
        </w:tc>
        <w:tc>
          <w:tcPr>
            <w:tcW w:w="1871" w:type="dxa"/>
            <w:noWrap/>
            <w:vAlign w:val="center"/>
            <w:hideMark/>
          </w:tcPr>
          <w:p w14:paraId="184D4A81"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7129C61B"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1390E28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93</w:t>
            </w:r>
          </w:p>
        </w:tc>
        <w:tc>
          <w:tcPr>
            <w:tcW w:w="6508" w:type="dxa"/>
            <w:noWrap/>
            <w:vAlign w:val="center"/>
            <w:hideMark/>
          </w:tcPr>
          <w:p w14:paraId="384E658D"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Selva G. S.;Chandran R. K.;Lambodaran G.;Manodh P.. Covid-19: Current status and future strategies to control the spread in the state of tamil nadu, india</w:t>
            </w:r>
          </w:p>
        </w:tc>
        <w:tc>
          <w:tcPr>
            <w:tcW w:w="1871" w:type="dxa"/>
            <w:noWrap/>
            <w:vAlign w:val="center"/>
            <w:hideMark/>
          </w:tcPr>
          <w:p w14:paraId="329AA146"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r w:rsidR="00CD3D2F" w:rsidRPr="00CD3D2F" w14:paraId="0489C72F" w14:textId="77777777" w:rsidTr="005A199A">
        <w:trPr>
          <w:trHeight w:val="288"/>
        </w:trPr>
        <w:tc>
          <w:tcPr>
            <w:cnfStyle w:val="001000000000" w:firstRow="0" w:lastRow="0" w:firstColumn="1" w:lastColumn="0" w:oddVBand="0" w:evenVBand="0" w:oddHBand="0" w:evenHBand="0" w:firstRowFirstColumn="0" w:firstRowLastColumn="0" w:lastRowFirstColumn="0" w:lastRowLastColumn="0"/>
            <w:tcW w:w="575" w:type="dxa"/>
            <w:noWrap/>
            <w:vAlign w:val="center"/>
            <w:hideMark/>
          </w:tcPr>
          <w:p w14:paraId="6AA1E52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94</w:t>
            </w:r>
          </w:p>
        </w:tc>
        <w:tc>
          <w:tcPr>
            <w:tcW w:w="6508" w:type="dxa"/>
            <w:noWrap/>
            <w:vAlign w:val="center"/>
            <w:hideMark/>
          </w:tcPr>
          <w:p w14:paraId="5FE1FACA"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Su G.;Ong H. C.;Ibrahim S.;Fattah I. M. R.;Mofijur M.;Chong C. T.. Valorisation of medical waste through pyrolysis for a cleaner environment: Progress and challenges</w:t>
            </w:r>
          </w:p>
        </w:tc>
        <w:tc>
          <w:tcPr>
            <w:tcW w:w="1871" w:type="dxa"/>
            <w:noWrap/>
            <w:vAlign w:val="center"/>
            <w:hideMark/>
          </w:tcPr>
          <w:p w14:paraId="7B5EF27E" w14:textId="77777777" w:rsidR="00CD3D2F" w:rsidRPr="00CD3D2F" w:rsidRDefault="00CD3D2F" w:rsidP="00CD3D2F">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CD3D2F">
              <w:rPr>
                <w:rFonts w:ascii="Arial" w:hAnsi="Arial" w:cs="Arial"/>
                <w:color w:val="000000"/>
                <w:sz w:val="16"/>
                <w:szCs w:val="16"/>
              </w:rPr>
              <w:t>Not outcomes of interest</w:t>
            </w:r>
          </w:p>
        </w:tc>
      </w:tr>
    </w:tbl>
    <w:p w14:paraId="34AB0FD8" w14:textId="77777777" w:rsidR="00CD3D2F" w:rsidRPr="00CD3D2F" w:rsidRDefault="00CD3D2F" w:rsidP="00CD3D2F">
      <w:pPr>
        <w:spacing w:line="480" w:lineRule="auto"/>
        <w:rPr>
          <w:rFonts w:ascii="Arial" w:eastAsiaTheme="minorEastAsia" w:hAnsi="Arial" w:cs="Arial"/>
        </w:rPr>
        <w:sectPr w:rsidR="00CD3D2F" w:rsidRPr="00CD3D2F" w:rsidSect="00F86CAF">
          <w:pgSz w:w="11906" w:h="16838" w:code="9"/>
          <w:pgMar w:top="1440" w:right="1440" w:bottom="1595" w:left="1440" w:header="720" w:footer="288" w:gutter="0"/>
          <w:cols w:space="720"/>
          <w:titlePg/>
          <w:docGrid w:linePitch="360"/>
        </w:sectPr>
      </w:pPr>
    </w:p>
    <w:p w14:paraId="218BAD09" w14:textId="77777777" w:rsidR="00CD3D2F" w:rsidRPr="00CD3D2F" w:rsidRDefault="00CD3D2F" w:rsidP="00CD3D2F">
      <w:pPr>
        <w:spacing w:before="120" w:after="120" w:line="480" w:lineRule="auto"/>
        <w:jc w:val="both"/>
        <w:rPr>
          <w:rFonts w:ascii="Arial" w:eastAsia="SimSun" w:hAnsi="Arial" w:cs="Arial"/>
        </w:rPr>
        <w:sectPr w:rsidR="00CD3D2F" w:rsidRPr="00CD3D2F" w:rsidSect="002805FB">
          <w:pgSz w:w="11906" w:h="16838" w:code="9"/>
          <w:pgMar w:top="1440" w:right="1440" w:bottom="1595" w:left="1440" w:header="720" w:footer="288" w:gutter="0"/>
          <w:cols w:space="720"/>
          <w:titlePg/>
          <w:docGrid w:linePitch="360"/>
        </w:sectPr>
      </w:pPr>
    </w:p>
    <w:p w14:paraId="0679E467" w14:textId="77777777" w:rsidR="00CD3D2F" w:rsidRPr="00CD3D2F" w:rsidRDefault="00CD3D2F" w:rsidP="00CD3D2F">
      <w:pPr>
        <w:keepNext/>
        <w:keepLines/>
        <w:spacing w:before="240" w:after="120" w:line="480" w:lineRule="auto"/>
        <w:jc w:val="both"/>
        <w:outlineLvl w:val="0"/>
        <w:rPr>
          <w:rFonts w:ascii="Arial" w:eastAsia="MS Gothic" w:hAnsi="Arial" w:cs="Arial"/>
          <w:b/>
          <w:color w:val="272774"/>
          <w:sz w:val="32"/>
          <w:szCs w:val="32"/>
        </w:rPr>
      </w:pPr>
      <w:bookmarkStart w:id="10" w:name="_Hlk75982722"/>
      <w:bookmarkEnd w:id="9"/>
      <w:r w:rsidRPr="00CD3D2F">
        <w:rPr>
          <w:rFonts w:ascii="Arial" w:eastAsia="MS Gothic" w:hAnsi="Arial" w:cs="Arial"/>
          <w:b/>
          <w:color w:val="272774"/>
          <w:sz w:val="32"/>
          <w:szCs w:val="32"/>
        </w:rPr>
        <w:lastRenderedPageBreak/>
        <w:t>Appendix 4:</w:t>
      </w:r>
      <w:bookmarkEnd w:id="10"/>
      <w:r w:rsidRPr="00CD3D2F">
        <w:rPr>
          <w:rFonts w:ascii="Arial" w:eastAsia="MS Gothic" w:hAnsi="Arial" w:cs="Arial"/>
          <w:b/>
          <w:color w:val="272774"/>
          <w:sz w:val="32"/>
          <w:szCs w:val="32"/>
        </w:rPr>
        <w:t xml:space="preserve"> List of inc</w:t>
      </w:r>
      <w:bookmarkStart w:id="11" w:name="_Ref65488932"/>
      <w:bookmarkStart w:id="12" w:name="_Toc65497990"/>
      <w:r w:rsidRPr="00CD3D2F">
        <w:rPr>
          <w:rFonts w:ascii="Arial" w:eastAsia="MS Gothic" w:hAnsi="Arial" w:cs="Arial"/>
          <w:b/>
          <w:color w:val="272774"/>
          <w:sz w:val="32"/>
          <w:szCs w:val="32"/>
        </w:rPr>
        <w:t>luded studies in the SLR</w:t>
      </w:r>
      <w:bookmarkEnd w:id="11"/>
      <w:bookmarkEnd w:id="12"/>
    </w:p>
    <w:tbl>
      <w:tblPr>
        <w:tblStyle w:val="GridTable4-Accent111"/>
        <w:tblW w:w="9589" w:type="dxa"/>
        <w:tblLook w:val="06A0" w:firstRow="1" w:lastRow="0" w:firstColumn="1" w:lastColumn="0" w:noHBand="1" w:noVBand="1"/>
      </w:tblPr>
      <w:tblGrid>
        <w:gridCol w:w="9589"/>
      </w:tblGrid>
      <w:tr w:rsidR="00CD3D2F" w:rsidRPr="00CD3D2F" w14:paraId="4DB580CE" w14:textId="77777777" w:rsidTr="005A199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589" w:type="dxa"/>
            <w:noWrap/>
            <w:vAlign w:val="center"/>
          </w:tcPr>
          <w:p w14:paraId="0D3BE464" w14:textId="77777777" w:rsidR="00CD3D2F" w:rsidRPr="00CD3D2F" w:rsidRDefault="00CD3D2F" w:rsidP="00CD3D2F">
            <w:pPr>
              <w:spacing w:line="480" w:lineRule="auto"/>
              <w:rPr>
                <w:rFonts w:ascii="Arial" w:eastAsia="Times New Roman" w:hAnsi="Arial" w:cs="Arial"/>
                <w:sz w:val="20"/>
                <w:szCs w:val="20"/>
              </w:rPr>
            </w:pPr>
            <w:r w:rsidRPr="00CD3D2F">
              <w:rPr>
                <w:rFonts w:ascii="Arial" w:eastAsia="Times New Roman" w:hAnsi="Arial" w:cs="Arial"/>
                <w:sz w:val="20"/>
                <w:szCs w:val="20"/>
              </w:rPr>
              <w:t>Individual studies</w:t>
            </w:r>
          </w:p>
        </w:tc>
      </w:tr>
      <w:tr w:rsidR="00CD3D2F" w:rsidRPr="00CD3D2F" w14:paraId="29045922" w14:textId="77777777" w:rsidTr="005A199A">
        <w:trPr>
          <w:trHeight w:val="227"/>
        </w:trPr>
        <w:tc>
          <w:tcPr>
            <w:cnfStyle w:val="001000000000" w:firstRow="0" w:lastRow="0" w:firstColumn="1" w:lastColumn="0" w:oddVBand="0" w:evenVBand="0" w:oddHBand="0" w:evenHBand="0" w:firstRowFirstColumn="0" w:firstRowLastColumn="0" w:lastRowFirstColumn="0" w:lastRowLastColumn="0"/>
            <w:tcW w:w="9589" w:type="dxa"/>
            <w:noWrap/>
            <w:vAlign w:val="center"/>
            <w:hideMark/>
          </w:tcPr>
          <w:p w14:paraId="471B4CA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1.Nurchis MC, Pascucci D, Sapienza M, Villani L, D'Ambrosio F, Castrini F, Specchia ML, Laurenti P, Damiani G. Impact of the Burden of COVID-19 in Italy: Results of Disability-Adjusted Life Years (DALYs) and Productivity Loss. Int J Environ Res Public Health. 2020 Jun 13;17(12):4233. doi: 10.3390/ijerph17124233. PMID: 32545827; PMCID: PMC7345321.</w:t>
            </w:r>
          </w:p>
          <w:p w14:paraId="7D5993F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2.Salje H, Tran Kiem C, Lefrancq N, Courtejoie N, Bosetti P, Paireau J, Andronico A, Hozé N, Richet J, Dubost CL, Le Strat Y, Lessler J, Levy-Bruhl D, Fontanet A, Opatowski L, Boelle PY, Cauchemez S. Estimating the burden of SARS-CoV-2 in France. Science. 2020 Jul 10;369(6500):208-211. doi: 10.1126/science.abc3517. Epub 2020 May 13. Erratum in: Science. 2020 Jun 26;368(6498): PMID: 32404476; PMCID: PMC7223792.</w:t>
            </w:r>
          </w:p>
          <w:p w14:paraId="708F368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3.Anderson MR, Bach PB, Baldwin MR. Hospital Length of Stay for Patients with Severe COVID-19: Implications for Remdesivir's Value. Pharmacoecon Open. 2021 Mar;5(1):129-131. doi: 10.1007/s41669-020-00243-6. Epub 2020 Dec 14. PMID: 33315210; PMCID: PMC7734451.</w:t>
            </w:r>
          </w:p>
          <w:p w14:paraId="412B251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4.Athanasakis K, Nomikos N, Souliotis K, Kyriopoulos J. PNS21 From Disease Burden to Healthcare Cost: Highlighting the Health Economics Aspects of the COVID-19 Pandemic. Value Health. 2020;23:S647. doi:10.1016/j.jval.2020.08.1465</w:t>
            </w:r>
          </w:p>
          <w:p w14:paraId="2F3BCE8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5.Bartsch SM, Ferguson MC, McKinnell JA, O'Shea KJ, Wedlock PT, Siegmund SS, Lee BY. The Potential Health Care Costs And Resource Use Associated With COVID-19 In The United States. Health Aff (Millwood). 2020 Jun;39(6):927-935. doi: 10.1377/hlthaff.2020.00426. Epub 2020 Apr 23. PMID: 32324428.</w:t>
            </w:r>
          </w:p>
          <w:p w14:paraId="246F210F"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6.Birch S. Modelling the economic impact of COVID19 under different policy choices: Mitigation versus suppression when time is a scarce resource. SSM Popul Health. 2020 Dec;12:100667. doi: 10.1016/j.ssmph.2020.100667. Epub 2020 Oct 14. PMID: 33072840; PMCID: PMC7553863.</w:t>
            </w:r>
          </w:p>
          <w:p w14:paraId="5653F44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7.Busch J, Reis Neto JP. PIN170 The NOVEL Coronavirus Disease (COVID-19): Impacts on TESTS and Hospitalizations Performance in a Health PLAN in Brazil. Value Health. 2020;23:S572. doi:10.1016/j.jval.2020.08.1011</w:t>
            </w:r>
          </w:p>
          <w:p w14:paraId="6DCEE14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8.Davies NG, Barnard RC, Jarvis CI, Russell TW, Semple MG, Jit M, Edmunds WJ; Centre for Mathematical Modelling of Infectious Diseases COVID-19 Working Group; ISARIC4C investigators. Association of tiered restrictions and a second lockdown with COVID-19 deaths and hospital admissions in England: a modelling study. Lancet Infect Dis. 2021 Apr;21(4):482-492. doi: 10.1016/S1473-3099(20)30984-1. Epub 2020 Dec 24. PMID: 33357518; PMCID: PMC7758181.</w:t>
            </w:r>
          </w:p>
          <w:p w14:paraId="34A4E49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9.Gedik, Habip. "THE COST ANALYSIS OF INPATIENTS WITH COVID-19." Acta Medica 36 (2020): 3289.</w:t>
            </w:r>
          </w:p>
          <w:p w14:paraId="34E33F1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10.Hamer, Mark, et al. "Overweight, obesity, and risk of hospitalization for COVID-19: A community-based cohort study of adults in the United Kingdom." Proceedings of the National Academy of Sciences 117.35 (2020): 21011-21013.</w:t>
            </w:r>
          </w:p>
          <w:p w14:paraId="0CF7357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11.Hashmi P, Fahad S, Naqi Khan H, Zahid M, Sadruddin A, Noordin S. Covid-19 pandemic: Economic burden on patients with musculoskeletal injuries in a tertiary care hospital of LMIC; retrospective cross sectional study. Ann Med Surg (Lond). 2020 Dec;60:5-8. doi: 10.1016/j.amsu.2020.09.049. Epub 2020 Oct 12. PMID: 33072312; PMCID: PMC7550110.</w:t>
            </w:r>
          </w:p>
          <w:p w14:paraId="02CAB1E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12.Heppner Z, Shreffler J, Polites A, Ross A, Thomas JJ, Huecker M. COVID-19 and emergency department volume: The patients return but have different characteristics [published online ahead of print, 2020 Sep 10]. Am J Emerg Med. 2020;S0735-6757(20)30803-2. doi:10.1016/j.ajem.2020.09.009</w:t>
            </w:r>
          </w:p>
          <w:p w14:paraId="3516DF8D"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13.Nourazari S, Davis SR, Granovsky R, et al. Decreased hospital admissions through emergency departments during the COVID-19 pandemic. Am J Emerg Med. 2021;42:203-210. doi:10.1016/j.ajem.2020.11.029</w:t>
            </w:r>
          </w:p>
          <w:p w14:paraId="498B03C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14.Price-Haywood, Eboni G., et al. "Hospitalization and mortality among black patients and white patients with Covid-19." New England Journal of Medicine 382.26 (2020): 2534-2543.</w:t>
            </w:r>
          </w:p>
          <w:p w14:paraId="751C0AA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15.Shin JH, Takada D, Morishita T, Lin H, Bun S, Teraoka E, Okuno T, Itoshima H, Nagano H, Kishimoto K, Segawa H, Asami Y, Higuchi T, Minato K, Kunisawa S, Imanaka Y. Economic impact of the first wave of the COVID-19 pandemic on acute care hospitals in Japan. PLoS One. 2020 Dec 31;15(12):e0244852. doi: 10.1371/journal.pone.0244852. PMID: 33382838; PMCID: PMC7775082.</w:t>
            </w:r>
          </w:p>
          <w:p w14:paraId="4FD1BF6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16.Holy C, Shah S, Elangovanraaj N, et al. PIN17 Healthcare Resource Utilization and Cost in Patients with Inpatient Mortality Due to COVID-19 Infection. Value Health. 2020;23:S546. doi:10.1016/j.jval.2020.08.858</w:t>
            </w:r>
          </w:p>
          <w:p w14:paraId="3CA97DC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17.Jackson, Michael L. "Low-impact social distancing interventions to mitigate local epidemics of SARS-CoV-2." Microbes and Infection 22.10 (2020): 611-616.</w:t>
            </w:r>
          </w:p>
          <w:p w14:paraId="4D4A480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18.Karagiannidis C, Mostert C, Hentschker C, Voshaar T, Malzahn J, Schillinger G, Klauber J, Janssens U, Marx G, Weber-Carstens S, Kluge S, Pfeifer M, Grabenhenrich L, Welte T, Busse R. Case characteristics, resource use, and outcomes of 10 021 patients with COVID-19 admitted to 920 German hospitals: an observational study. Lancet Respir Med. 2020 Sep;8(9):853-862. doi: 10.1016/S2213-2600(20)30316-7. Epub 2020 Jul 28. PMID: 32735842; PMCID: PMC7386882.</w:t>
            </w:r>
          </w:p>
          <w:p w14:paraId="35BB0CFD"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19.Karahan EB, Öztopçu S, Kurnaz M, et al. PIN56 Cost of COVID-19 Patients Treatment in Turkey. Value Health. 2020;23:S554. doi:10.1016/j.jval.2020.08.897</w:t>
            </w:r>
          </w:p>
          <w:p w14:paraId="63EE1FD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20.Keogh-Brown, Marcus R., et al. "The impact of Covid-19, associated behaviours and policies on the UK economy: A computable general equilibrium model." SSM-population health 12 (2020): 100651.</w:t>
            </w:r>
          </w:p>
          <w:p w14:paraId="4147BA4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21.Khan AA, AlRuthia Y, Balkhi B, et al. Survival and Estimation of Direct Medical Costs of Hospitalized COVID-19 Patients in the Kingdom of Saudi Arabia [published correction appears in Int J Environ Res Public Health. 2020 Dec 17;17(24):]. Int J Environ Res Public Health. 2020;17(20):7458. Published 2020 Oct 13. doi:10.3390/ijerph17207458</w:t>
            </w:r>
          </w:p>
          <w:p w14:paraId="77C2A48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22.Li, Xue-Zheng, et al. "Treatment of coronavirus disease 2019 in Shandong, China: a cost and affordability analysis." Infectious diseases of poverty 9.1 (2020): 1-8.</w:t>
            </w:r>
          </w:p>
          <w:p w14:paraId="012E2A8F"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23.Loerinc LB, Scheel AM, Evans ST, Shabto JM, O'Keefe GA, O'Keefe JB. Discharge characteristics and care transitions of hospitalized patients with COVID-19. Healthc (Amst). 2021 Mar;9(1):100512. doi: 10.1016/j.hjdsi.2020.100512. Epub 2020 Dec 24. PMID: 33383393; PMCID: PMC7836258.</w:t>
            </w:r>
          </w:p>
          <w:p w14:paraId="632351E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24.Vaughn VM, Gandhi TN, Petty LA, Patel PK, Prescott HC, Malani AN, Ratz D, McLaughlin E, Chopra V, Flanders SA. Empiric Antibacterial Therapy and Community-onset Bacterial Coinfection in Patients Hospitalized With Coronavirus Disease 2019 (COVID-19): A Multi-hospital Cohort Study. Clin Infect Dis. 2021 May 18;72(10):e533-e541. doi: 10.1093/cid/ciaa1239. PMID: 32820807; PMCID: PMC7499526.</w:t>
            </w:r>
          </w:p>
          <w:p w14:paraId="5D097C8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25.Viscusi WK. Pricing the global health risks of the COVID-19 pandemic. J Risk Uncertain. 2020 Nov 2:1-28. doi: 10.1007/s11166-020-09337-2. Epub ahead of print. PMID: 33162671; PMCID: PMC7604649.</w:t>
            </w:r>
          </w:p>
          <w:p w14:paraId="4FFB578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26.Oluyase AO, Hocaoglu M, Cripps RL, Maddocks M, Walshe C, Fraser LK, Preston N, Dunleavy L, Bradshaw A, Murtagh FEM, Bajwah S, Sleeman KE, Higginson IJ; CovPall study team. The Challenges of Caring for People Dying From COVID-19: A Multinational, Observational Study (CovPall). J Pain Symptom Manage. 2021 Feb 5:S0885-3924(21)00159-7. doi: 10.1016/j.jpainsymman.2021.01.138. Epub ahead of print. PMID: 33556496; PMCID: PMC7863772.</w:t>
            </w:r>
          </w:p>
          <w:p w14:paraId="7858D17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27.Pardhan S, Drydakis N. Associating the Change in New COVID-19 Cases to GDP per Capita in 38 European Countries in the First Wave of the Pandemic. Front Public Health. 2021 Jan 20;8:582140. doi: 10.3389/fpubh.2020.582140. PMID: 33553086; PMCID: PMC7854531.</w:t>
            </w:r>
          </w:p>
          <w:p w14:paraId="0269C29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28.Zhu N, Aylin P, Rawson T, Gilchrist M, Majeed A, Holmes A. Investigating the impact of COVID-19 on primary care antibiotic prescribing in North West London across two epidemic waves. Clin Microbiol Infect. 2021 Feb 16;27(5):762–8. doi: 10.1016/j.cmi.2021.02.007. Epub ahead of print. PMID: 33601010; PMCID: PMC7884225.</w:t>
            </w:r>
          </w:p>
          <w:p w14:paraId="2E5BD3F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29.Wang J, Lyu Y, Zhang H, Jing R, Lai X, Feng H, Knoll MD, Fang H. Willingness to pay and financing preferences for COVID-19 vaccination in China. Vaccine. 2021 Apr 1;39(14):1968-1976. doi: 10.1016/j.vaccine.2021.02.060. Epub 2021 Feb 27. PMID: 33714653; PMCID: PMC7914003.</w:t>
            </w:r>
          </w:p>
          <w:p w14:paraId="13E020F3"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30.Falah Hasan H. Legal and Health Response to COVID-19 in the Arab Countries. Risk Manag Healthc Policy. 2021;14:1141-1154. Published 2021 Mar 16. doi:10.2147/RMHP.S297565</w:t>
            </w:r>
          </w:p>
          <w:p w14:paraId="185CCFD0"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31.Pham, Anh Viet, et al. "State-level COVID-19 outbreak and stock returns." Finance Research Letters (2021): 102002.</w:t>
            </w:r>
          </w:p>
          <w:p w14:paraId="3B9D279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32.Ghaffari Darab M, Keshavarz K, Sadeghi E, Shahmohamadi J, Kavosi Z. The economic burden of coronavirus disease 2019 (COVID-19): evidence from Iran. BMC Health Serv Res. 2021 Feb 11;21(1):132. doi: 10.1186/s12913-021-06126-8. PMID: 33573650; PMCID: PMC7877330.</w:t>
            </w:r>
          </w:p>
          <w:p w14:paraId="1705B610"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33.Di Fusco M, Shea KM, Lin J, Nguyen JL, Angulo FJ, Benigno M, Malhotra D, Emir B, Sung AH, Hammond JL, Stoychev S, Charos A. Health outcomes and economic burden of hospitalized COVID-19 patients in the United States. J Med Econ. 2021 Jan-Dec;24(1):308-317. doi: 10.1080/13696998.2021.1886109. PMID: 33555956.</w:t>
            </w:r>
          </w:p>
          <w:p w14:paraId="5126393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34.Gandjour A. How Many Intensive Care Beds are Justifiable for Hospital Pandemic Preparedness? A Cost-effectiveness Analysis for COVID-19 in Germany. Appl Health Econ Health Policy. 2021 Mar;19(2):181-190. doi: 10.1007/s40258-020-00632-2. Epub 2021 Jan 12. PMID: 33433853; PMCID: PMC7801567.</w:t>
            </w:r>
          </w:p>
          <w:p w14:paraId="426EA03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35.Dabestani A, DeAngelo D, Chhay SR, Larson BJ, Ganio MC. Medication utilization in patients in New York hospitals during the COVID-19 pandemic. Am J Health Syst Pharm. 2020 Oct 30;77(22):1885-1892. doi: 10.1093/ajhp/zxaa251. PMID: 32712675; PMCID: PMC7454318.</w:t>
            </w:r>
          </w:p>
        </w:tc>
      </w:tr>
      <w:tr w:rsidR="00CD3D2F" w:rsidRPr="00CD3D2F" w14:paraId="6B5C17B4" w14:textId="77777777" w:rsidTr="005A199A">
        <w:trPr>
          <w:trHeight w:val="227"/>
        </w:trPr>
        <w:tc>
          <w:tcPr>
            <w:cnfStyle w:val="001000000000" w:firstRow="0" w:lastRow="0" w:firstColumn="1" w:lastColumn="0" w:oddVBand="0" w:evenVBand="0" w:oddHBand="0" w:evenHBand="0" w:firstRowFirstColumn="0" w:firstRowLastColumn="0" w:lastRowFirstColumn="0" w:lastRowLastColumn="0"/>
            <w:tcW w:w="9589" w:type="dxa"/>
            <w:shd w:val="clear" w:color="auto" w:fill="272774"/>
            <w:noWrap/>
            <w:vAlign w:val="center"/>
            <w:hideMark/>
          </w:tcPr>
          <w:p w14:paraId="26DC4552" w14:textId="77777777" w:rsidR="00CD3D2F" w:rsidRPr="00CD3D2F" w:rsidRDefault="00CD3D2F" w:rsidP="00CD3D2F">
            <w:pPr>
              <w:spacing w:line="480" w:lineRule="auto"/>
              <w:rPr>
                <w:rFonts w:ascii="Arial" w:eastAsia="Times New Roman" w:hAnsi="Arial" w:cs="Arial"/>
                <w:color w:val="FFFFFF"/>
                <w:sz w:val="20"/>
                <w:szCs w:val="20"/>
              </w:rPr>
            </w:pPr>
            <w:r w:rsidRPr="00CD3D2F">
              <w:rPr>
                <w:rFonts w:ascii="Arial" w:eastAsia="Times New Roman" w:hAnsi="Arial" w:cs="Arial"/>
                <w:color w:val="FFFFFF"/>
                <w:sz w:val="20"/>
                <w:szCs w:val="20"/>
              </w:rPr>
              <w:lastRenderedPageBreak/>
              <w:t>Included published SLRs</w:t>
            </w:r>
          </w:p>
        </w:tc>
      </w:tr>
      <w:tr w:rsidR="00CD3D2F" w:rsidRPr="00CD3D2F" w14:paraId="5DE350B5" w14:textId="77777777" w:rsidTr="005A199A">
        <w:trPr>
          <w:trHeight w:val="227"/>
        </w:trPr>
        <w:tc>
          <w:tcPr>
            <w:cnfStyle w:val="001000000000" w:firstRow="0" w:lastRow="0" w:firstColumn="1" w:lastColumn="0" w:oddVBand="0" w:evenVBand="0" w:oddHBand="0" w:evenHBand="0" w:firstRowFirstColumn="0" w:firstRowLastColumn="0" w:lastRowFirstColumn="0" w:lastRowLastColumn="0"/>
            <w:tcW w:w="9589" w:type="dxa"/>
            <w:noWrap/>
            <w:vAlign w:val="center"/>
            <w:hideMark/>
          </w:tcPr>
          <w:p w14:paraId="4706481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themeColor="text1"/>
                <w:sz w:val="16"/>
                <w:szCs w:val="16"/>
              </w:rPr>
              <w:t>1. Mackey, K., Ayers, C. K., Kondo, K. K., Saha, S., Advani, S. M., Young, S., Spencer, H., Rusek, M., Anderson, J., Veazie, S., Smith, M., Kansagara, D.; Racial and Ethnic Disparities in COVID-19-Related Infections, Hospitalizations, and Deaths : A Systematic Review; 2020</w:t>
            </w:r>
          </w:p>
          <w:p w14:paraId="5708127D"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2. Patel, U., Malik, P., Usman, M. S., Mehta, D., Sharma, A., Malik, F. A., Khan, N., Siddiqi, T. J., Ahmed, J., Patel, A., Sacks, H.; Age-Adjusted Risk Factors Associated with Mortality and Mechanical Ventilation Utilization Amongst COVID-19 Hospitalizations—a Systematic Review and Meta-Analysis; 2020</w:t>
            </w:r>
          </w:p>
          <w:p w14:paraId="6BBA1C79" w14:textId="77777777" w:rsidR="00CD3D2F" w:rsidRPr="00CD3D2F" w:rsidRDefault="00CD3D2F" w:rsidP="00CD3D2F">
            <w:pPr>
              <w:spacing w:line="480" w:lineRule="auto"/>
              <w:rPr>
                <w:rFonts w:ascii="Arial" w:eastAsia="Times New Roman" w:hAnsi="Arial" w:cs="Arial"/>
                <w:color w:val="000000"/>
                <w:sz w:val="16"/>
                <w:szCs w:val="16"/>
              </w:rPr>
            </w:pPr>
          </w:p>
        </w:tc>
      </w:tr>
      <w:tr w:rsidR="00CD3D2F" w:rsidRPr="00CD3D2F" w14:paraId="20F52038" w14:textId="77777777" w:rsidTr="005A199A">
        <w:trPr>
          <w:trHeight w:val="227"/>
        </w:trPr>
        <w:tc>
          <w:tcPr>
            <w:cnfStyle w:val="001000000000" w:firstRow="0" w:lastRow="0" w:firstColumn="1" w:lastColumn="0" w:oddVBand="0" w:evenVBand="0" w:oddHBand="0" w:evenHBand="0" w:firstRowFirstColumn="0" w:firstRowLastColumn="0" w:lastRowFirstColumn="0" w:lastRowLastColumn="0"/>
            <w:tcW w:w="9589" w:type="dxa"/>
            <w:shd w:val="clear" w:color="auto" w:fill="272774"/>
            <w:noWrap/>
            <w:vAlign w:val="center"/>
            <w:hideMark/>
          </w:tcPr>
          <w:p w14:paraId="749C083E" w14:textId="77777777" w:rsidR="00CD3D2F" w:rsidRPr="00CD3D2F" w:rsidRDefault="00CD3D2F" w:rsidP="00CD3D2F">
            <w:pPr>
              <w:spacing w:line="480" w:lineRule="auto"/>
              <w:rPr>
                <w:rFonts w:ascii="Arial" w:eastAsia="Times New Roman" w:hAnsi="Arial" w:cs="Arial"/>
                <w:color w:val="FFFFFF"/>
                <w:sz w:val="20"/>
                <w:szCs w:val="20"/>
              </w:rPr>
            </w:pPr>
            <w:r w:rsidRPr="00CD3D2F">
              <w:rPr>
                <w:rFonts w:ascii="Arial" w:eastAsia="Times New Roman" w:hAnsi="Arial" w:cs="Arial"/>
                <w:color w:val="FFFFFF"/>
                <w:sz w:val="20"/>
                <w:szCs w:val="20"/>
              </w:rPr>
              <w:t>Included studies from the published SLRs</w:t>
            </w:r>
          </w:p>
        </w:tc>
      </w:tr>
      <w:tr w:rsidR="00CD3D2F" w:rsidRPr="00CD3D2F" w14:paraId="62A02FAE" w14:textId="77777777" w:rsidTr="005A199A">
        <w:trPr>
          <w:trHeight w:val="227"/>
        </w:trPr>
        <w:tc>
          <w:tcPr>
            <w:cnfStyle w:val="001000000000" w:firstRow="0" w:lastRow="0" w:firstColumn="1" w:lastColumn="0" w:oddVBand="0" w:evenVBand="0" w:oddHBand="0" w:evenHBand="0" w:firstRowFirstColumn="0" w:firstRowLastColumn="0" w:lastRowFirstColumn="0" w:lastRowLastColumn="0"/>
            <w:tcW w:w="9589" w:type="dxa"/>
            <w:noWrap/>
            <w:vAlign w:val="center"/>
            <w:hideMark/>
          </w:tcPr>
          <w:p w14:paraId="76E1DB2F"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 J. Zhao, H. Jin, X. Li, J. Jia, C. Zhang, H. Zhao, et al., Disease burden attributable to the first wave of COVID-19 in China, and the effect of timing on the costeffectiveness of movement restriction policies, Available at: SSRN: https://ssrncom/abstract=3605199. 2020</w:t>
            </w:r>
          </w:p>
          <w:p w14:paraId="51A287E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 Centers for Disease Control and Prevention. COVIDView. Key updates for week 43, ending October 24, 2020. Accessed at www.cdc.gov/coronavirus/2019-ncov/covid-data/pdf/covidview-10-30</w:t>
            </w:r>
          </w:p>
          <w:p w14:paraId="6345274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-2020.pdf on 2 November 2020.</w:t>
            </w:r>
          </w:p>
          <w:p w14:paraId="6F01822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3. Centers for Disease Control and Prevention, National Center for Health Statistics. Health disparities: race and Hispanic origin. Accessed at www.cdc.gov/nchs/nvss/vsrr/covid19/health_disparities.htm on 2 November 2020.</w:t>
            </w:r>
          </w:p>
          <w:p w14:paraId="27EAC91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4. APM Research Lab 2020. Color of coronavirus. American Public Media. Accessed at www.apmresearchlab.org/covid/deaths-by-race#reporting on 2 November 2020.</w:t>
            </w:r>
          </w:p>
          <w:p w14:paraId="753156B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5. . Adegunsoye A, Ventura IB, Liarski VM. Association of black race with outcomes in COVID-19 disease: a retrospective cohort study [Letter]. Ann Am Thorac Soc. 2020;17:1336-1339. [PMID:32643398] doi:10.1513/AnnalsATS.202006-583RL</w:t>
            </w:r>
          </w:p>
          <w:p w14:paraId="00D9734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hAnsi="Arial" w:cs="Arial"/>
                <w:color w:val="000000"/>
                <w:sz w:val="16"/>
                <w:lang w:val="nl-NL"/>
              </w:rPr>
              <w:t xml:space="preserve">6. Azar KMJ, Shen Z, Romanelli RJ, et al. </w:t>
            </w:r>
            <w:r w:rsidRPr="00CD3D2F">
              <w:rPr>
                <w:rFonts w:ascii="Arial" w:eastAsia="Times New Roman" w:hAnsi="Arial" w:cs="Arial"/>
                <w:color w:val="000000"/>
                <w:sz w:val="16"/>
                <w:szCs w:val="16"/>
              </w:rPr>
              <w:t>Disparities in outcomes among COVID-19 patients in a large health care system in California. Health Aff (Millwood). 2020;39:1253-62. [PMID: 32437224] doi:10.1377/hlthaff.2020.00598</w:t>
            </w:r>
          </w:p>
          <w:p w14:paraId="3127D30B"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hAnsi="Arial" w:cs="Arial"/>
                <w:color w:val="000000"/>
                <w:sz w:val="16"/>
                <w:lang w:val="nl-NL"/>
              </w:rPr>
              <w:t xml:space="preserve">7. Ebinger JE, Achamallah N, Ji H, et al. </w:t>
            </w:r>
            <w:r w:rsidRPr="00CD3D2F">
              <w:rPr>
                <w:rFonts w:ascii="Arial" w:eastAsia="Times New Roman" w:hAnsi="Arial" w:cs="Arial"/>
                <w:color w:val="000000"/>
                <w:sz w:val="16"/>
                <w:szCs w:val="16"/>
              </w:rPr>
              <w:t>Pre-existing traits associated with Covid-19 illness severity. PLoS One. 2020;15:e0236240. [PMID: 32702044] doi:10.1371/journal.pone.0236240</w:t>
            </w:r>
          </w:p>
          <w:p w14:paraId="5FD8109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8. Golestaneh L, Neugarten J, Fisher M, et al. The association of race and COVID-19 mortality. EClinicalMedicine. 2020;25:100455. [PMID: 32838233] doi:10.1016/j.eclinm.2020.100455</w:t>
            </w:r>
          </w:p>
          <w:p w14:paraId="7F01035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9. Gu T, Mack JA, Salvatore M, et al. Characteristics associated with Racial/Ethnic disparities in COVID-19 outcomes in an academic health care system. JAMA Netw Open. 2020;3:e2025197. [PMID:33084902] doi:10.1001/jamanetworkopen.2020.25197</w:t>
            </w:r>
          </w:p>
          <w:p w14:paraId="64E96B8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10. Killerby ME, Link-Gelles R, Haight SC, et al; CDC COVID-19 Response Clinical Team. Characteristics associated with hospitalization among patients with COVID-19 - metropolitan Atlanta, Georgia, March-April 2020. MMWR Morb Mortal Wkly Rep. 2020;69:790-4. [PMID: 32584797] doi:10.15585/mmwr.mm6925e1</w:t>
            </w:r>
          </w:p>
          <w:p w14:paraId="69D00FB5"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11. Kim L, Garg S, O’Halloran A, et al. Risk factors for intensive care unit admission and in-hospital mortality among hospitalized adults identified through the U.S. coronavirus disease 2019 (COVID-19)- associated hospitalization surveillance network (COVID-NET). Clin Infect Dis. 2020. [PMID: 32674114] doi:10.1093/cid/ciaa1012</w:t>
            </w:r>
          </w:p>
          <w:p w14:paraId="6DF78CE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12. Lara OD, O’Cearbhaill RE, Smith MJ, et al. COVID-19 outcomes of patients with gynecologic cancer in New York City. Cancer. 2020. [PMID: 32729142] doi:10.1002/cncr.33084</w:t>
            </w:r>
          </w:p>
          <w:p w14:paraId="4CE4BD27"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lastRenderedPageBreak/>
              <w:t>13. McCarty TR, Hathorn KE, Redd WD, et al. How do presenting symptoms and outcomes differ by race/ethnicity among hospitalized patients with COVID-19 infection? Experience in Massachusetts. Clin Infect Dis. 2020. [PMID: 32827436] doi:10.1093/cid/ciaa1245</w:t>
            </w:r>
          </w:p>
          <w:p w14:paraId="7E394F2A" w14:textId="77777777" w:rsidR="00CD3D2F" w:rsidRPr="00CD3D2F" w:rsidRDefault="00CD3D2F" w:rsidP="00CD3D2F">
            <w:pPr>
              <w:spacing w:line="480" w:lineRule="auto"/>
              <w:rPr>
                <w:rFonts w:ascii="Arial" w:hAnsi="Arial" w:cs="Arial"/>
                <w:color w:val="000000"/>
                <w:sz w:val="16"/>
                <w:lang w:val="nl-NL"/>
              </w:rPr>
            </w:pPr>
            <w:r w:rsidRPr="00CD3D2F">
              <w:rPr>
                <w:rFonts w:ascii="Arial" w:eastAsia="Times New Roman" w:hAnsi="Arial" w:cs="Arial"/>
                <w:color w:val="000000"/>
                <w:sz w:val="16"/>
                <w:szCs w:val="16"/>
              </w:rPr>
              <w:t xml:space="preserve">14. Petrilli CM, Jones SA, Yang J, et al. Factors associated with hospital admission and critical illness among 5279 people with coronavirus disease 2019 in New York City: prospective cohort study. </w:t>
            </w:r>
            <w:r w:rsidRPr="00CD3D2F">
              <w:rPr>
                <w:rFonts w:ascii="Arial" w:hAnsi="Arial" w:cs="Arial"/>
                <w:color w:val="000000"/>
                <w:sz w:val="16"/>
                <w:lang w:val="nl-NL"/>
              </w:rPr>
              <w:t>BMJ. 2020;369:m1966. [PMID: 32444366] doi:10.1136/bmj.m1966</w:t>
            </w:r>
          </w:p>
          <w:p w14:paraId="779F01D4" w14:textId="77777777" w:rsidR="00CD3D2F" w:rsidRPr="00CD3D2F" w:rsidRDefault="00CD3D2F" w:rsidP="00CD3D2F">
            <w:pPr>
              <w:spacing w:line="480" w:lineRule="auto"/>
              <w:rPr>
                <w:rFonts w:ascii="Arial" w:hAnsi="Arial" w:cs="Arial"/>
                <w:color w:val="000000"/>
                <w:sz w:val="16"/>
                <w:lang w:val="nl-NL"/>
              </w:rPr>
            </w:pPr>
            <w:r w:rsidRPr="00CD3D2F">
              <w:rPr>
                <w:rFonts w:ascii="Arial" w:hAnsi="Arial" w:cs="Arial"/>
                <w:color w:val="000000" w:themeColor="text1"/>
                <w:sz w:val="16"/>
                <w:lang w:val="nl-NL"/>
              </w:rPr>
              <w:t xml:space="preserve">15. </w:t>
            </w:r>
            <w:r w:rsidRPr="00CD3D2F">
              <w:rPr>
                <w:rFonts w:ascii="Arial" w:hAnsi="Arial" w:cs="Arial"/>
                <w:color w:val="000000"/>
                <w:sz w:val="16"/>
                <w:lang w:val="nl-NL"/>
              </w:rPr>
              <w:t xml:space="preserve">Rentsch CT, Kidwai-Khan F, Tate JP, et al. </w:t>
            </w:r>
            <w:r w:rsidRPr="00CD3D2F">
              <w:rPr>
                <w:rFonts w:ascii="Arial" w:eastAsia="Times New Roman" w:hAnsi="Arial" w:cs="Arial"/>
                <w:color w:val="000000"/>
                <w:sz w:val="16"/>
                <w:szCs w:val="16"/>
              </w:rPr>
              <w:t xml:space="preserve">Covid-19 testing, hospital admission, and intensive care among 2,026,227 United States veterans aged 54-75 years. med. </w:t>
            </w:r>
            <w:r w:rsidRPr="00CD3D2F">
              <w:rPr>
                <w:rFonts w:ascii="Arial" w:hAnsi="Arial" w:cs="Arial"/>
                <w:color w:val="000000"/>
                <w:sz w:val="16"/>
                <w:lang w:val="nl-NL"/>
              </w:rPr>
              <w:t>Rxiv. 2020. [PMID:32511595] doi:10.1101/2020.04.09.20059964</w:t>
            </w:r>
          </w:p>
          <w:p w14:paraId="2A1620B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hAnsi="Arial" w:cs="Arial"/>
                <w:color w:val="000000"/>
                <w:sz w:val="16"/>
                <w:lang w:val="nl-NL"/>
              </w:rPr>
              <w:t xml:space="preserve">16. Rentsch CT, Kidwai-Khan F, Tate JP, et al. </w:t>
            </w:r>
            <w:r w:rsidRPr="00CD3D2F">
              <w:rPr>
                <w:rFonts w:ascii="Arial" w:eastAsia="Times New Roman" w:hAnsi="Arial" w:cs="Arial"/>
                <w:color w:val="000000"/>
                <w:sz w:val="16"/>
                <w:szCs w:val="16"/>
              </w:rPr>
              <w:t>Covid-19 by race and ethnicity: a national cohort study of 6 million United States veterans. med. Rxiv. 2020. [PMID: 32511524] doi:10.1101/2020.05.12.20099135</w:t>
            </w:r>
          </w:p>
          <w:p w14:paraId="2DF212A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17. Salacup G, Lo KB, Gul F, et al. Characteristics and clinical outcomes of COVID-19 patients in an underserved-inner city population: a single tertiary center cohort. J Med Virol. 2020. [PMID:32617986] doi:10.1002/jmv.26252</w:t>
            </w:r>
          </w:p>
          <w:p w14:paraId="3AC35CE7" w14:textId="77777777" w:rsidR="00CD3D2F" w:rsidRPr="00CD3D2F" w:rsidRDefault="00CD3D2F" w:rsidP="00CD3D2F">
            <w:pPr>
              <w:spacing w:line="480" w:lineRule="auto"/>
              <w:rPr>
                <w:rFonts w:ascii="Arial" w:hAnsi="Arial" w:cs="Arial"/>
                <w:color w:val="000000"/>
                <w:sz w:val="16"/>
                <w:lang w:val="nl-NL"/>
              </w:rPr>
            </w:pPr>
            <w:r w:rsidRPr="00CD3D2F">
              <w:rPr>
                <w:rFonts w:ascii="Arial" w:hAnsi="Arial" w:cs="Arial"/>
                <w:color w:val="000000"/>
                <w:sz w:val="16"/>
                <w:lang w:val="nl-NL"/>
              </w:rPr>
              <w:t xml:space="preserve">18. Shah P, Owens J, Franklin J, et al. </w:t>
            </w:r>
            <w:r w:rsidRPr="00CD3D2F">
              <w:rPr>
                <w:rFonts w:ascii="Arial" w:eastAsia="Times New Roman" w:hAnsi="Arial" w:cs="Arial"/>
                <w:color w:val="000000"/>
                <w:sz w:val="16"/>
                <w:szCs w:val="16"/>
              </w:rPr>
              <w:t xml:space="preserve">Demographics, comorbidities and outcomes in hospitalized Covid-19 patients in rural southwest Georgia. </w:t>
            </w:r>
            <w:r w:rsidRPr="00CD3D2F">
              <w:rPr>
                <w:rFonts w:ascii="Arial" w:hAnsi="Arial" w:cs="Arial"/>
                <w:color w:val="000000"/>
                <w:sz w:val="16"/>
                <w:lang w:val="nl-NL"/>
              </w:rPr>
              <w:t>Ann Med. 2020;52:354-60. [PMID: 32620056] doi:10.1080/07853890.2020.1791356</w:t>
            </w:r>
          </w:p>
          <w:p w14:paraId="73CFCC87" w14:textId="77777777" w:rsidR="00CD3D2F" w:rsidRPr="00CD3D2F" w:rsidRDefault="00CD3D2F" w:rsidP="00CD3D2F">
            <w:pPr>
              <w:spacing w:line="480" w:lineRule="auto"/>
              <w:rPr>
                <w:rFonts w:ascii="Arial" w:hAnsi="Arial" w:cs="Arial"/>
                <w:color w:val="000000"/>
                <w:sz w:val="16"/>
                <w:lang w:val="nl-NL"/>
              </w:rPr>
            </w:pPr>
            <w:r w:rsidRPr="00CD3D2F">
              <w:rPr>
                <w:rFonts w:ascii="Arial" w:hAnsi="Arial" w:cs="Arial"/>
                <w:color w:val="000000"/>
                <w:sz w:val="16"/>
                <w:lang w:val="nl-NL"/>
              </w:rPr>
              <w:t xml:space="preserve">19. van Gerwen M, Alsen M, Little C, et al. </w:t>
            </w:r>
            <w:r w:rsidRPr="00CD3D2F">
              <w:rPr>
                <w:rFonts w:ascii="Arial" w:eastAsia="Times New Roman" w:hAnsi="Arial" w:cs="Arial"/>
                <w:color w:val="000000"/>
                <w:sz w:val="16"/>
                <w:szCs w:val="16"/>
              </w:rPr>
              <w:t xml:space="preserve">Risk factors and outcomes of COVID-19 in New York City; a retrospective cohort study. </w:t>
            </w:r>
            <w:r w:rsidRPr="00CD3D2F">
              <w:rPr>
                <w:rFonts w:ascii="Arial" w:hAnsi="Arial" w:cs="Arial"/>
                <w:color w:val="000000"/>
                <w:sz w:val="16"/>
                <w:lang w:val="nl-NL"/>
              </w:rPr>
              <w:t>J Med Virol. 2020. [PMID: 32706392] doi:10.1002/jmv.26337</w:t>
            </w:r>
          </w:p>
          <w:p w14:paraId="05E6433E"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hAnsi="Arial" w:cs="Arial"/>
                <w:color w:val="000000"/>
                <w:sz w:val="16"/>
                <w:lang w:val="nl-NL"/>
              </w:rPr>
              <w:t xml:space="preserve">20. Wang Z, Zheutlin AB, Kao YH, et al. </w:t>
            </w:r>
            <w:r w:rsidRPr="00CD3D2F">
              <w:rPr>
                <w:rFonts w:ascii="Arial" w:eastAsia="Times New Roman" w:hAnsi="Arial" w:cs="Arial"/>
                <w:color w:val="000000"/>
                <w:sz w:val="16"/>
                <w:szCs w:val="16"/>
              </w:rPr>
              <w:t>Analysis of hospitalized COVID-19 patients in the Mount Sinai Health System using</w:t>
            </w:r>
          </w:p>
          <w:p w14:paraId="6DAE6016"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electronic medical records (EMR) reveals important prognostic factors for improved clinical outcomes. medRxiv. Preprint posted online 4 May 2020. doi:10.1101/2020.04.28.20075788</w:t>
            </w:r>
          </w:p>
          <w:p w14:paraId="55A91F8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21. Yehia BR, Winegar A, Fogel R, et al. Association of race with mortality among patients hospitalized with coronavirus disease 2019 (COVID-19) at 92 US hospitals. JAMA Netw Open. 2020;3:e2018039 [PMID: 32809033] doi:10.1001/jamanetworkopen.2020.18039</w:t>
            </w:r>
          </w:p>
          <w:p w14:paraId="542B81D7"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hAnsi="Arial" w:cs="Arial"/>
                <w:color w:val="000000"/>
                <w:sz w:val="16"/>
                <w:lang w:val="nl-NL"/>
              </w:rPr>
              <w:t xml:space="preserve">22. Huang C, Wang Y, Li X, Ren L, Zhao J, Hu Y, et al. </w:t>
            </w:r>
            <w:r w:rsidRPr="00CD3D2F">
              <w:rPr>
                <w:rFonts w:ascii="Arial" w:eastAsia="Times New Roman" w:hAnsi="Arial" w:cs="Arial"/>
                <w:color w:val="000000"/>
                <w:sz w:val="16"/>
                <w:szCs w:val="16"/>
              </w:rPr>
              <w:t>Clinical features of patients infected with 2019 novel coronavirus in</w:t>
            </w:r>
          </w:p>
          <w:p w14:paraId="2421025A"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 xml:space="preserve">Wuhan, China. Lancet. 2020;395(10223):497–506. </w:t>
            </w:r>
            <w:hyperlink r:id="rId15" w:history="1">
              <w:r w:rsidRPr="00CD3D2F">
                <w:rPr>
                  <w:rFonts w:ascii="Arial" w:eastAsia="Times New Roman" w:hAnsi="Arial" w:cs="Arial"/>
                  <w:color w:val="4182FF"/>
                  <w:sz w:val="16"/>
                  <w:szCs w:val="16"/>
                  <w:u w:val="single"/>
                </w:rPr>
                <w:t>https://doi.org/10.1016/s0140-6736(20)30183-5</w:t>
              </w:r>
            </w:hyperlink>
            <w:r w:rsidRPr="00CD3D2F">
              <w:rPr>
                <w:rFonts w:ascii="Arial" w:eastAsia="Times New Roman" w:hAnsi="Arial" w:cs="Arial"/>
                <w:color w:val="000000"/>
                <w:sz w:val="16"/>
                <w:szCs w:val="16"/>
              </w:rPr>
              <w:t>.</w:t>
            </w:r>
          </w:p>
          <w:p w14:paraId="21640A18"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 xml:space="preserve">23. Guan W-j, Liang W-h, Zhao Y, Liang H-r, Chen Z-s, Li Y-m, et al. Comorbidity and its impact on 1590 patients with COVID-19 in China: a nationwide analysis. Eur Respir J. 2020;55(5):2000547. </w:t>
            </w:r>
            <w:hyperlink r:id="rId16" w:history="1">
              <w:r w:rsidRPr="00CD3D2F">
                <w:rPr>
                  <w:rFonts w:ascii="Arial" w:eastAsia="Times New Roman" w:hAnsi="Arial" w:cs="Arial"/>
                  <w:color w:val="4182FF"/>
                  <w:sz w:val="16"/>
                  <w:szCs w:val="16"/>
                  <w:u w:val="single"/>
                </w:rPr>
                <w:t>https://doi.org/10.1183/13993003.00547-2020</w:t>
              </w:r>
            </w:hyperlink>
            <w:r w:rsidRPr="00CD3D2F">
              <w:rPr>
                <w:rFonts w:ascii="Arial" w:eastAsia="Times New Roman" w:hAnsi="Arial" w:cs="Arial"/>
                <w:color w:val="000000"/>
                <w:sz w:val="16"/>
                <w:szCs w:val="16"/>
              </w:rPr>
              <w:t>.</w:t>
            </w:r>
          </w:p>
          <w:p w14:paraId="15E3F49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hAnsi="Arial" w:cs="Arial"/>
                <w:color w:val="000000" w:themeColor="text1"/>
                <w:sz w:val="16"/>
                <w:lang w:val="nl-NL"/>
              </w:rPr>
              <w:t xml:space="preserve">24. </w:t>
            </w:r>
            <w:r w:rsidRPr="00CD3D2F">
              <w:rPr>
                <w:rFonts w:ascii="Arial" w:hAnsi="Arial" w:cs="Arial"/>
                <w:color w:val="000000"/>
                <w:sz w:val="16"/>
                <w:lang w:val="nl-NL"/>
              </w:rPr>
              <w:t xml:space="preserve">Wang D, Hu B, Hu C, Zhu F, Liu X, Zhang J, et al. </w:t>
            </w:r>
            <w:r w:rsidRPr="00CD3D2F">
              <w:rPr>
                <w:rFonts w:ascii="Arial" w:eastAsia="Times New Roman" w:hAnsi="Arial" w:cs="Arial"/>
                <w:color w:val="000000"/>
                <w:sz w:val="16"/>
                <w:szCs w:val="16"/>
              </w:rPr>
              <w:t>Clinical characteristics of 138 hospitalized patients with 2019 novel</w:t>
            </w:r>
          </w:p>
          <w:p w14:paraId="652A1AD7" w14:textId="77777777" w:rsidR="00CD3D2F" w:rsidRPr="00CD3D2F" w:rsidRDefault="00CD3D2F" w:rsidP="00CD3D2F">
            <w:pPr>
              <w:spacing w:line="480" w:lineRule="auto"/>
              <w:rPr>
                <w:rFonts w:ascii="Arial" w:hAnsi="Arial" w:cs="Arial"/>
                <w:color w:val="000000"/>
                <w:sz w:val="16"/>
                <w:lang w:val="fr-CA"/>
              </w:rPr>
            </w:pPr>
            <w:r w:rsidRPr="00CD3D2F">
              <w:rPr>
                <w:rFonts w:ascii="Arial" w:eastAsia="Times New Roman" w:hAnsi="Arial" w:cs="Arial"/>
                <w:color w:val="000000"/>
                <w:sz w:val="16"/>
                <w:szCs w:val="16"/>
              </w:rPr>
              <w:t xml:space="preserve">coronavirus–infected pneumonia in Wuhan, China. </w:t>
            </w:r>
            <w:r w:rsidRPr="00CD3D2F">
              <w:rPr>
                <w:rFonts w:ascii="Arial" w:eastAsiaTheme="minorEastAsia" w:hAnsi="Arial" w:cs="Arial"/>
                <w:color w:val="000000"/>
                <w:sz w:val="16"/>
                <w:lang w:val="fr-CA"/>
              </w:rPr>
              <w:t xml:space="preserve">JAMA. 2020;323(11):1061–9. </w:t>
            </w:r>
            <w:hyperlink r:id="rId17" w:history="1">
              <w:r w:rsidRPr="00CD3D2F">
                <w:rPr>
                  <w:rFonts w:ascii="Arial" w:eastAsiaTheme="minorEastAsia" w:hAnsi="Arial" w:cs="Arial"/>
                  <w:color w:val="4182FF"/>
                  <w:sz w:val="16"/>
                  <w:u w:val="single"/>
                  <w:lang w:val="fr-CA"/>
                </w:rPr>
                <w:t>https://doi.org/10.1001/jama.2020.1585</w:t>
              </w:r>
            </w:hyperlink>
          </w:p>
          <w:p w14:paraId="1B54A4D7" w14:textId="77777777" w:rsidR="00CD3D2F" w:rsidRPr="00CD3D2F" w:rsidRDefault="00CD3D2F" w:rsidP="00CD3D2F">
            <w:pPr>
              <w:spacing w:line="480" w:lineRule="auto"/>
              <w:rPr>
                <w:rFonts w:ascii="Arial" w:hAnsi="Arial" w:cs="Arial"/>
                <w:color w:val="000000"/>
                <w:sz w:val="16"/>
                <w:lang w:val="fr-CA"/>
              </w:rPr>
            </w:pPr>
            <w:r w:rsidRPr="00CD3D2F">
              <w:rPr>
                <w:rFonts w:ascii="Arial" w:hAnsi="Arial" w:cs="Arial"/>
                <w:color w:val="000000"/>
                <w:sz w:val="16"/>
                <w:lang w:val="nl-NL"/>
              </w:rPr>
              <w:t xml:space="preserve">25. Xu XW, Wu XX, Jiang XG, Xu KJ, Ying LJ, Ma CL, et al. </w:t>
            </w:r>
            <w:r w:rsidRPr="00CD3D2F">
              <w:rPr>
                <w:rFonts w:ascii="Arial" w:eastAsia="Times New Roman" w:hAnsi="Arial" w:cs="Arial"/>
                <w:color w:val="000000"/>
                <w:sz w:val="16"/>
                <w:szCs w:val="16"/>
              </w:rPr>
              <w:t xml:space="preserve">Clinical findings in a group of patients infected with the 2019 novel coronavirus (SARS-Cov-2) outside of Wuhan, China: retrospective case series. </w:t>
            </w:r>
            <w:r w:rsidRPr="00CD3D2F">
              <w:rPr>
                <w:rFonts w:ascii="Arial" w:eastAsiaTheme="minorEastAsia" w:hAnsi="Arial" w:cs="Arial"/>
                <w:color w:val="000000"/>
                <w:sz w:val="16"/>
                <w:lang w:val="fr-CA"/>
              </w:rPr>
              <w:t xml:space="preserve">BMJ. 2020;368:m606. </w:t>
            </w:r>
            <w:hyperlink r:id="rId18" w:history="1">
              <w:r w:rsidRPr="00CD3D2F">
                <w:rPr>
                  <w:rFonts w:ascii="Arial" w:eastAsiaTheme="minorEastAsia" w:hAnsi="Arial" w:cs="Arial"/>
                  <w:color w:val="4182FF"/>
                  <w:sz w:val="16"/>
                  <w:u w:val="single"/>
                  <w:lang w:val="fr-CA"/>
                </w:rPr>
                <w:t>https://doi.org/10.1136/bmj.m606</w:t>
              </w:r>
            </w:hyperlink>
            <w:r w:rsidRPr="00CD3D2F">
              <w:rPr>
                <w:rFonts w:ascii="Arial" w:eastAsiaTheme="minorEastAsia" w:hAnsi="Arial" w:cs="Arial"/>
                <w:color w:val="000000"/>
                <w:sz w:val="16"/>
                <w:lang w:val="fr-CA"/>
              </w:rPr>
              <w:t>.</w:t>
            </w:r>
          </w:p>
          <w:p w14:paraId="194493D1"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heme="minorEastAsia" w:hAnsi="Arial" w:cs="Arial"/>
                <w:color w:val="000000"/>
                <w:sz w:val="16"/>
                <w:lang w:val="fr-CA"/>
              </w:rPr>
              <w:t xml:space="preserve">26. Chen N, Zhou M, Dong X, Qu J, Gong F, Han Y, et al. </w:t>
            </w:r>
            <w:r w:rsidRPr="00CD3D2F">
              <w:rPr>
                <w:rFonts w:ascii="Arial" w:eastAsia="Times New Roman" w:hAnsi="Arial" w:cs="Arial"/>
                <w:color w:val="000000"/>
                <w:sz w:val="16"/>
                <w:szCs w:val="16"/>
              </w:rPr>
              <w:t>Epidemiological and clinical characteristics of 99 cases of 2019</w:t>
            </w:r>
          </w:p>
          <w:p w14:paraId="76E765E1" w14:textId="77777777" w:rsidR="00CD3D2F" w:rsidRPr="00CD3D2F" w:rsidRDefault="00CD3D2F" w:rsidP="00CD3D2F">
            <w:pPr>
              <w:spacing w:line="480" w:lineRule="auto"/>
              <w:rPr>
                <w:rFonts w:ascii="Arial" w:hAnsi="Arial" w:cs="Arial"/>
                <w:color w:val="000000"/>
                <w:sz w:val="16"/>
                <w:lang w:val="nl-NL"/>
              </w:rPr>
            </w:pPr>
            <w:r w:rsidRPr="00CD3D2F">
              <w:rPr>
                <w:rFonts w:ascii="Arial" w:eastAsia="Times New Roman" w:hAnsi="Arial" w:cs="Arial"/>
                <w:color w:val="000000"/>
                <w:sz w:val="16"/>
                <w:szCs w:val="16"/>
              </w:rPr>
              <w:t xml:space="preserve">novel coronavirus pneumonia in Wuhan, China: a descriptive study. </w:t>
            </w:r>
            <w:r w:rsidRPr="00CD3D2F">
              <w:rPr>
                <w:rFonts w:ascii="Arial" w:hAnsi="Arial" w:cs="Arial"/>
                <w:color w:val="000000"/>
                <w:sz w:val="16"/>
                <w:lang w:val="nl-NL"/>
              </w:rPr>
              <w:t xml:space="preserve">Lancet. 2020;395(10223):507–13. </w:t>
            </w:r>
            <w:hyperlink r:id="rId19" w:history="1">
              <w:r w:rsidRPr="00CD3D2F">
                <w:rPr>
                  <w:rFonts w:ascii="Arial" w:hAnsi="Arial" w:cs="Arial"/>
                  <w:color w:val="4182FF"/>
                  <w:sz w:val="16"/>
                  <w:u w:val="single"/>
                  <w:lang w:val="nl-NL"/>
                </w:rPr>
                <w:t>https://doi.org/10.1016/s0140-6736(20)30211-7</w:t>
              </w:r>
            </w:hyperlink>
          </w:p>
          <w:p w14:paraId="263C6858" w14:textId="77777777" w:rsidR="00CD3D2F" w:rsidRPr="00CD3D2F" w:rsidRDefault="00CD3D2F" w:rsidP="00CD3D2F">
            <w:pPr>
              <w:spacing w:line="480" w:lineRule="auto"/>
              <w:rPr>
                <w:rFonts w:ascii="Arial" w:hAnsi="Arial" w:cs="Arial"/>
                <w:color w:val="000000"/>
                <w:sz w:val="16"/>
                <w:lang w:val="nl-NL"/>
              </w:rPr>
            </w:pPr>
          </w:p>
          <w:p w14:paraId="767BB854" w14:textId="77777777" w:rsidR="00CD3D2F" w:rsidRPr="00CD3D2F" w:rsidRDefault="00CD3D2F" w:rsidP="00CD3D2F">
            <w:pPr>
              <w:spacing w:line="480" w:lineRule="auto"/>
              <w:rPr>
                <w:rFonts w:ascii="Arial" w:hAnsi="Arial" w:cs="Arial"/>
                <w:color w:val="000000"/>
                <w:sz w:val="16"/>
                <w:lang w:val="fr-CA"/>
              </w:rPr>
            </w:pPr>
            <w:r w:rsidRPr="00CD3D2F">
              <w:rPr>
                <w:rFonts w:ascii="Arial" w:hAnsi="Arial" w:cs="Arial"/>
                <w:color w:val="000000"/>
                <w:sz w:val="16"/>
                <w:lang w:val="nl-NL"/>
              </w:rPr>
              <w:lastRenderedPageBreak/>
              <w:t xml:space="preserve">27. Yang X, Yu Y, Xu J, Shu H, Ja X, Liu H, et al. </w:t>
            </w:r>
            <w:r w:rsidRPr="00CD3D2F">
              <w:rPr>
                <w:rFonts w:ascii="Arial" w:eastAsia="Times New Roman" w:hAnsi="Arial" w:cs="Arial"/>
                <w:color w:val="000000"/>
                <w:sz w:val="16"/>
                <w:szCs w:val="16"/>
              </w:rPr>
              <w:t xml:space="preserve">Clinical course and outcomes of critically ill patients with SARS-CoV-2 pneumonia in Wuhan, China: a single-centered, retrospective, observational study. </w:t>
            </w:r>
            <w:r w:rsidRPr="00CD3D2F">
              <w:rPr>
                <w:rFonts w:ascii="Arial" w:eastAsiaTheme="minorEastAsia" w:hAnsi="Arial" w:cs="Arial"/>
                <w:color w:val="000000"/>
                <w:sz w:val="16"/>
                <w:lang w:val="fr-CA"/>
              </w:rPr>
              <w:t>Lancet Respir Med. 2020;8(5):475–81. https://doi.org/10.1016/S2213-2600(20)30079-5.</w:t>
            </w:r>
          </w:p>
          <w:p w14:paraId="035B6FD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heme="minorEastAsia" w:hAnsi="Arial" w:cs="Arial"/>
                <w:color w:val="000000"/>
                <w:sz w:val="16"/>
                <w:lang w:val="fr-CA"/>
              </w:rPr>
              <w:t xml:space="preserve">28. Zhou F, Yu T, Du R, Fan G, Liu Y, Liu Z, et al. </w:t>
            </w:r>
            <w:r w:rsidRPr="00CD3D2F">
              <w:rPr>
                <w:rFonts w:ascii="Arial" w:eastAsia="Times New Roman" w:hAnsi="Arial" w:cs="Arial"/>
                <w:color w:val="000000"/>
                <w:sz w:val="16"/>
                <w:szCs w:val="16"/>
              </w:rPr>
              <w:t>Clinical course and risk factors for mortality of adult inpatients with COVID-19 in Wuhan, China: a retrospective cohort study. Lancet. 2020;395(10229):1054–62. https://doi.org/10.1016/S0140-</w:t>
            </w:r>
          </w:p>
          <w:p w14:paraId="65DE78B9"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6736(20)30566-3.</w:t>
            </w:r>
          </w:p>
          <w:p w14:paraId="22CA4772"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29. Richardson S, Hirsch JS, Narasimhan M, Crawford JM, McGinn T, Davidson KW, et al. Presenting characteristics, comorbidities, and outcomes among 5700 patients hospitalized with COVID-19 in the New York City area. JAMA. 2020;323(20):2052–9. https://doi.org/10.1001/jama.2020.6775.</w:t>
            </w:r>
          </w:p>
          <w:p w14:paraId="4523AC04"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 xml:space="preserve">30. Goyal P, Choi JJ, Pinheiro LC, Schenck EJ, Chen R, Jabri A, et al. Clinical characteristics of Covid-19 in New York City. N Engl J Med. 2020;382:2372–4. </w:t>
            </w:r>
            <w:hyperlink r:id="rId20" w:history="1">
              <w:r w:rsidRPr="00CD3D2F">
                <w:rPr>
                  <w:rFonts w:ascii="Arial" w:eastAsia="Times New Roman" w:hAnsi="Arial" w:cs="Arial"/>
                  <w:color w:val="4182FF"/>
                  <w:sz w:val="16"/>
                  <w:szCs w:val="16"/>
                  <w:u w:val="single"/>
                </w:rPr>
                <w:t>https://doi.org/10.1056/NEJMc2010419</w:t>
              </w:r>
            </w:hyperlink>
          </w:p>
          <w:p w14:paraId="048AF9DC" w14:textId="77777777" w:rsidR="00CD3D2F" w:rsidRPr="00CD3D2F" w:rsidRDefault="00CD3D2F" w:rsidP="00CD3D2F">
            <w:pPr>
              <w:spacing w:line="480" w:lineRule="auto"/>
              <w:rPr>
                <w:rFonts w:ascii="Arial" w:eastAsia="Times New Roman" w:hAnsi="Arial" w:cs="Arial"/>
                <w:color w:val="000000"/>
                <w:sz w:val="16"/>
                <w:szCs w:val="16"/>
              </w:rPr>
            </w:pPr>
            <w:r w:rsidRPr="00CD3D2F">
              <w:rPr>
                <w:rFonts w:ascii="Arial" w:eastAsia="Times New Roman" w:hAnsi="Arial" w:cs="Arial"/>
                <w:color w:val="000000"/>
                <w:sz w:val="16"/>
                <w:szCs w:val="16"/>
              </w:rPr>
              <w:t xml:space="preserve">31. Ruan Q, Yang K, Wang W, Jiang L, Song J. Clinical predictors of mortality due to COVID-19 based on an analysis of data of 150 patients from Wuhan, China. Intensive Care Med. 2020;46(5):846– 8. </w:t>
            </w:r>
            <w:hyperlink r:id="rId21" w:history="1">
              <w:r w:rsidRPr="00CD3D2F">
                <w:rPr>
                  <w:rFonts w:ascii="Arial" w:eastAsia="Times New Roman" w:hAnsi="Arial" w:cs="Arial"/>
                  <w:color w:val="4182FF"/>
                  <w:sz w:val="16"/>
                  <w:szCs w:val="16"/>
                  <w:u w:val="single"/>
                </w:rPr>
                <w:t>https://doi.org/10.1007/s00134-020-05991-x</w:t>
              </w:r>
            </w:hyperlink>
            <w:r w:rsidRPr="00CD3D2F">
              <w:rPr>
                <w:rFonts w:ascii="Arial" w:eastAsia="Times New Roman" w:hAnsi="Arial" w:cs="Arial"/>
                <w:color w:val="000000"/>
                <w:sz w:val="16"/>
                <w:szCs w:val="16"/>
              </w:rPr>
              <w:t xml:space="preserve">. </w:t>
            </w:r>
          </w:p>
        </w:tc>
      </w:tr>
    </w:tbl>
    <w:p w14:paraId="36522058" w14:textId="77777777" w:rsidR="00CD3D2F" w:rsidRPr="00CD3D2F" w:rsidRDefault="00CD3D2F" w:rsidP="00CD3D2F">
      <w:pPr>
        <w:spacing w:before="120" w:after="120" w:line="480" w:lineRule="auto"/>
        <w:jc w:val="both"/>
        <w:rPr>
          <w:rFonts w:ascii="Arial" w:eastAsia="SimSun" w:hAnsi="Arial" w:cs="Arial"/>
        </w:rPr>
      </w:pPr>
    </w:p>
    <w:p w14:paraId="07AFACA9" w14:textId="77777777" w:rsidR="00CD3D2F" w:rsidRPr="00CD3D2F" w:rsidRDefault="00CD3D2F" w:rsidP="00CD3D2F">
      <w:pPr>
        <w:spacing w:line="480" w:lineRule="auto"/>
        <w:rPr>
          <w:rFonts w:ascii="Arial" w:eastAsiaTheme="minorEastAsia" w:hAnsi="Arial" w:cs="Arial"/>
          <w:sz w:val="20"/>
        </w:rPr>
      </w:pPr>
    </w:p>
    <w:p w14:paraId="797F76F4" w14:textId="77777777" w:rsidR="00CD3D2F" w:rsidRPr="00CD3D2F" w:rsidRDefault="00CD3D2F" w:rsidP="00CD3D2F">
      <w:pPr>
        <w:spacing w:line="480" w:lineRule="auto"/>
        <w:rPr>
          <w:rFonts w:ascii="Arial" w:eastAsia="MS Gothic" w:hAnsi="Arial" w:cs="Arial"/>
          <w:b/>
          <w:color w:val="272774"/>
          <w:sz w:val="32"/>
          <w:szCs w:val="32"/>
        </w:rPr>
      </w:pPr>
      <w:r w:rsidRPr="00CD3D2F">
        <w:rPr>
          <w:rFonts w:ascii="Arial" w:eastAsia="MS Gothic" w:hAnsi="Arial" w:cs="Arial"/>
          <w:b/>
          <w:color w:val="272774"/>
          <w:sz w:val="32"/>
          <w:szCs w:val="32"/>
        </w:rPr>
        <w:t>Appendix 5: Data Extraction Tables</w:t>
      </w:r>
    </w:p>
    <w:bookmarkStart w:id="13" w:name="_MON_1686749336"/>
    <w:bookmarkEnd w:id="13"/>
    <w:p w14:paraId="2A036B3F" w14:textId="77777777" w:rsidR="00CD3D2F" w:rsidRPr="00CD3D2F" w:rsidRDefault="00CD3D2F" w:rsidP="00CD3D2F">
      <w:pPr>
        <w:spacing w:line="480" w:lineRule="auto"/>
        <w:rPr>
          <w:rFonts w:ascii="Arial" w:eastAsiaTheme="minorEastAsia" w:hAnsi="Arial" w:cs="Arial"/>
        </w:rPr>
      </w:pPr>
      <w:r w:rsidRPr="00CD3D2F">
        <w:rPr>
          <w:rFonts w:ascii="Arial" w:eastAsiaTheme="minorEastAsia" w:hAnsi="Arial" w:cs="Arial"/>
        </w:rPr>
        <w:object w:dxaOrig="1508" w:dyaOrig="983" w14:anchorId="173ED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1.75pt" o:ole="">
            <v:imagedata r:id="rId22" o:title=""/>
          </v:shape>
          <o:OLEObject Type="Embed" ProgID="Excel.Sheet.12" ShapeID="_x0000_i1025" DrawAspect="Icon" ObjectID="_1708159114" r:id="rId23"/>
        </w:object>
      </w:r>
    </w:p>
    <w:p w14:paraId="29B11986" w14:textId="77777777" w:rsidR="00CD3D2F" w:rsidRPr="00103C36" w:rsidRDefault="00CD3D2F">
      <w:pPr>
        <w:rPr>
          <w:rFonts w:ascii="Arial" w:hAnsi="Arial" w:cs="Arial"/>
        </w:rPr>
      </w:pPr>
    </w:p>
    <w:sectPr w:rsidR="00CD3D2F" w:rsidRPr="00103C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1DA"/>
    <w:multiLevelType w:val="multilevel"/>
    <w:tmpl w:val="BDB41F70"/>
    <w:lvl w:ilvl="0">
      <w:start w:val="1"/>
      <w:numFmt w:val="decimal"/>
      <w:lvlText w:val="%1."/>
      <w:lvlJc w:val="left"/>
      <w:pPr>
        <w:ind w:left="8472" w:hanging="360"/>
      </w:pPr>
      <w:rPr>
        <w:rFonts w:hint="default"/>
      </w:rPr>
    </w:lvl>
    <w:lvl w:ilvl="1">
      <w:start w:val="1"/>
      <w:numFmt w:val="decimal"/>
      <w:lvlText w:val="%1.%2."/>
      <w:lvlJc w:val="left"/>
      <w:pPr>
        <w:ind w:left="8904" w:hanging="432"/>
      </w:pPr>
      <w:rPr>
        <w:rFonts w:hint="default"/>
      </w:rPr>
    </w:lvl>
    <w:lvl w:ilvl="2">
      <w:start w:val="1"/>
      <w:numFmt w:val="decimal"/>
      <w:lvlText w:val="%1.%2.%3."/>
      <w:lvlJc w:val="left"/>
      <w:pPr>
        <w:ind w:left="2273" w:hanging="288"/>
      </w:pPr>
      <w:rPr>
        <w:rFonts w:hint="default"/>
      </w:rPr>
    </w:lvl>
    <w:lvl w:ilvl="3">
      <w:start w:val="1"/>
      <w:numFmt w:val="decimal"/>
      <w:lvlText w:val="%1.%2.%3.%4."/>
      <w:lvlJc w:val="left"/>
      <w:pPr>
        <w:ind w:left="9552" w:hanging="360"/>
      </w:pPr>
      <w:rPr>
        <w:rFonts w:hint="default"/>
      </w:rPr>
    </w:lvl>
    <w:lvl w:ilvl="4">
      <w:start w:val="1"/>
      <w:numFmt w:val="decimal"/>
      <w:lvlText w:val="%1.%2.%3.%4.%5."/>
      <w:lvlJc w:val="left"/>
      <w:pPr>
        <w:ind w:left="10344" w:hanging="792"/>
      </w:pPr>
      <w:rPr>
        <w:rFonts w:hint="default"/>
      </w:rPr>
    </w:lvl>
    <w:lvl w:ilvl="5">
      <w:start w:val="1"/>
      <w:numFmt w:val="decimal"/>
      <w:lvlText w:val="%1.%2.%3.%4.%5.%6."/>
      <w:lvlJc w:val="left"/>
      <w:pPr>
        <w:ind w:left="10848" w:hanging="936"/>
      </w:pPr>
      <w:rPr>
        <w:rFonts w:hint="default"/>
      </w:rPr>
    </w:lvl>
    <w:lvl w:ilvl="6">
      <w:start w:val="1"/>
      <w:numFmt w:val="decimal"/>
      <w:lvlText w:val="%1.%2.%3.%4.%5.%6.%7."/>
      <w:lvlJc w:val="left"/>
      <w:pPr>
        <w:ind w:left="11352" w:hanging="1080"/>
      </w:pPr>
      <w:rPr>
        <w:rFonts w:hint="default"/>
      </w:rPr>
    </w:lvl>
    <w:lvl w:ilvl="7">
      <w:start w:val="1"/>
      <w:numFmt w:val="decimal"/>
      <w:lvlText w:val="%1.%2.%3.%4.%5.%6.%7.%8."/>
      <w:lvlJc w:val="left"/>
      <w:pPr>
        <w:ind w:left="11856" w:hanging="1224"/>
      </w:pPr>
      <w:rPr>
        <w:rFonts w:hint="default"/>
      </w:rPr>
    </w:lvl>
    <w:lvl w:ilvl="8">
      <w:start w:val="1"/>
      <w:numFmt w:val="decimal"/>
      <w:lvlText w:val="%1.%2.%3.%4.%5.%6.%7.%8.%9."/>
      <w:lvlJc w:val="left"/>
      <w:pPr>
        <w:ind w:left="12432" w:hanging="1440"/>
      </w:pPr>
      <w:rPr>
        <w:rFonts w:hint="default"/>
      </w:rPr>
    </w:lvl>
  </w:abstractNum>
  <w:abstractNum w:abstractNumId="1" w15:restartNumberingAfterBreak="0">
    <w:nsid w:val="06191AE4"/>
    <w:multiLevelType w:val="multilevel"/>
    <w:tmpl w:val="06191AE4"/>
    <w:lvl w:ilvl="0">
      <w:start w:val="1"/>
      <w:numFmt w:val="bullet"/>
      <w:lvlText w:val=""/>
      <w:lvlJc w:val="left"/>
      <w:pPr>
        <w:ind w:left="720" w:hanging="360"/>
      </w:pPr>
      <w:rPr>
        <w:rFonts w:ascii="Wingdings" w:hAnsi="Wingdings" w:hint="default"/>
        <w:color w:val="FF6600"/>
        <w:sz w:val="28"/>
      </w:rPr>
    </w:lvl>
    <w:lvl w:ilvl="1">
      <w:start w:val="1"/>
      <w:numFmt w:val="bullet"/>
      <w:lvlText w:val=""/>
      <w:lvlJc w:val="left"/>
      <w:pPr>
        <w:ind w:left="1068" w:hanging="360"/>
      </w:pPr>
      <w:rPr>
        <w:rFonts w:ascii="Wingdings" w:hAnsi="Wingdings" w:hint="default"/>
        <w:color w:val="7B7B7B" w:themeColor="accent3" w:themeShade="BF"/>
        <w:sz w:val="28"/>
      </w:rPr>
    </w:lvl>
    <w:lvl w:ilvl="2">
      <w:start w:val="1"/>
      <w:numFmt w:val="bullet"/>
      <w:lvlText w:val=""/>
      <w:lvlJc w:val="left"/>
      <w:pPr>
        <w:ind w:left="1494" w:hanging="360"/>
      </w:pPr>
      <w:rPr>
        <w:rFonts w:ascii="Symbol" w:hAnsi="Symbol" w:hint="default"/>
        <w:color w:val="FF6600"/>
        <w:sz w:val="28"/>
      </w:rPr>
    </w:lvl>
    <w:lvl w:ilvl="3">
      <w:start w:val="1"/>
      <w:numFmt w:val="bullet"/>
      <w:lvlText w:val=""/>
      <w:lvlJc w:val="left"/>
      <w:pPr>
        <w:ind w:left="1919" w:hanging="360"/>
      </w:pPr>
      <w:rPr>
        <w:rFonts w:ascii="Symbol" w:hAnsi="Symbol" w:hint="default"/>
        <w:color w:val="7B7B7B" w:themeColor="accent3" w:themeShade="BF"/>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74239F"/>
    <w:multiLevelType w:val="hybridMultilevel"/>
    <w:tmpl w:val="74207076"/>
    <w:lvl w:ilvl="0" w:tplc="B94AFBEC">
      <w:start w:val="1"/>
      <w:numFmt w:val="bullet"/>
      <w:lvlText w:val=""/>
      <w:lvlJc w:val="left"/>
      <w:pPr>
        <w:ind w:left="720" w:hanging="360"/>
      </w:pPr>
      <w:rPr>
        <w:rFonts w:ascii="Symbol" w:hAnsi="Symbol" w:hint="default"/>
        <w:caps w:val="0"/>
        <w:strike w:val="0"/>
        <w:dstrike w:val="0"/>
        <w:vanish w:val="0"/>
        <w:color w:val="ED7D31" w:themeColor="accent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E28A1"/>
    <w:multiLevelType w:val="hybridMultilevel"/>
    <w:tmpl w:val="C72E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37E46"/>
    <w:multiLevelType w:val="hybridMultilevel"/>
    <w:tmpl w:val="EE085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86474"/>
    <w:multiLevelType w:val="multilevel"/>
    <w:tmpl w:val="EDAED1DE"/>
    <w:lvl w:ilvl="0">
      <w:start w:val="1"/>
      <w:numFmt w:val="bullet"/>
      <w:pStyle w:val="Bullet1"/>
      <w:lvlText w:val=""/>
      <w:lvlJc w:val="left"/>
      <w:pPr>
        <w:ind w:left="934" w:hanging="504"/>
      </w:pPr>
      <w:rPr>
        <w:rFonts w:ascii="Symbol" w:hAnsi="Symbol" w:hint="default"/>
        <w:color w:val="4472C4" w:themeColor="accent1"/>
        <w:sz w:val="18"/>
      </w:rPr>
    </w:lvl>
    <w:lvl w:ilvl="1">
      <w:start w:val="1"/>
      <w:numFmt w:val="bullet"/>
      <w:pStyle w:val="Bullet2"/>
      <w:lvlText w:val=""/>
      <w:lvlJc w:val="left"/>
      <w:pPr>
        <w:ind w:left="1366" w:hanging="432"/>
      </w:pPr>
      <w:rPr>
        <w:rFonts w:ascii="Symbol" w:hAnsi="Symbol" w:hint="default"/>
        <w:b w:val="0"/>
        <w:i w:val="0"/>
        <w:color w:val="ED7D31" w:themeColor="accent2"/>
        <w:sz w:val="18"/>
      </w:rPr>
    </w:lvl>
    <w:lvl w:ilvl="2">
      <w:start w:val="1"/>
      <w:numFmt w:val="bullet"/>
      <w:pStyle w:val="Bullet3"/>
      <w:lvlText w:val=""/>
      <w:lvlJc w:val="left"/>
      <w:pPr>
        <w:ind w:left="1942" w:hanging="576"/>
      </w:pPr>
      <w:rPr>
        <w:rFonts w:ascii="Symbol" w:hAnsi="Symbol" w:hint="default"/>
        <w:b w:val="0"/>
        <w:i w:val="0"/>
        <w:color w:val="4472C4" w:themeColor="accent1"/>
        <w:sz w:val="24"/>
      </w:rPr>
    </w:lvl>
    <w:lvl w:ilvl="3">
      <w:start w:val="1"/>
      <w:numFmt w:val="bullet"/>
      <w:pStyle w:val="blackbulletpoint"/>
      <w:lvlText w:val=""/>
      <w:lvlJc w:val="left"/>
      <w:pPr>
        <w:tabs>
          <w:tab w:val="num" w:pos="2590"/>
        </w:tabs>
        <w:ind w:left="2662" w:hanging="720"/>
      </w:pPr>
      <w:rPr>
        <w:rFonts w:ascii="Symbol" w:hAnsi="Symbol" w:hint="default"/>
      </w:rPr>
    </w:lvl>
    <w:lvl w:ilvl="4">
      <w:start w:val="1"/>
      <w:numFmt w:val="bullet"/>
      <w:lvlText w:val="o"/>
      <w:lvlJc w:val="left"/>
      <w:pPr>
        <w:ind w:left="3382" w:hanging="720"/>
      </w:pPr>
      <w:rPr>
        <w:rFonts w:ascii="Courier New" w:hAnsi="Courier New" w:hint="default"/>
      </w:rPr>
    </w:lvl>
    <w:lvl w:ilvl="5">
      <w:start w:val="1"/>
      <w:numFmt w:val="bullet"/>
      <w:lvlText w:val=""/>
      <w:lvlJc w:val="left"/>
      <w:pPr>
        <w:ind w:left="4102" w:hanging="720"/>
      </w:pPr>
      <w:rPr>
        <w:rFonts w:ascii="Wingdings" w:hAnsi="Wingdings" w:hint="default"/>
      </w:rPr>
    </w:lvl>
    <w:lvl w:ilvl="6">
      <w:start w:val="1"/>
      <w:numFmt w:val="bullet"/>
      <w:lvlText w:val=""/>
      <w:lvlJc w:val="left"/>
      <w:pPr>
        <w:ind w:left="4822" w:hanging="720"/>
      </w:pPr>
      <w:rPr>
        <w:rFonts w:ascii="Symbol" w:hAnsi="Symbol" w:hint="default"/>
      </w:rPr>
    </w:lvl>
    <w:lvl w:ilvl="7">
      <w:start w:val="1"/>
      <w:numFmt w:val="bullet"/>
      <w:lvlText w:val="o"/>
      <w:lvlJc w:val="left"/>
      <w:pPr>
        <w:tabs>
          <w:tab w:val="num" w:pos="5470"/>
        </w:tabs>
        <w:ind w:left="5830" w:hanging="1008"/>
      </w:pPr>
      <w:rPr>
        <w:rFonts w:ascii="Courier New" w:hAnsi="Courier New" w:hint="default"/>
      </w:rPr>
    </w:lvl>
    <w:lvl w:ilvl="8">
      <w:start w:val="1"/>
      <w:numFmt w:val="bullet"/>
      <w:lvlText w:val=""/>
      <w:lvlJc w:val="left"/>
      <w:pPr>
        <w:ind w:left="6550" w:hanging="720"/>
      </w:pPr>
      <w:rPr>
        <w:rFonts w:ascii="Wingdings" w:hAnsi="Wingdings" w:hint="default"/>
      </w:rPr>
    </w:lvl>
  </w:abstractNum>
  <w:abstractNum w:abstractNumId="6" w15:restartNumberingAfterBreak="0">
    <w:nsid w:val="12713487"/>
    <w:multiLevelType w:val="hybridMultilevel"/>
    <w:tmpl w:val="B12454C2"/>
    <w:lvl w:ilvl="0" w:tplc="C07E5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C0914"/>
    <w:multiLevelType w:val="multilevel"/>
    <w:tmpl w:val="E7ECE99A"/>
    <w:lvl w:ilvl="0">
      <w:start w:val="1"/>
      <w:numFmt w:val="bullet"/>
      <w:lvlText w:val=""/>
      <w:lvlJc w:val="left"/>
      <w:pPr>
        <w:ind w:left="720" w:hanging="360"/>
      </w:pPr>
      <w:rPr>
        <w:rFonts w:ascii="Symbol" w:hAnsi="Symbol" w:hint="default"/>
        <w:color w:val="ED7D31" w:themeColor="accent2"/>
        <w:sz w:val="28"/>
      </w:rPr>
    </w:lvl>
    <w:lvl w:ilvl="1">
      <w:start w:val="1"/>
      <w:numFmt w:val="bullet"/>
      <w:lvlText w:val=""/>
      <w:lvlJc w:val="left"/>
      <w:pPr>
        <w:ind w:left="1068" w:hanging="360"/>
      </w:pPr>
      <w:rPr>
        <w:rFonts w:ascii="Wingdings" w:hAnsi="Wingdings" w:hint="default"/>
        <w:color w:val="7B7B7B" w:themeColor="accent3" w:themeShade="BF"/>
        <w:sz w:val="28"/>
      </w:rPr>
    </w:lvl>
    <w:lvl w:ilvl="2">
      <w:start w:val="1"/>
      <w:numFmt w:val="bullet"/>
      <w:lvlText w:val=""/>
      <w:lvlJc w:val="left"/>
      <w:pPr>
        <w:ind w:left="1494" w:hanging="360"/>
      </w:pPr>
      <w:rPr>
        <w:rFonts w:ascii="Symbol" w:hAnsi="Symbol" w:hint="default"/>
        <w:color w:val="FF6600"/>
        <w:sz w:val="28"/>
      </w:rPr>
    </w:lvl>
    <w:lvl w:ilvl="3">
      <w:start w:val="1"/>
      <w:numFmt w:val="bullet"/>
      <w:lvlText w:val=""/>
      <w:lvlJc w:val="left"/>
      <w:pPr>
        <w:ind w:left="1919" w:hanging="360"/>
      </w:pPr>
      <w:rPr>
        <w:rFonts w:ascii="Symbol" w:hAnsi="Symbol" w:hint="default"/>
        <w:color w:val="7B7B7B" w:themeColor="accent3" w:themeShade="BF"/>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B29297D"/>
    <w:multiLevelType w:val="hybridMultilevel"/>
    <w:tmpl w:val="723E2364"/>
    <w:lvl w:ilvl="0" w:tplc="0CEC01A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267A52"/>
    <w:multiLevelType w:val="hybridMultilevel"/>
    <w:tmpl w:val="18B2B678"/>
    <w:lvl w:ilvl="0" w:tplc="0C7EC2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A39D7"/>
    <w:multiLevelType w:val="hybridMultilevel"/>
    <w:tmpl w:val="723E2364"/>
    <w:lvl w:ilvl="0" w:tplc="0CEC01AC">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3D09D4"/>
    <w:multiLevelType w:val="hybridMultilevel"/>
    <w:tmpl w:val="90AED8C6"/>
    <w:lvl w:ilvl="0" w:tplc="B94AFBE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321D9"/>
    <w:multiLevelType w:val="hybridMultilevel"/>
    <w:tmpl w:val="5EB8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D67E12"/>
    <w:multiLevelType w:val="hybridMultilevel"/>
    <w:tmpl w:val="2DA0BDCA"/>
    <w:lvl w:ilvl="0" w:tplc="10090001">
      <w:start w:val="1"/>
      <w:numFmt w:val="bullet"/>
      <w:lvlText w:val=""/>
      <w:lvlJc w:val="left"/>
      <w:pPr>
        <w:ind w:left="1656" w:hanging="360"/>
      </w:pPr>
      <w:rPr>
        <w:rFonts w:ascii="Symbol" w:hAnsi="Symbol" w:hint="default"/>
      </w:rPr>
    </w:lvl>
    <w:lvl w:ilvl="1" w:tplc="833C1674">
      <w:start w:val="1"/>
      <w:numFmt w:val="bullet"/>
      <w:lvlText w:val=""/>
      <w:lvlJc w:val="left"/>
      <w:pPr>
        <w:ind w:left="2376" w:hanging="360"/>
      </w:pPr>
      <w:rPr>
        <w:rFonts w:ascii="Symbol" w:hAnsi="Symbol" w:hint="default"/>
        <w:color w:val="ED7D31" w:themeColor="accent2"/>
      </w:rPr>
    </w:lvl>
    <w:lvl w:ilvl="2" w:tplc="10090005" w:tentative="1">
      <w:start w:val="1"/>
      <w:numFmt w:val="bullet"/>
      <w:lvlText w:val=""/>
      <w:lvlJc w:val="left"/>
      <w:pPr>
        <w:ind w:left="3096" w:hanging="360"/>
      </w:pPr>
      <w:rPr>
        <w:rFonts w:ascii="Wingdings" w:hAnsi="Wingdings" w:hint="default"/>
      </w:rPr>
    </w:lvl>
    <w:lvl w:ilvl="3" w:tplc="10090001" w:tentative="1">
      <w:start w:val="1"/>
      <w:numFmt w:val="bullet"/>
      <w:lvlText w:val=""/>
      <w:lvlJc w:val="left"/>
      <w:pPr>
        <w:ind w:left="3816" w:hanging="360"/>
      </w:pPr>
      <w:rPr>
        <w:rFonts w:ascii="Symbol" w:hAnsi="Symbol" w:hint="default"/>
      </w:rPr>
    </w:lvl>
    <w:lvl w:ilvl="4" w:tplc="10090003" w:tentative="1">
      <w:start w:val="1"/>
      <w:numFmt w:val="bullet"/>
      <w:lvlText w:val="o"/>
      <w:lvlJc w:val="left"/>
      <w:pPr>
        <w:ind w:left="4536" w:hanging="360"/>
      </w:pPr>
      <w:rPr>
        <w:rFonts w:ascii="Courier New" w:hAnsi="Courier New" w:cs="Courier New" w:hint="default"/>
      </w:rPr>
    </w:lvl>
    <w:lvl w:ilvl="5" w:tplc="10090005" w:tentative="1">
      <w:start w:val="1"/>
      <w:numFmt w:val="bullet"/>
      <w:lvlText w:val=""/>
      <w:lvlJc w:val="left"/>
      <w:pPr>
        <w:ind w:left="5256" w:hanging="360"/>
      </w:pPr>
      <w:rPr>
        <w:rFonts w:ascii="Wingdings" w:hAnsi="Wingdings" w:hint="default"/>
      </w:rPr>
    </w:lvl>
    <w:lvl w:ilvl="6" w:tplc="10090001" w:tentative="1">
      <w:start w:val="1"/>
      <w:numFmt w:val="bullet"/>
      <w:lvlText w:val=""/>
      <w:lvlJc w:val="left"/>
      <w:pPr>
        <w:ind w:left="5976" w:hanging="360"/>
      </w:pPr>
      <w:rPr>
        <w:rFonts w:ascii="Symbol" w:hAnsi="Symbol" w:hint="default"/>
      </w:rPr>
    </w:lvl>
    <w:lvl w:ilvl="7" w:tplc="10090003" w:tentative="1">
      <w:start w:val="1"/>
      <w:numFmt w:val="bullet"/>
      <w:lvlText w:val="o"/>
      <w:lvlJc w:val="left"/>
      <w:pPr>
        <w:ind w:left="6696" w:hanging="360"/>
      </w:pPr>
      <w:rPr>
        <w:rFonts w:ascii="Courier New" w:hAnsi="Courier New" w:cs="Courier New" w:hint="default"/>
      </w:rPr>
    </w:lvl>
    <w:lvl w:ilvl="8" w:tplc="10090005" w:tentative="1">
      <w:start w:val="1"/>
      <w:numFmt w:val="bullet"/>
      <w:lvlText w:val=""/>
      <w:lvlJc w:val="left"/>
      <w:pPr>
        <w:ind w:left="7416" w:hanging="360"/>
      </w:pPr>
      <w:rPr>
        <w:rFonts w:ascii="Wingdings" w:hAnsi="Wingdings" w:hint="default"/>
      </w:rPr>
    </w:lvl>
  </w:abstractNum>
  <w:abstractNum w:abstractNumId="14" w15:restartNumberingAfterBreak="0">
    <w:nsid w:val="30E80178"/>
    <w:multiLevelType w:val="hybridMultilevel"/>
    <w:tmpl w:val="F9860D1C"/>
    <w:lvl w:ilvl="0" w:tplc="6F4413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61C76"/>
    <w:multiLevelType w:val="hybridMultilevel"/>
    <w:tmpl w:val="4662A4FA"/>
    <w:lvl w:ilvl="0" w:tplc="B94AFBE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450294"/>
    <w:multiLevelType w:val="hybridMultilevel"/>
    <w:tmpl w:val="22E4F0EA"/>
    <w:lvl w:ilvl="0" w:tplc="B94AFBE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964FE"/>
    <w:multiLevelType w:val="hybridMultilevel"/>
    <w:tmpl w:val="4440D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22223"/>
    <w:multiLevelType w:val="hybridMultilevel"/>
    <w:tmpl w:val="9B4C3DEC"/>
    <w:lvl w:ilvl="0" w:tplc="B94AFBEC">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E0F28"/>
    <w:multiLevelType w:val="hybridMultilevel"/>
    <w:tmpl w:val="723E2364"/>
    <w:lvl w:ilvl="0" w:tplc="0CEC01A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24DD6"/>
    <w:multiLevelType w:val="multilevel"/>
    <w:tmpl w:val="C6DEE1A6"/>
    <w:lvl w:ilvl="0">
      <w:start w:val="1"/>
      <w:numFmt w:val="bullet"/>
      <w:lvlText w:val=""/>
      <w:lvlJc w:val="left"/>
      <w:pPr>
        <w:ind w:left="720" w:hanging="360"/>
      </w:pPr>
      <w:rPr>
        <w:rFonts w:ascii="Symbol" w:hAnsi="Symbol" w:hint="default"/>
        <w:color w:val="ED7D31" w:themeColor="accent2"/>
        <w:sz w:val="28"/>
      </w:rPr>
    </w:lvl>
    <w:lvl w:ilvl="1">
      <w:start w:val="1"/>
      <w:numFmt w:val="bullet"/>
      <w:lvlText w:val=""/>
      <w:lvlJc w:val="left"/>
      <w:pPr>
        <w:ind w:left="1068" w:hanging="360"/>
      </w:pPr>
      <w:rPr>
        <w:rFonts w:ascii="Wingdings" w:hAnsi="Wingdings" w:hint="default"/>
        <w:color w:val="7B7B7B" w:themeColor="accent3" w:themeShade="BF"/>
        <w:sz w:val="28"/>
      </w:rPr>
    </w:lvl>
    <w:lvl w:ilvl="2">
      <w:start w:val="1"/>
      <w:numFmt w:val="bullet"/>
      <w:lvlText w:val=""/>
      <w:lvlJc w:val="left"/>
      <w:pPr>
        <w:ind w:left="1494" w:hanging="360"/>
      </w:pPr>
      <w:rPr>
        <w:rFonts w:ascii="Symbol" w:hAnsi="Symbol" w:hint="default"/>
        <w:color w:val="FF6600"/>
        <w:sz w:val="28"/>
      </w:rPr>
    </w:lvl>
    <w:lvl w:ilvl="3">
      <w:start w:val="1"/>
      <w:numFmt w:val="bullet"/>
      <w:lvlText w:val=""/>
      <w:lvlJc w:val="left"/>
      <w:pPr>
        <w:ind w:left="1919" w:hanging="360"/>
      </w:pPr>
      <w:rPr>
        <w:rFonts w:ascii="Symbol" w:hAnsi="Symbol" w:hint="default"/>
        <w:color w:val="7B7B7B" w:themeColor="accent3" w:themeShade="BF"/>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E754B0"/>
    <w:multiLevelType w:val="multilevel"/>
    <w:tmpl w:val="63CE6622"/>
    <w:lvl w:ilvl="0">
      <w:numFmt w:val="decimal"/>
      <w:lvlText w:val="(%1"/>
      <w:lvlJc w:val="left"/>
      <w:pPr>
        <w:ind w:left="620" w:hanging="620"/>
      </w:pPr>
      <w:rPr>
        <w:rFonts w:hint="default"/>
      </w:rPr>
    </w:lvl>
    <w:lvl w:ilvl="1">
      <w:start w:val="17"/>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53E36DD6"/>
    <w:multiLevelType w:val="hybridMultilevel"/>
    <w:tmpl w:val="723E2364"/>
    <w:lvl w:ilvl="0" w:tplc="0CEC01A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C5063"/>
    <w:multiLevelType w:val="hybridMultilevel"/>
    <w:tmpl w:val="723E2364"/>
    <w:lvl w:ilvl="0" w:tplc="0CEC01AC">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450E4E"/>
    <w:multiLevelType w:val="hybridMultilevel"/>
    <w:tmpl w:val="EDA20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5F6A50"/>
    <w:multiLevelType w:val="hybridMultilevel"/>
    <w:tmpl w:val="B32E662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D263CDD"/>
    <w:multiLevelType w:val="hybridMultilevel"/>
    <w:tmpl w:val="723E2364"/>
    <w:lvl w:ilvl="0" w:tplc="0CEC01A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3F420B"/>
    <w:multiLevelType w:val="hybridMultilevel"/>
    <w:tmpl w:val="B8D6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831C43"/>
    <w:multiLevelType w:val="hybridMultilevel"/>
    <w:tmpl w:val="F1BC5EA2"/>
    <w:lvl w:ilvl="0" w:tplc="B94AFBEC">
      <w:start w:val="1"/>
      <w:numFmt w:val="bullet"/>
      <w:lvlText w:val=""/>
      <w:lvlJc w:val="left"/>
      <w:pPr>
        <w:ind w:left="720" w:hanging="360"/>
      </w:pPr>
      <w:rPr>
        <w:rFonts w:ascii="Symbol" w:hAnsi="Symbol" w:hint="default"/>
        <w:caps w:val="0"/>
        <w:strike w:val="0"/>
        <w:dstrike w:val="0"/>
        <w:vanish w:val="0"/>
        <w:color w:val="ED7D31" w:themeColor="accent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21FF9"/>
    <w:multiLevelType w:val="multilevel"/>
    <w:tmpl w:val="75D27674"/>
    <w:lvl w:ilvl="0">
      <w:start w:val="1"/>
      <w:numFmt w:val="bullet"/>
      <w:lvlText w:val=""/>
      <w:lvlJc w:val="left"/>
      <w:pPr>
        <w:ind w:left="720" w:hanging="360"/>
      </w:pPr>
      <w:rPr>
        <w:rFonts w:ascii="Symbol" w:hAnsi="Symbol" w:hint="default"/>
        <w:color w:val="ED7D31" w:themeColor="accent2"/>
        <w:sz w:val="28"/>
      </w:rPr>
    </w:lvl>
    <w:lvl w:ilvl="1">
      <w:start w:val="1"/>
      <w:numFmt w:val="bullet"/>
      <w:lvlText w:val=""/>
      <w:lvlJc w:val="left"/>
      <w:pPr>
        <w:ind w:left="1068" w:hanging="360"/>
      </w:pPr>
      <w:rPr>
        <w:rFonts w:ascii="Wingdings" w:hAnsi="Wingdings" w:hint="default"/>
        <w:color w:val="7B7B7B" w:themeColor="accent3" w:themeShade="BF"/>
        <w:sz w:val="28"/>
      </w:rPr>
    </w:lvl>
    <w:lvl w:ilvl="2">
      <w:start w:val="1"/>
      <w:numFmt w:val="bullet"/>
      <w:lvlText w:val=""/>
      <w:lvlJc w:val="left"/>
      <w:pPr>
        <w:ind w:left="1494" w:hanging="360"/>
      </w:pPr>
      <w:rPr>
        <w:rFonts w:ascii="Symbol" w:hAnsi="Symbol" w:hint="default"/>
        <w:color w:val="FF6600"/>
        <w:sz w:val="28"/>
      </w:rPr>
    </w:lvl>
    <w:lvl w:ilvl="3">
      <w:start w:val="1"/>
      <w:numFmt w:val="bullet"/>
      <w:lvlText w:val=""/>
      <w:lvlJc w:val="left"/>
      <w:pPr>
        <w:ind w:left="1919" w:hanging="360"/>
      </w:pPr>
      <w:rPr>
        <w:rFonts w:ascii="Symbol" w:hAnsi="Symbol" w:hint="default"/>
        <w:color w:val="7B7B7B" w:themeColor="accent3" w:themeShade="BF"/>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82BAD"/>
    <w:multiLevelType w:val="multilevel"/>
    <w:tmpl w:val="933CF324"/>
    <w:styleLink w:val="Style1"/>
    <w:lvl w:ilvl="0">
      <w:start w:val="1"/>
      <w:numFmt w:val="decimal"/>
      <w:lvlText w:val="%1."/>
      <w:lvlJc w:val="left"/>
      <w:pPr>
        <w:ind w:left="720" w:hanging="360"/>
      </w:pPr>
      <w:rPr>
        <w:rFonts w:ascii="Calibri" w:hAnsi="Calibri" w:hint="default"/>
        <w:b w:val="0"/>
        <w:i w:val="0"/>
        <w:color w:val="4472C4" w:themeColor="accent1"/>
        <w:sz w:val="22"/>
      </w:rPr>
    </w:lvl>
    <w:lvl w:ilvl="1">
      <w:start w:val="1"/>
      <w:numFmt w:val="lowerLetter"/>
      <w:lvlText w:val="%2."/>
      <w:lvlJc w:val="left"/>
      <w:pPr>
        <w:ind w:left="1440" w:hanging="360"/>
      </w:pPr>
      <w:rPr>
        <w:rFonts w:ascii="Calibri" w:hAnsi="Calibri"/>
        <w:b w:val="0"/>
        <w:i w:val="0"/>
        <w:color w:val="ED7D31" w:themeColor="accent2"/>
        <w:sz w:val="22"/>
      </w:rPr>
    </w:lvl>
    <w:lvl w:ilvl="2">
      <w:start w:val="1"/>
      <w:numFmt w:val="lowerRoman"/>
      <w:lvlText w:val="%3."/>
      <w:lvlJc w:val="right"/>
      <w:pPr>
        <w:ind w:left="2160" w:hanging="180"/>
      </w:pPr>
      <w:rPr>
        <w:rFonts w:asciiTheme="minorHAnsi" w:hAnsiTheme="minorHAnsi" w:hint="default"/>
        <w:color w:val="4472C4" w:themeColor="accent1"/>
        <w:sz w:val="22"/>
      </w:rPr>
    </w:lvl>
    <w:lvl w:ilvl="3">
      <w:start w:val="1"/>
      <w:numFmt w:val="bullet"/>
      <w:lvlText w:val="o"/>
      <w:lvlJc w:val="left"/>
      <w:pPr>
        <w:ind w:left="2880" w:hanging="360"/>
      </w:pPr>
      <w:rPr>
        <w:rFonts w:ascii="Symbol" w:hAnsi="Symbol"/>
        <w:b w:val="0"/>
        <w:i w:val="0"/>
        <w:color w:val="4472C4" w:themeColor="accent1"/>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C7338AE"/>
    <w:multiLevelType w:val="hybridMultilevel"/>
    <w:tmpl w:val="723E2364"/>
    <w:lvl w:ilvl="0" w:tplc="0CEC01AC">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D0999"/>
    <w:multiLevelType w:val="multilevel"/>
    <w:tmpl w:val="DC122546"/>
    <w:lvl w:ilvl="0">
      <w:start w:val="1"/>
      <w:numFmt w:val="bullet"/>
      <w:lvlText w:val=""/>
      <w:lvlJc w:val="left"/>
      <w:pPr>
        <w:ind w:left="720" w:hanging="360"/>
      </w:pPr>
      <w:rPr>
        <w:rFonts w:ascii="Symbol" w:hAnsi="Symbol" w:hint="default"/>
        <w:color w:val="ED7D31" w:themeColor="accent2"/>
        <w:sz w:val="28"/>
      </w:rPr>
    </w:lvl>
    <w:lvl w:ilvl="1">
      <w:start w:val="1"/>
      <w:numFmt w:val="bullet"/>
      <w:lvlText w:val=""/>
      <w:lvlJc w:val="left"/>
      <w:pPr>
        <w:ind w:left="1068" w:hanging="360"/>
      </w:pPr>
      <w:rPr>
        <w:rFonts w:ascii="Wingdings" w:hAnsi="Wingdings" w:hint="default"/>
        <w:color w:val="7B7B7B" w:themeColor="accent3" w:themeShade="BF"/>
        <w:sz w:val="28"/>
      </w:rPr>
    </w:lvl>
    <w:lvl w:ilvl="2">
      <w:start w:val="1"/>
      <w:numFmt w:val="bullet"/>
      <w:lvlText w:val=""/>
      <w:lvlJc w:val="left"/>
      <w:pPr>
        <w:ind w:left="1494" w:hanging="360"/>
      </w:pPr>
      <w:rPr>
        <w:rFonts w:ascii="Symbol" w:hAnsi="Symbol" w:hint="default"/>
        <w:color w:val="FF6600"/>
        <w:sz w:val="28"/>
      </w:rPr>
    </w:lvl>
    <w:lvl w:ilvl="3">
      <w:start w:val="1"/>
      <w:numFmt w:val="bullet"/>
      <w:lvlText w:val=""/>
      <w:lvlJc w:val="left"/>
      <w:pPr>
        <w:ind w:left="1919" w:hanging="360"/>
      </w:pPr>
      <w:rPr>
        <w:rFonts w:ascii="Symbol" w:hAnsi="Symbol" w:hint="default"/>
        <w:color w:val="7B7B7B" w:themeColor="accent3" w:themeShade="BF"/>
        <w:sz w:val="2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042924"/>
    <w:multiLevelType w:val="hybridMultilevel"/>
    <w:tmpl w:val="FE98AAA2"/>
    <w:lvl w:ilvl="0" w:tplc="B94AFBEC">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23CD8"/>
    <w:multiLevelType w:val="hybridMultilevel"/>
    <w:tmpl w:val="390E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697041"/>
    <w:multiLevelType w:val="hybridMultilevel"/>
    <w:tmpl w:val="E99E0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4"/>
  </w:num>
  <w:num w:numId="3">
    <w:abstractNumId w:val="0"/>
  </w:num>
  <w:num w:numId="4">
    <w:abstractNumId w:val="26"/>
  </w:num>
  <w:num w:numId="5">
    <w:abstractNumId w:val="8"/>
  </w:num>
  <w:num w:numId="6">
    <w:abstractNumId w:val="30"/>
  </w:num>
  <w:num w:numId="7">
    <w:abstractNumId w:val="18"/>
  </w:num>
  <w:num w:numId="8">
    <w:abstractNumId w:val="33"/>
  </w:num>
  <w:num w:numId="9">
    <w:abstractNumId w:val="11"/>
  </w:num>
  <w:num w:numId="10">
    <w:abstractNumId w:val="2"/>
  </w:num>
  <w:num w:numId="11">
    <w:abstractNumId w:val="28"/>
  </w:num>
  <w:num w:numId="12">
    <w:abstractNumId w:val="15"/>
  </w:num>
  <w:num w:numId="13">
    <w:abstractNumId w:val="16"/>
  </w:num>
  <w:num w:numId="14">
    <w:abstractNumId w:val="29"/>
  </w:num>
  <w:num w:numId="15">
    <w:abstractNumId w:val="20"/>
  </w:num>
  <w:num w:numId="16">
    <w:abstractNumId w:val="7"/>
  </w:num>
  <w:num w:numId="17">
    <w:abstractNumId w:val="1"/>
  </w:num>
  <w:num w:numId="18">
    <w:abstractNumId w:val="32"/>
  </w:num>
  <w:num w:numId="19">
    <w:abstractNumId w:val="35"/>
  </w:num>
  <w:num w:numId="20">
    <w:abstractNumId w:val="27"/>
  </w:num>
  <w:num w:numId="21">
    <w:abstractNumId w:val="25"/>
  </w:num>
  <w:num w:numId="22">
    <w:abstractNumId w:val="3"/>
  </w:num>
  <w:num w:numId="23">
    <w:abstractNumId w:val="14"/>
  </w:num>
  <w:num w:numId="24">
    <w:abstractNumId w:val="13"/>
  </w:num>
  <w:num w:numId="25">
    <w:abstractNumId w:val="19"/>
  </w:num>
  <w:num w:numId="26">
    <w:abstractNumId w:val="31"/>
  </w:num>
  <w:num w:numId="27">
    <w:abstractNumId w:val="22"/>
  </w:num>
  <w:num w:numId="28">
    <w:abstractNumId w:val="12"/>
  </w:num>
  <w:num w:numId="29">
    <w:abstractNumId w:val="4"/>
  </w:num>
  <w:num w:numId="30">
    <w:abstractNumId w:val="21"/>
  </w:num>
  <w:num w:numId="31">
    <w:abstractNumId w:val="10"/>
  </w:num>
  <w:num w:numId="32">
    <w:abstractNumId w:val="23"/>
  </w:num>
  <w:num w:numId="33">
    <w:abstractNumId w:val="17"/>
  </w:num>
  <w:num w:numId="34">
    <w:abstractNumId w:val="9"/>
  </w:num>
  <w:num w:numId="35">
    <w:abstractNumId w:val="24"/>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D2F"/>
    <w:rsid w:val="00103C36"/>
    <w:rsid w:val="008C783A"/>
    <w:rsid w:val="00CD3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5B96"/>
  <w15:chartTrackingRefBased/>
  <w15:docId w15:val="{EE668018-D34F-4546-AB6C-0F8518E6A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3D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D3D2F"/>
    <w:pPr>
      <w:keepNext/>
      <w:keepLines/>
      <w:spacing w:before="40" w:after="0"/>
      <w:outlineLvl w:val="1"/>
    </w:pPr>
    <w:rPr>
      <w:rFonts w:ascii="Verdana" w:eastAsiaTheme="majorEastAsia" w:hAnsi="Verdana" w:cstheme="majorBidi"/>
      <w:color w:val="2F5496" w:themeColor="accent1" w:themeShade="BF"/>
      <w:sz w:val="28"/>
      <w:szCs w:val="26"/>
    </w:rPr>
  </w:style>
  <w:style w:type="paragraph" w:styleId="Heading3">
    <w:name w:val="heading 3"/>
    <w:basedOn w:val="Normal"/>
    <w:next w:val="Normal"/>
    <w:link w:val="Heading3Char"/>
    <w:autoRedefine/>
    <w:uiPriority w:val="9"/>
    <w:unhideWhenUsed/>
    <w:qFormat/>
    <w:rsid w:val="00CD3D2F"/>
    <w:pPr>
      <w:keepNext/>
      <w:keepLines/>
      <w:spacing w:before="40" w:after="0"/>
      <w:outlineLvl w:val="2"/>
    </w:pPr>
    <w:rPr>
      <w:rFonts w:ascii="Verdana" w:eastAsiaTheme="majorEastAsia" w:hAnsi="Verdana" w:cstheme="majorBidi"/>
      <w:color w:val="1F3763" w:themeColor="accent1" w:themeShade="7F"/>
      <w:szCs w:val="24"/>
    </w:rPr>
  </w:style>
  <w:style w:type="paragraph" w:styleId="Heading4">
    <w:name w:val="heading 4"/>
    <w:basedOn w:val="Normal"/>
    <w:next w:val="Normal"/>
    <w:link w:val="Heading4Char"/>
    <w:uiPriority w:val="9"/>
    <w:unhideWhenUsed/>
    <w:qFormat/>
    <w:rsid w:val="00CD3D2F"/>
    <w:pPr>
      <w:keepNext/>
      <w:keepLines/>
      <w:spacing w:before="40" w:after="120" w:line="276" w:lineRule="auto"/>
      <w:ind w:left="1800" w:hanging="432"/>
      <w:jc w:val="both"/>
      <w:outlineLvl w:val="3"/>
    </w:pPr>
    <w:rPr>
      <w:rFonts w:asciiTheme="majorHAnsi" w:eastAsiaTheme="majorEastAsia" w:hAnsiTheme="majorHAnsi" w:cstheme="majorBidi"/>
      <w:iCs/>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D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D3D2F"/>
    <w:rPr>
      <w:rFonts w:ascii="Verdana" w:eastAsiaTheme="majorEastAsia" w:hAnsi="Verdana" w:cstheme="majorBidi"/>
      <w:color w:val="2F5496" w:themeColor="accent1" w:themeShade="BF"/>
      <w:sz w:val="28"/>
      <w:szCs w:val="26"/>
    </w:rPr>
  </w:style>
  <w:style w:type="character" w:customStyle="1" w:styleId="Heading3Char">
    <w:name w:val="Heading 3 Char"/>
    <w:basedOn w:val="DefaultParagraphFont"/>
    <w:link w:val="Heading3"/>
    <w:uiPriority w:val="9"/>
    <w:rsid w:val="00CD3D2F"/>
    <w:rPr>
      <w:rFonts w:ascii="Verdana" w:eastAsiaTheme="majorEastAsia" w:hAnsi="Verdana" w:cstheme="majorBidi"/>
      <w:color w:val="1F3763" w:themeColor="accent1" w:themeShade="7F"/>
      <w:szCs w:val="24"/>
    </w:rPr>
  </w:style>
  <w:style w:type="character" w:customStyle="1" w:styleId="Heading4Char">
    <w:name w:val="Heading 4 Char"/>
    <w:basedOn w:val="DefaultParagraphFont"/>
    <w:link w:val="Heading4"/>
    <w:uiPriority w:val="9"/>
    <w:rsid w:val="00CD3D2F"/>
    <w:rPr>
      <w:rFonts w:asciiTheme="majorHAnsi" w:eastAsiaTheme="majorEastAsia" w:hAnsiTheme="majorHAnsi" w:cstheme="majorBidi"/>
      <w:iCs/>
      <w:color w:val="2F5496" w:themeColor="accent1" w:themeShade="BF"/>
      <w:lang w:val="en-GB"/>
    </w:rPr>
  </w:style>
  <w:style w:type="numbering" w:customStyle="1" w:styleId="NoList1">
    <w:name w:val="No List1"/>
    <w:next w:val="NoList"/>
    <w:uiPriority w:val="99"/>
    <w:semiHidden/>
    <w:unhideWhenUsed/>
    <w:rsid w:val="00CD3D2F"/>
  </w:style>
  <w:style w:type="paragraph" w:styleId="BalloonText">
    <w:name w:val="Balloon Text"/>
    <w:basedOn w:val="Normal"/>
    <w:link w:val="BalloonTextChar"/>
    <w:uiPriority w:val="99"/>
    <w:semiHidden/>
    <w:unhideWhenUsed/>
    <w:rsid w:val="00CD3D2F"/>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CD3D2F"/>
    <w:rPr>
      <w:rFonts w:ascii="Segoe UI" w:eastAsiaTheme="minorEastAsia" w:hAnsi="Segoe UI" w:cs="Segoe UI"/>
      <w:sz w:val="18"/>
      <w:szCs w:val="18"/>
    </w:rPr>
  </w:style>
  <w:style w:type="paragraph" w:customStyle="1" w:styleId="Bullet1">
    <w:name w:val="Bullet 1"/>
    <w:basedOn w:val="ListParagraph"/>
    <w:link w:val="Bullet1Char"/>
    <w:uiPriority w:val="1"/>
    <w:qFormat/>
    <w:rsid w:val="00CD3D2F"/>
    <w:pPr>
      <w:numPr>
        <w:numId w:val="1"/>
      </w:numPr>
      <w:spacing w:before="120" w:after="120" w:line="276" w:lineRule="auto"/>
      <w:jc w:val="both"/>
    </w:pPr>
    <w:rPr>
      <w:rFonts w:asciiTheme="minorHAnsi" w:eastAsia="SimSun" w:hAnsiTheme="minorHAnsi"/>
      <w:bCs/>
      <w:sz w:val="20"/>
      <w:szCs w:val="20"/>
    </w:rPr>
  </w:style>
  <w:style w:type="character" w:customStyle="1" w:styleId="Bullet1Char">
    <w:name w:val="Bullet 1 Char"/>
    <w:aliases w:val="Table Legend Char,Bullet1 Char,Bullet List Char,Section 5 Char,List Paragraph after 2 Char,Questions Char,List Paragraph1 Char"/>
    <w:basedOn w:val="DefaultParagraphFont"/>
    <w:link w:val="Bullet1"/>
    <w:uiPriority w:val="1"/>
    <w:qFormat/>
    <w:rsid w:val="00CD3D2F"/>
    <w:rPr>
      <w:rFonts w:eastAsia="SimSun"/>
      <w:bCs/>
      <w:sz w:val="20"/>
      <w:szCs w:val="20"/>
    </w:rPr>
  </w:style>
  <w:style w:type="paragraph" w:customStyle="1" w:styleId="Bullet2">
    <w:name w:val="Bullet 2"/>
    <w:basedOn w:val="Normal"/>
    <w:link w:val="Bullet2Char"/>
    <w:uiPriority w:val="1"/>
    <w:qFormat/>
    <w:rsid w:val="00CD3D2F"/>
    <w:pPr>
      <w:numPr>
        <w:ilvl w:val="1"/>
        <w:numId w:val="1"/>
      </w:numPr>
      <w:spacing w:before="120" w:after="120" w:line="276" w:lineRule="auto"/>
      <w:jc w:val="both"/>
    </w:pPr>
    <w:rPr>
      <w:rFonts w:eastAsia="SimSun"/>
      <w:sz w:val="20"/>
      <w:szCs w:val="20"/>
      <w:lang w:val="en-GB"/>
    </w:rPr>
  </w:style>
  <w:style w:type="paragraph" w:customStyle="1" w:styleId="Bullet3">
    <w:name w:val="Bullet 3"/>
    <w:basedOn w:val="Bullet2"/>
    <w:link w:val="Bullet3Char"/>
    <w:uiPriority w:val="1"/>
    <w:qFormat/>
    <w:rsid w:val="00CD3D2F"/>
    <w:pPr>
      <w:numPr>
        <w:ilvl w:val="2"/>
      </w:numPr>
    </w:pPr>
  </w:style>
  <w:style w:type="paragraph" w:customStyle="1" w:styleId="blackbulletpoint">
    <w:name w:val="black bulletpoint"/>
    <w:basedOn w:val="Bullet3"/>
    <w:link w:val="blackbulletpointChar"/>
    <w:uiPriority w:val="1"/>
    <w:rsid w:val="00CD3D2F"/>
    <w:pPr>
      <w:numPr>
        <w:ilvl w:val="3"/>
      </w:numPr>
    </w:pPr>
    <w:rPr>
      <w:color w:val="000000" w:themeColor="text1"/>
    </w:rPr>
  </w:style>
  <w:style w:type="character" w:customStyle="1" w:styleId="Bullet2Char">
    <w:name w:val="Bullet 2 Char"/>
    <w:basedOn w:val="DefaultParagraphFont"/>
    <w:link w:val="Bullet2"/>
    <w:uiPriority w:val="1"/>
    <w:qFormat/>
    <w:rsid w:val="00CD3D2F"/>
    <w:rPr>
      <w:rFonts w:eastAsia="SimSun"/>
      <w:sz w:val="20"/>
      <w:szCs w:val="20"/>
      <w:lang w:val="en-GB"/>
    </w:rPr>
  </w:style>
  <w:style w:type="character" w:styleId="Hyperlink">
    <w:name w:val="Hyperlink"/>
    <w:basedOn w:val="DefaultParagraphFont"/>
    <w:uiPriority w:val="99"/>
    <w:unhideWhenUsed/>
    <w:qFormat/>
    <w:rsid w:val="00CD3D2F"/>
    <w:rPr>
      <w:color w:val="0563C1" w:themeColor="hyperlink"/>
      <w:u w:val="single"/>
    </w:rPr>
  </w:style>
  <w:style w:type="paragraph" w:styleId="FootnoteText">
    <w:name w:val="footnote text"/>
    <w:basedOn w:val="Normal"/>
    <w:link w:val="FootnoteTextChar"/>
    <w:uiPriority w:val="99"/>
    <w:semiHidden/>
    <w:unhideWhenUsed/>
    <w:rsid w:val="00CD3D2F"/>
    <w:pPr>
      <w:spacing w:before="120" w:after="120" w:line="240" w:lineRule="auto"/>
      <w:jc w:val="both"/>
    </w:pPr>
    <w:rPr>
      <w:rFonts w:eastAsia="SimSun"/>
      <w:sz w:val="20"/>
      <w:szCs w:val="20"/>
      <w:lang w:val="en-GB"/>
    </w:rPr>
  </w:style>
  <w:style w:type="character" w:customStyle="1" w:styleId="FootnoteTextChar">
    <w:name w:val="Footnote Text Char"/>
    <w:basedOn w:val="DefaultParagraphFont"/>
    <w:link w:val="FootnoteText"/>
    <w:uiPriority w:val="99"/>
    <w:semiHidden/>
    <w:rsid w:val="00CD3D2F"/>
    <w:rPr>
      <w:rFonts w:eastAsia="SimSun"/>
      <w:sz w:val="20"/>
      <w:szCs w:val="20"/>
      <w:lang w:val="en-GB"/>
    </w:rPr>
  </w:style>
  <w:style w:type="character" w:styleId="FootnoteReference">
    <w:name w:val="footnote reference"/>
    <w:basedOn w:val="DefaultParagraphFont"/>
    <w:uiPriority w:val="99"/>
    <w:semiHidden/>
    <w:unhideWhenUsed/>
    <w:rsid w:val="00CD3D2F"/>
    <w:rPr>
      <w:vertAlign w:val="superscript"/>
    </w:rPr>
  </w:style>
  <w:style w:type="paragraph" w:styleId="ListParagraph">
    <w:name w:val="List Paragraph"/>
    <w:basedOn w:val="Normal"/>
    <w:link w:val="ListParagraphChar"/>
    <w:uiPriority w:val="34"/>
    <w:qFormat/>
    <w:rsid w:val="00CD3D2F"/>
    <w:pPr>
      <w:ind w:left="720"/>
      <w:contextualSpacing/>
    </w:pPr>
    <w:rPr>
      <w:rFonts w:ascii="Verdana" w:eastAsiaTheme="minorEastAsia" w:hAnsi="Verdana"/>
    </w:rPr>
  </w:style>
  <w:style w:type="character" w:styleId="UnresolvedMention">
    <w:name w:val="Unresolved Mention"/>
    <w:basedOn w:val="DefaultParagraphFont"/>
    <w:uiPriority w:val="99"/>
    <w:semiHidden/>
    <w:unhideWhenUsed/>
    <w:rsid w:val="00CD3D2F"/>
    <w:rPr>
      <w:color w:val="605E5C"/>
      <w:shd w:val="clear" w:color="auto" w:fill="E1DFDD"/>
    </w:rPr>
  </w:style>
  <w:style w:type="character" w:styleId="CommentReference">
    <w:name w:val="annotation reference"/>
    <w:basedOn w:val="DefaultParagraphFont"/>
    <w:uiPriority w:val="99"/>
    <w:semiHidden/>
    <w:unhideWhenUsed/>
    <w:rsid w:val="00CD3D2F"/>
    <w:rPr>
      <w:sz w:val="16"/>
      <w:szCs w:val="16"/>
    </w:rPr>
  </w:style>
  <w:style w:type="paragraph" w:styleId="CommentText">
    <w:name w:val="annotation text"/>
    <w:basedOn w:val="Normal"/>
    <w:link w:val="CommentTextChar"/>
    <w:uiPriority w:val="99"/>
    <w:unhideWhenUsed/>
    <w:rsid w:val="00CD3D2F"/>
    <w:pPr>
      <w:spacing w:line="240" w:lineRule="auto"/>
    </w:pPr>
    <w:rPr>
      <w:rFonts w:ascii="Verdana" w:eastAsiaTheme="minorEastAsia" w:hAnsi="Verdana"/>
      <w:sz w:val="20"/>
      <w:szCs w:val="20"/>
    </w:rPr>
  </w:style>
  <w:style w:type="character" w:customStyle="1" w:styleId="CommentTextChar">
    <w:name w:val="Comment Text Char"/>
    <w:basedOn w:val="DefaultParagraphFont"/>
    <w:link w:val="CommentText"/>
    <w:uiPriority w:val="99"/>
    <w:rsid w:val="00CD3D2F"/>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CD3D2F"/>
    <w:rPr>
      <w:b/>
      <w:bCs/>
    </w:rPr>
  </w:style>
  <w:style w:type="character" w:customStyle="1" w:styleId="CommentSubjectChar">
    <w:name w:val="Comment Subject Char"/>
    <w:basedOn w:val="CommentTextChar"/>
    <w:link w:val="CommentSubject"/>
    <w:uiPriority w:val="99"/>
    <w:semiHidden/>
    <w:rsid w:val="00CD3D2F"/>
    <w:rPr>
      <w:rFonts w:ascii="Verdana" w:eastAsiaTheme="minorEastAsia" w:hAnsi="Verdana"/>
      <w:b/>
      <w:bCs/>
      <w:sz w:val="20"/>
      <w:szCs w:val="20"/>
    </w:rPr>
  </w:style>
  <w:style w:type="paragraph" w:styleId="Header">
    <w:name w:val="header"/>
    <w:basedOn w:val="Normal"/>
    <w:link w:val="HeaderChar"/>
    <w:uiPriority w:val="99"/>
    <w:unhideWhenUsed/>
    <w:rsid w:val="00CD3D2F"/>
    <w:pPr>
      <w:tabs>
        <w:tab w:val="center" w:pos="4680"/>
        <w:tab w:val="right" w:pos="9360"/>
      </w:tabs>
      <w:spacing w:after="0" w:line="240" w:lineRule="auto"/>
    </w:pPr>
    <w:rPr>
      <w:rFonts w:ascii="Verdana" w:eastAsiaTheme="minorEastAsia" w:hAnsi="Verdana"/>
    </w:rPr>
  </w:style>
  <w:style w:type="character" w:customStyle="1" w:styleId="HeaderChar">
    <w:name w:val="Header Char"/>
    <w:basedOn w:val="DefaultParagraphFont"/>
    <w:link w:val="Header"/>
    <w:uiPriority w:val="99"/>
    <w:rsid w:val="00CD3D2F"/>
    <w:rPr>
      <w:rFonts w:ascii="Verdana" w:eastAsiaTheme="minorEastAsia" w:hAnsi="Verdana"/>
    </w:rPr>
  </w:style>
  <w:style w:type="paragraph" w:styleId="Footer">
    <w:name w:val="footer"/>
    <w:basedOn w:val="Normal"/>
    <w:link w:val="FooterChar"/>
    <w:uiPriority w:val="99"/>
    <w:unhideWhenUsed/>
    <w:rsid w:val="00CD3D2F"/>
    <w:pPr>
      <w:tabs>
        <w:tab w:val="center" w:pos="4680"/>
        <w:tab w:val="right" w:pos="9360"/>
      </w:tabs>
      <w:spacing w:after="0" w:line="240" w:lineRule="auto"/>
    </w:pPr>
    <w:rPr>
      <w:rFonts w:ascii="Verdana" w:eastAsiaTheme="minorEastAsia" w:hAnsi="Verdana"/>
    </w:rPr>
  </w:style>
  <w:style w:type="character" w:customStyle="1" w:styleId="FooterChar">
    <w:name w:val="Footer Char"/>
    <w:basedOn w:val="DefaultParagraphFont"/>
    <w:link w:val="Footer"/>
    <w:uiPriority w:val="99"/>
    <w:rsid w:val="00CD3D2F"/>
    <w:rPr>
      <w:rFonts w:ascii="Verdana" w:eastAsiaTheme="minorEastAsia" w:hAnsi="Verdana"/>
    </w:rPr>
  </w:style>
  <w:style w:type="character" w:customStyle="1" w:styleId="ListParagraphChar">
    <w:name w:val="List Paragraph Char"/>
    <w:basedOn w:val="DefaultParagraphFont"/>
    <w:link w:val="ListParagraph"/>
    <w:uiPriority w:val="34"/>
    <w:rsid w:val="00CD3D2F"/>
    <w:rPr>
      <w:rFonts w:ascii="Verdana" w:eastAsiaTheme="minorEastAsia" w:hAnsi="Verdana"/>
    </w:rPr>
  </w:style>
  <w:style w:type="paragraph" w:customStyle="1" w:styleId="BodyText1">
    <w:name w:val="Body Text1"/>
    <w:basedOn w:val="Normal"/>
    <w:link w:val="BodytextChar"/>
    <w:qFormat/>
    <w:rsid w:val="00CD3D2F"/>
    <w:pPr>
      <w:suppressAutoHyphens/>
      <w:spacing w:before="120" w:after="120" w:line="240" w:lineRule="auto"/>
      <w:jc w:val="both"/>
    </w:pPr>
    <w:rPr>
      <w:rFonts w:ascii="Segoe UI" w:eastAsia="SimSun" w:hAnsi="Segoe UI" w:cs="Arial"/>
      <w:color w:val="404040"/>
      <w:lang w:val="en-CA" w:eastAsia="zh-CN"/>
    </w:rPr>
  </w:style>
  <w:style w:type="character" w:customStyle="1" w:styleId="BodytextChar">
    <w:name w:val="Body text Char"/>
    <w:basedOn w:val="DefaultParagraphFont"/>
    <w:link w:val="BodyText1"/>
    <w:qFormat/>
    <w:rsid w:val="00CD3D2F"/>
    <w:rPr>
      <w:rFonts w:ascii="Segoe UI" w:eastAsia="SimSun" w:hAnsi="Segoe UI" w:cs="Arial"/>
      <w:color w:val="404040"/>
      <w:lang w:val="en-CA" w:eastAsia="zh-CN"/>
    </w:rPr>
  </w:style>
  <w:style w:type="table" w:styleId="GridTable4-Accent1">
    <w:name w:val="Grid Table 4 Accent 1"/>
    <w:basedOn w:val="TableNormal"/>
    <w:uiPriority w:val="49"/>
    <w:rsid w:val="00CD3D2F"/>
    <w:pPr>
      <w:spacing w:after="0" w:line="240" w:lineRule="auto"/>
    </w:pPr>
    <w:rPr>
      <w:rFonts w:eastAsia="SimSu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ext1">
    <w:name w:val="Text 1"/>
    <w:basedOn w:val="Normal"/>
    <w:link w:val="Text1Char"/>
    <w:qFormat/>
    <w:rsid w:val="00CD3D2F"/>
    <w:pPr>
      <w:spacing w:before="120" w:after="120" w:line="276" w:lineRule="auto"/>
      <w:ind w:left="426"/>
      <w:jc w:val="both"/>
    </w:pPr>
    <w:rPr>
      <w:rFonts w:eastAsia="SimSun"/>
      <w:color w:val="000000" w:themeColor="text1"/>
      <w:sz w:val="20"/>
      <w:szCs w:val="20"/>
      <w:lang w:val="fr-FR"/>
    </w:rPr>
  </w:style>
  <w:style w:type="character" w:customStyle="1" w:styleId="Text1Char">
    <w:name w:val="Text 1 Char"/>
    <w:basedOn w:val="DefaultParagraphFont"/>
    <w:link w:val="Text1"/>
    <w:rsid w:val="00CD3D2F"/>
    <w:rPr>
      <w:rFonts w:eastAsia="SimSun"/>
      <w:color w:val="000000" w:themeColor="text1"/>
      <w:sz w:val="20"/>
      <w:szCs w:val="20"/>
      <w:lang w:val="fr-FR"/>
    </w:rPr>
  </w:style>
  <w:style w:type="table" w:customStyle="1" w:styleId="GridTable1Light-Accent11">
    <w:name w:val="Grid Table 1 Light - Accent 11"/>
    <w:basedOn w:val="TableNormal"/>
    <w:next w:val="GridTable1Light-Accent1"/>
    <w:uiPriority w:val="46"/>
    <w:rsid w:val="00CD3D2F"/>
    <w:pPr>
      <w:spacing w:after="0" w:line="240" w:lineRule="auto"/>
    </w:pPr>
    <w:rPr>
      <w:rFonts w:eastAsia="SimSun"/>
    </w:rPr>
    <w:tblPr>
      <w:tblStyleRowBandSize w:val="1"/>
      <w:tblStyleColBandSize w:val="1"/>
      <w:tblBorders>
        <w:top w:val="single" w:sz="4" w:space="0" w:color="9494DB"/>
        <w:left w:val="single" w:sz="4" w:space="0" w:color="9494DB"/>
        <w:bottom w:val="single" w:sz="4" w:space="0" w:color="9494DB"/>
        <w:right w:val="single" w:sz="4" w:space="0" w:color="9494DB"/>
        <w:insideH w:val="single" w:sz="4" w:space="0" w:color="9494DB"/>
        <w:insideV w:val="single" w:sz="4" w:space="0" w:color="9494DB"/>
      </w:tblBorders>
    </w:tblPr>
    <w:tblStylePr w:type="firstRow">
      <w:rPr>
        <w:b/>
        <w:bCs/>
      </w:rPr>
      <w:tblPr/>
      <w:tcPr>
        <w:tcBorders>
          <w:bottom w:val="single" w:sz="12" w:space="0" w:color="5F5FC9"/>
        </w:tcBorders>
      </w:tcPr>
    </w:tblStylePr>
    <w:tblStylePr w:type="lastRow">
      <w:rPr>
        <w:b/>
        <w:bCs/>
      </w:rPr>
      <w:tblPr/>
      <w:tcPr>
        <w:tcBorders>
          <w:top w:val="double" w:sz="2" w:space="0" w:color="5F5FC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insideV w:val="nil"/>
        </w:tcBorders>
        <w:shd w:val="clear" w:color="auto" w:fill="272774"/>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styleId="GridTable1Light-Accent1">
    <w:name w:val="Grid Table 1 Light Accent 1"/>
    <w:basedOn w:val="TableNormal"/>
    <w:uiPriority w:val="46"/>
    <w:rsid w:val="00CD3D2F"/>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CD3D2F"/>
  </w:style>
  <w:style w:type="paragraph" w:styleId="NormalWeb">
    <w:name w:val="Normal (Web)"/>
    <w:basedOn w:val="Normal"/>
    <w:uiPriority w:val="99"/>
    <w:semiHidden/>
    <w:unhideWhenUsed/>
    <w:qFormat/>
    <w:rsid w:val="00CD3D2F"/>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NoSpacing">
    <w:name w:val="No Spacing"/>
    <w:uiPriority w:val="2"/>
    <w:qFormat/>
    <w:rsid w:val="00CD3D2F"/>
    <w:pPr>
      <w:spacing w:after="0" w:line="240" w:lineRule="auto"/>
    </w:pPr>
    <w:rPr>
      <w:rFonts w:eastAsia="SimSun"/>
    </w:rPr>
  </w:style>
  <w:style w:type="paragraph" w:customStyle="1" w:styleId="Title1">
    <w:name w:val="Title1"/>
    <w:basedOn w:val="Normal"/>
    <w:next w:val="Subtitle"/>
    <w:uiPriority w:val="10"/>
    <w:qFormat/>
    <w:rsid w:val="00CD3D2F"/>
    <w:pPr>
      <w:tabs>
        <w:tab w:val="left" w:pos="-720"/>
      </w:tabs>
      <w:suppressAutoHyphens/>
      <w:spacing w:before="120" w:after="120" w:line="240" w:lineRule="auto"/>
      <w:jc w:val="center"/>
    </w:pPr>
    <w:rPr>
      <w:rFonts w:ascii="Century Gothic" w:eastAsia="SimSun" w:hAnsi="Century Gothic" w:cs="Segoe UI"/>
      <w:bCs/>
      <w:color w:val="272774"/>
      <w:spacing w:val="-3"/>
      <w:sz w:val="52"/>
      <w:szCs w:val="76"/>
      <w:lang w:val="fr-FR"/>
    </w:rPr>
  </w:style>
  <w:style w:type="character" w:customStyle="1" w:styleId="TitleChar">
    <w:name w:val="Title Char"/>
    <w:basedOn w:val="DefaultParagraphFont"/>
    <w:link w:val="Title"/>
    <w:uiPriority w:val="10"/>
    <w:rsid w:val="00CD3D2F"/>
    <w:rPr>
      <w:rFonts w:cs="Segoe UI"/>
      <w:bCs/>
      <w:color w:val="272774"/>
      <w:spacing w:val="-3"/>
      <w:sz w:val="52"/>
      <w:szCs w:val="76"/>
      <w:lang w:val="fr-FR"/>
    </w:rPr>
  </w:style>
  <w:style w:type="paragraph" w:customStyle="1" w:styleId="Subtitle1">
    <w:name w:val="Subtitle1"/>
    <w:basedOn w:val="Normal"/>
    <w:next w:val="Heading1"/>
    <w:link w:val="SubtitleChar"/>
    <w:uiPriority w:val="11"/>
    <w:qFormat/>
    <w:rsid w:val="00CD3D2F"/>
    <w:pPr>
      <w:numPr>
        <w:ilvl w:val="1"/>
      </w:numPr>
      <w:spacing w:before="120" w:line="276" w:lineRule="auto"/>
      <w:jc w:val="center"/>
    </w:pPr>
    <w:rPr>
      <w:rFonts w:eastAsia="MS Mincho"/>
      <w:color w:val="EBC4B4"/>
      <w:spacing w:val="15"/>
      <w:sz w:val="40"/>
      <w:lang w:val="fr-FR"/>
    </w:rPr>
  </w:style>
  <w:style w:type="character" w:customStyle="1" w:styleId="SubtitleChar">
    <w:name w:val="Subtitle Char"/>
    <w:basedOn w:val="DefaultParagraphFont"/>
    <w:link w:val="Subtitle1"/>
    <w:uiPriority w:val="11"/>
    <w:rsid w:val="00CD3D2F"/>
    <w:rPr>
      <w:rFonts w:eastAsia="MS Mincho"/>
      <w:color w:val="EBC4B4"/>
      <w:spacing w:val="15"/>
      <w:sz w:val="40"/>
      <w:lang w:val="fr-FR"/>
    </w:rPr>
  </w:style>
  <w:style w:type="character" w:customStyle="1" w:styleId="IntenseEmphasis1">
    <w:name w:val="Intense Emphasis1"/>
    <w:basedOn w:val="DefaultParagraphFont"/>
    <w:uiPriority w:val="21"/>
    <w:rsid w:val="00CD3D2F"/>
    <w:rPr>
      <w:i/>
      <w:iCs/>
      <w:color w:val="272774"/>
    </w:rPr>
  </w:style>
  <w:style w:type="character" w:customStyle="1" w:styleId="Strong1">
    <w:name w:val="Strong1"/>
    <w:basedOn w:val="DefaultParagraphFont"/>
    <w:uiPriority w:val="22"/>
    <w:qFormat/>
    <w:rsid w:val="00CD3D2F"/>
    <w:rPr>
      <w:b/>
      <w:bCs/>
      <w:color w:val="272774"/>
      <w:sz w:val="22"/>
    </w:rPr>
  </w:style>
  <w:style w:type="character" w:styleId="Emphasis">
    <w:name w:val="Emphasis"/>
    <w:basedOn w:val="DefaultParagraphFont"/>
    <w:uiPriority w:val="20"/>
    <w:qFormat/>
    <w:rsid w:val="00CD3D2F"/>
    <w:rPr>
      <w:i/>
      <w:iCs/>
    </w:rPr>
  </w:style>
  <w:style w:type="numbering" w:customStyle="1" w:styleId="Style1">
    <w:name w:val="Style1"/>
    <w:uiPriority w:val="99"/>
    <w:rsid w:val="00CD3D2F"/>
    <w:pPr>
      <w:numPr>
        <w:numId w:val="6"/>
      </w:numPr>
    </w:pPr>
  </w:style>
  <w:style w:type="paragraph" w:customStyle="1" w:styleId="BasicParagraph">
    <w:name w:val="[Basic Paragraph]"/>
    <w:basedOn w:val="Normal"/>
    <w:uiPriority w:val="99"/>
    <w:rsid w:val="00CD3D2F"/>
    <w:pPr>
      <w:autoSpaceDE w:val="0"/>
      <w:autoSpaceDN w:val="0"/>
      <w:adjustRightInd w:val="0"/>
      <w:spacing w:before="120" w:after="120" w:line="288" w:lineRule="auto"/>
      <w:jc w:val="both"/>
      <w:textAlignment w:val="center"/>
    </w:pPr>
    <w:rPr>
      <w:rFonts w:ascii="MinionPro-Regular" w:eastAsia="SimSun" w:hAnsi="MinionPro-Regular" w:cs="MinionPro-Regular"/>
      <w:color w:val="000000"/>
      <w:sz w:val="24"/>
      <w:szCs w:val="24"/>
      <w:lang w:val="en-GB"/>
    </w:rPr>
  </w:style>
  <w:style w:type="character" w:styleId="PlaceholderText">
    <w:name w:val="Placeholder Text"/>
    <w:basedOn w:val="DefaultParagraphFont"/>
    <w:uiPriority w:val="99"/>
    <w:rsid w:val="00CD3D2F"/>
    <w:rPr>
      <w:color w:val="808080"/>
    </w:rPr>
  </w:style>
  <w:style w:type="paragraph" w:customStyle="1" w:styleId="Title10">
    <w:name w:val="Title 1"/>
    <w:basedOn w:val="Title"/>
    <w:rsid w:val="00CD3D2F"/>
    <w:pPr>
      <w:tabs>
        <w:tab w:val="left" w:pos="-720"/>
      </w:tabs>
      <w:suppressAutoHyphens/>
      <w:spacing w:before="120" w:after="120" w:line="276" w:lineRule="auto"/>
      <w:contextualSpacing w:val="0"/>
      <w:jc w:val="center"/>
    </w:pPr>
    <w:rPr>
      <w:rFonts w:eastAsia="SimSun"/>
    </w:rPr>
  </w:style>
  <w:style w:type="table" w:customStyle="1" w:styleId="GridTable1Light-Accent12">
    <w:name w:val="Grid Table 1 Light - Accent 12"/>
    <w:basedOn w:val="TableNormal"/>
    <w:next w:val="GridTable1Light-Accent1"/>
    <w:uiPriority w:val="46"/>
    <w:rsid w:val="00CD3D2F"/>
    <w:pPr>
      <w:spacing w:after="0" w:line="240" w:lineRule="auto"/>
    </w:pPr>
    <w:rPr>
      <w:rFonts w:eastAsia="SimSun"/>
    </w:rPr>
    <w:tblPr>
      <w:tblStyleRowBandSize w:val="1"/>
      <w:tblStyleColBandSize w:val="1"/>
      <w:tblBorders>
        <w:top w:val="single" w:sz="4" w:space="0" w:color="9494DB"/>
        <w:left w:val="single" w:sz="4" w:space="0" w:color="9494DB"/>
        <w:bottom w:val="single" w:sz="4" w:space="0" w:color="9494DB"/>
        <w:right w:val="single" w:sz="4" w:space="0" w:color="9494DB"/>
        <w:insideH w:val="single" w:sz="4" w:space="0" w:color="9494DB"/>
        <w:insideV w:val="single" w:sz="4" w:space="0" w:color="9494DB"/>
      </w:tblBorders>
    </w:tblPr>
    <w:tblStylePr w:type="firstRow">
      <w:rPr>
        <w:b/>
        <w:bCs/>
      </w:rPr>
      <w:tblPr/>
      <w:tcPr>
        <w:tcBorders>
          <w:bottom w:val="single" w:sz="12" w:space="0" w:color="5F5FC9"/>
        </w:tcBorders>
      </w:tcPr>
    </w:tblStylePr>
    <w:tblStylePr w:type="lastRow">
      <w:rPr>
        <w:b/>
        <w:bCs/>
      </w:rPr>
      <w:tblPr/>
      <w:tcPr>
        <w:tcBorders>
          <w:top w:val="double" w:sz="2" w:space="0" w:color="5F5FC9"/>
        </w:tcBorders>
      </w:tcPr>
    </w:tblStylePr>
    <w:tblStylePr w:type="firstCol">
      <w:rPr>
        <w:b/>
        <w:bCs/>
      </w:rPr>
    </w:tblStylePr>
    <w:tblStylePr w:type="lastCol">
      <w:rPr>
        <w:b/>
        <w:bCs/>
      </w:rPr>
    </w:tblStylePr>
  </w:style>
  <w:style w:type="paragraph" w:customStyle="1" w:styleId="Text2">
    <w:name w:val="Text 2"/>
    <w:basedOn w:val="Text1"/>
    <w:qFormat/>
    <w:rsid w:val="00CD3D2F"/>
    <w:pPr>
      <w:ind w:left="851"/>
    </w:pPr>
    <w:rPr>
      <w:szCs w:val="24"/>
    </w:rPr>
  </w:style>
  <w:style w:type="paragraph" w:customStyle="1" w:styleId="Text3">
    <w:name w:val="Text 3"/>
    <w:basedOn w:val="Text2"/>
    <w:qFormat/>
    <w:rsid w:val="00CD3D2F"/>
    <w:pPr>
      <w:ind w:left="1440"/>
    </w:pPr>
  </w:style>
  <w:style w:type="paragraph" w:customStyle="1" w:styleId="Text4">
    <w:name w:val="Text 4"/>
    <w:basedOn w:val="Text3"/>
    <w:qFormat/>
    <w:rsid w:val="00CD3D2F"/>
    <w:pPr>
      <w:ind w:left="2268"/>
    </w:pPr>
    <w:rPr>
      <w:szCs w:val="20"/>
    </w:rPr>
  </w:style>
  <w:style w:type="character" w:customStyle="1" w:styleId="Bullet3Char">
    <w:name w:val="Bullet 3 Char"/>
    <w:basedOn w:val="Bullet2Char"/>
    <w:link w:val="Bullet3"/>
    <w:uiPriority w:val="1"/>
    <w:rsid w:val="00CD3D2F"/>
    <w:rPr>
      <w:rFonts w:eastAsia="SimSun"/>
      <w:sz w:val="20"/>
      <w:szCs w:val="20"/>
      <w:lang w:val="en-GB"/>
    </w:rPr>
  </w:style>
  <w:style w:type="paragraph" w:customStyle="1" w:styleId="greybulletpoint">
    <w:name w:val="grey bulletpoint"/>
    <w:basedOn w:val="blackbulletpoint"/>
    <w:link w:val="greybulletpointChar"/>
    <w:uiPriority w:val="1"/>
    <w:rsid w:val="00CD3D2F"/>
    <w:pPr>
      <w:numPr>
        <w:ilvl w:val="0"/>
        <w:numId w:val="0"/>
      </w:numPr>
      <w:ind w:left="3382" w:hanging="720"/>
    </w:pPr>
    <w:rPr>
      <w:color w:val="7F7F7F"/>
    </w:rPr>
  </w:style>
  <w:style w:type="character" w:customStyle="1" w:styleId="blackbulletpointChar">
    <w:name w:val="black bulletpoint Char"/>
    <w:basedOn w:val="Bullet3Char"/>
    <w:link w:val="blackbulletpoint"/>
    <w:uiPriority w:val="1"/>
    <w:rsid w:val="00CD3D2F"/>
    <w:rPr>
      <w:rFonts w:eastAsia="SimSun"/>
      <w:color w:val="000000" w:themeColor="text1"/>
      <w:sz w:val="20"/>
      <w:szCs w:val="20"/>
      <w:lang w:val="en-GB"/>
    </w:rPr>
  </w:style>
  <w:style w:type="character" w:customStyle="1" w:styleId="greybulletpointChar">
    <w:name w:val="grey bulletpoint Char"/>
    <w:basedOn w:val="blackbulletpointChar"/>
    <w:link w:val="greybulletpoint"/>
    <w:uiPriority w:val="1"/>
    <w:rsid w:val="00CD3D2F"/>
    <w:rPr>
      <w:rFonts w:eastAsia="SimSun"/>
      <w:color w:val="7F7F7F"/>
      <w:sz w:val="20"/>
      <w:szCs w:val="20"/>
      <w:lang w:val="en-GB"/>
    </w:rPr>
  </w:style>
  <w:style w:type="table" w:customStyle="1" w:styleId="ListTable6Colorful-Accent11">
    <w:name w:val="List Table 6 Colorful - Accent 11"/>
    <w:basedOn w:val="TableNormal"/>
    <w:next w:val="ListTable6Colorful-Accent1"/>
    <w:uiPriority w:val="51"/>
    <w:rsid w:val="00CD3D2F"/>
    <w:pPr>
      <w:spacing w:after="0" w:line="240" w:lineRule="auto"/>
    </w:pPr>
    <w:rPr>
      <w:rFonts w:eastAsia="SimSun"/>
      <w:color w:val="1D1D56"/>
      <w:lang w:val="en-GB"/>
    </w:rPr>
    <w:tblPr>
      <w:tblStyleRowBandSize w:val="1"/>
      <w:tblStyleColBandSize w:val="1"/>
      <w:tblBorders>
        <w:top w:val="single" w:sz="4" w:space="0" w:color="272774"/>
        <w:bottom w:val="single" w:sz="4" w:space="0" w:color="272774"/>
      </w:tblBorders>
    </w:tblPr>
    <w:tblStylePr w:type="firstRow">
      <w:rPr>
        <w:b/>
        <w:bCs/>
      </w:rPr>
      <w:tblPr/>
      <w:tcPr>
        <w:tcBorders>
          <w:bottom w:val="single" w:sz="4" w:space="0" w:color="272774"/>
        </w:tcBorders>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paragraph" w:customStyle="1" w:styleId="Caption1">
    <w:name w:val="Caption1"/>
    <w:basedOn w:val="Normal"/>
    <w:next w:val="Normal"/>
    <w:uiPriority w:val="35"/>
    <w:unhideWhenUsed/>
    <w:qFormat/>
    <w:rsid w:val="00CD3D2F"/>
    <w:pPr>
      <w:spacing w:before="120" w:after="200" w:line="240" w:lineRule="auto"/>
      <w:jc w:val="both"/>
    </w:pPr>
    <w:rPr>
      <w:rFonts w:ascii="Century Gothic" w:eastAsia="SimSun" w:hAnsi="Century Gothic"/>
      <w:i/>
      <w:iCs/>
      <w:color w:val="272774"/>
      <w:sz w:val="18"/>
      <w:szCs w:val="18"/>
      <w:lang w:val="en-GB"/>
    </w:rPr>
  </w:style>
  <w:style w:type="table" w:customStyle="1" w:styleId="ListTable6Colorful-Accent213">
    <w:name w:val="List Table 6 Colorful - Accent 213"/>
    <w:basedOn w:val="TableNormal"/>
    <w:next w:val="TableNormal"/>
    <w:uiPriority w:val="51"/>
    <w:rsid w:val="00CD3D2F"/>
    <w:pPr>
      <w:spacing w:after="0" w:line="240" w:lineRule="auto"/>
    </w:pPr>
    <w:rPr>
      <w:rFonts w:eastAsia="SimSun"/>
      <w:color w:val="D58361"/>
      <w:lang w:val="en-GB"/>
    </w:rPr>
    <w:tblPr>
      <w:tblStyleRowBandSize w:val="1"/>
      <w:tblStyleColBandSize w:val="1"/>
      <w:tblBorders>
        <w:top w:val="single" w:sz="4" w:space="0" w:color="EBC4B4"/>
        <w:bottom w:val="single" w:sz="4" w:space="0" w:color="EBC4B4"/>
      </w:tblBorders>
    </w:tblPr>
    <w:tblStylePr w:type="firstRow">
      <w:rPr>
        <w:b/>
        <w:bCs/>
      </w:rPr>
      <w:tblPr/>
      <w:tcPr>
        <w:tcBorders>
          <w:bottom w:val="single" w:sz="4" w:space="0" w:color="EBC4B4"/>
        </w:tcBorders>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paragraph" w:customStyle="1" w:styleId="Bullet10">
    <w:name w:val=".Bullet 1"/>
    <w:basedOn w:val="Normal"/>
    <w:link w:val="Bullet1Char0"/>
    <w:autoRedefine/>
    <w:qFormat/>
    <w:rsid w:val="00CD3D2F"/>
    <w:pPr>
      <w:tabs>
        <w:tab w:val="left" w:pos="851"/>
      </w:tabs>
      <w:spacing w:before="120" w:after="120" w:line="240" w:lineRule="auto"/>
      <w:ind w:left="425"/>
      <w:jc w:val="both"/>
    </w:pPr>
    <w:rPr>
      <w:rFonts w:ascii="Segoe UI" w:eastAsia="Times New Roman" w:hAnsi="Segoe UI" w:cs="Century Gothic"/>
      <w:color w:val="404040"/>
      <w:szCs w:val="20"/>
      <w:lang w:val="en-GB" w:eastAsia="fr-FR"/>
    </w:rPr>
  </w:style>
  <w:style w:type="table" w:customStyle="1" w:styleId="ListTable6Colorful-Accent21">
    <w:name w:val="List Table 6 Colorful - Accent 21"/>
    <w:basedOn w:val="TableNormal"/>
    <w:uiPriority w:val="51"/>
    <w:rsid w:val="00CD3D2F"/>
    <w:pPr>
      <w:spacing w:after="0" w:line="240" w:lineRule="auto"/>
    </w:pPr>
    <w:rPr>
      <w:rFonts w:eastAsia="SimSun"/>
      <w:color w:val="D58361"/>
      <w:lang w:val="en-GB"/>
    </w:rPr>
    <w:tblPr>
      <w:tblStyleRowBandSize w:val="1"/>
      <w:tblStyleColBandSize w:val="1"/>
      <w:tblBorders>
        <w:top w:val="single" w:sz="4" w:space="0" w:color="EBC4B4"/>
        <w:bottom w:val="single" w:sz="4" w:space="0" w:color="EBC4B4"/>
      </w:tblBorders>
    </w:tblPr>
    <w:tblStylePr w:type="firstRow">
      <w:rPr>
        <w:b/>
        <w:bCs/>
      </w:rPr>
      <w:tblPr/>
      <w:tcPr>
        <w:tcBorders>
          <w:bottom w:val="single" w:sz="4" w:space="0" w:color="EBC4B4"/>
        </w:tcBorders>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character" w:customStyle="1" w:styleId="Bullet1Char0">
    <w:name w:val=".Bullet 1 Char"/>
    <w:basedOn w:val="DefaultParagraphFont"/>
    <w:link w:val="Bullet10"/>
    <w:qFormat/>
    <w:rsid w:val="00CD3D2F"/>
    <w:rPr>
      <w:rFonts w:ascii="Segoe UI" w:eastAsia="Times New Roman" w:hAnsi="Segoe UI" w:cs="Century Gothic"/>
      <w:color w:val="404040"/>
      <w:szCs w:val="20"/>
      <w:lang w:val="en-GB" w:eastAsia="fr-FR"/>
    </w:rPr>
  </w:style>
  <w:style w:type="paragraph" w:customStyle="1" w:styleId="EndNoteBibliographyTitle">
    <w:name w:val="EndNote Bibliography Title"/>
    <w:basedOn w:val="Normal"/>
    <w:link w:val="EndNoteBibliographyTitleChar"/>
    <w:rsid w:val="00CD3D2F"/>
    <w:pPr>
      <w:spacing w:before="120" w:after="120" w:line="276" w:lineRule="auto"/>
      <w:jc w:val="center"/>
    </w:pPr>
    <w:rPr>
      <w:rFonts w:ascii="Verdana" w:eastAsia="SimSun" w:hAnsi="Verdana"/>
      <w:noProof/>
      <w:lang w:val="en-GB"/>
    </w:rPr>
  </w:style>
  <w:style w:type="character" w:customStyle="1" w:styleId="EndNoteBibliographyTitleChar">
    <w:name w:val="EndNote Bibliography Title Char"/>
    <w:basedOn w:val="DefaultParagraphFont"/>
    <w:link w:val="EndNoteBibliographyTitle"/>
    <w:rsid w:val="00CD3D2F"/>
    <w:rPr>
      <w:rFonts w:ascii="Verdana" w:eastAsia="SimSun" w:hAnsi="Verdana"/>
      <w:noProof/>
      <w:lang w:val="en-GB"/>
    </w:rPr>
  </w:style>
  <w:style w:type="paragraph" w:customStyle="1" w:styleId="EndNoteBibliography">
    <w:name w:val="EndNote Bibliography"/>
    <w:basedOn w:val="Normal"/>
    <w:link w:val="EndNoteBibliographyChar"/>
    <w:rsid w:val="00CD3D2F"/>
    <w:pPr>
      <w:spacing w:before="120" w:after="120" w:line="240" w:lineRule="auto"/>
      <w:jc w:val="both"/>
    </w:pPr>
    <w:rPr>
      <w:rFonts w:ascii="Verdana" w:eastAsia="SimSun" w:hAnsi="Verdana"/>
      <w:noProof/>
      <w:lang w:val="en-GB"/>
    </w:rPr>
  </w:style>
  <w:style w:type="character" w:customStyle="1" w:styleId="EndNoteBibliographyChar">
    <w:name w:val="EndNote Bibliography Char"/>
    <w:basedOn w:val="DefaultParagraphFont"/>
    <w:link w:val="EndNoteBibliography"/>
    <w:rsid w:val="00CD3D2F"/>
    <w:rPr>
      <w:rFonts w:ascii="Verdana" w:eastAsia="SimSun" w:hAnsi="Verdana"/>
      <w:noProof/>
      <w:lang w:val="en-GB"/>
    </w:rPr>
  </w:style>
  <w:style w:type="paragraph" w:customStyle="1" w:styleId="TOCHeading1">
    <w:name w:val="TOC Heading1"/>
    <w:basedOn w:val="Heading1"/>
    <w:next w:val="Normal"/>
    <w:uiPriority w:val="39"/>
    <w:unhideWhenUsed/>
    <w:qFormat/>
    <w:rsid w:val="00CD3D2F"/>
    <w:pPr>
      <w:outlineLvl w:val="9"/>
    </w:pPr>
  </w:style>
  <w:style w:type="paragraph" w:styleId="TOC1">
    <w:name w:val="toc 1"/>
    <w:basedOn w:val="Normal"/>
    <w:next w:val="Normal"/>
    <w:autoRedefine/>
    <w:uiPriority w:val="39"/>
    <w:unhideWhenUsed/>
    <w:rsid w:val="00CD3D2F"/>
    <w:pPr>
      <w:spacing w:before="120" w:after="100" w:line="276" w:lineRule="auto"/>
      <w:jc w:val="both"/>
    </w:pPr>
    <w:rPr>
      <w:rFonts w:ascii="Century Gothic" w:eastAsia="SimSun" w:hAnsi="Century Gothic"/>
      <w:lang w:val="en-GB"/>
    </w:rPr>
  </w:style>
  <w:style w:type="character" w:customStyle="1" w:styleId="UnresolvedMention1">
    <w:name w:val="Unresolved Mention1"/>
    <w:basedOn w:val="DefaultParagraphFont"/>
    <w:uiPriority w:val="99"/>
    <w:unhideWhenUsed/>
    <w:rsid w:val="00CD3D2F"/>
    <w:rPr>
      <w:color w:val="605E5C"/>
      <w:shd w:val="clear" w:color="auto" w:fill="E1DFDD"/>
    </w:rPr>
  </w:style>
  <w:style w:type="character" w:customStyle="1" w:styleId="Mention1">
    <w:name w:val="Mention1"/>
    <w:basedOn w:val="DefaultParagraphFont"/>
    <w:uiPriority w:val="99"/>
    <w:unhideWhenUsed/>
    <w:rsid w:val="00CD3D2F"/>
    <w:rPr>
      <w:color w:val="2B579A"/>
      <w:shd w:val="clear" w:color="auto" w:fill="E1DFDD"/>
    </w:rPr>
  </w:style>
  <w:style w:type="paragraph" w:styleId="TOC2">
    <w:name w:val="toc 2"/>
    <w:basedOn w:val="Normal"/>
    <w:next w:val="Normal"/>
    <w:autoRedefine/>
    <w:uiPriority w:val="39"/>
    <w:unhideWhenUsed/>
    <w:rsid w:val="00CD3D2F"/>
    <w:pPr>
      <w:spacing w:before="120" w:after="100" w:line="276" w:lineRule="auto"/>
      <w:ind w:left="220"/>
      <w:jc w:val="both"/>
    </w:pPr>
    <w:rPr>
      <w:rFonts w:ascii="Century Gothic" w:eastAsia="SimSun" w:hAnsi="Century Gothic"/>
      <w:lang w:val="en-GB"/>
    </w:rPr>
  </w:style>
  <w:style w:type="paragraph" w:styleId="TOC3">
    <w:name w:val="toc 3"/>
    <w:basedOn w:val="Normal"/>
    <w:next w:val="Normal"/>
    <w:autoRedefine/>
    <w:uiPriority w:val="39"/>
    <w:unhideWhenUsed/>
    <w:rsid w:val="00CD3D2F"/>
    <w:pPr>
      <w:spacing w:before="120" w:after="100" w:line="276" w:lineRule="auto"/>
      <w:ind w:left="440"/>
      <w:jc w:val="both"/>
    </w:pPr>
    <w:rPr>
      <w:rFonts w:ascii="Century Gothic" w:eastAsia="SimSun" w:hAnsi="Century Gothic"/>
      <w:lang w:val="en-GB"/>
    </w:rPr>
  </w:style>
  <w:style w:type="paragraph" w:styleId="TableofFigures">
    <w:name w:val="table of figures"/>
    <w:basedOn w:val="Normal"/>
    <w:next w:val="Normal"/>
    <w:uiPriority w:val="99"/>
    <w:unhideWhenUsed/>
    <w:rsid w:val="00CD3D2F"/>
    <w:pPr>
      <w:spacing w:before="120" w:after="0" w:line="276" w:lineRule="auto"/>
      <w:jc w:val="both"/>
    </w:pPr>
    <w:rPr>
      <w:rFonts w:ascii="Century Gothic" w:eastAsia="SimSun" w:hAnsi="Century Gothic"/>
      <w:lang w:val="en-GB"/>
    </w:rPr>
  </w:style>
  <w:style w:type="table" w:styleId="TableGrid">
    <w:name w:val="Table Grid"/>
    <w:basedOn w:val="TableNormal"/>
    <w:uiPriority w:val="59"/>
    <w:rsid w:val="00CD3D2F"/>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
    <w:uiPriority w:val="47"/>
    <w:rsid w:val="00CD3D2F"/>
    <w:pPr>
      <w:spacing w:after="0" w:line="240" w:lineRule="auto"/>
    </w:pPr>
    <w:rPr>
      <w:rFonts w:eastAsia="SimSun"/>
    </w:rPr>
    <w:tblPr>
      <w:tblStyleRowBandSize w:val="1"/>
      <w:tblStyleColBandSize w:val="1"/>
      <w:tblBorders>
        <w:top w:val="single" w:sz="2" w:space="0" w:color="5F5FC9"/>
        <w:bottom w:val="single" w:sz="2" w:space="0" w:color="5F5FC9"/>
        <w:insideH w:val="single" w:sz="2" w:space="0" w:color="5F5FC9"/>
        <w:insideV w:val="single" w:sz="2" w:space="0" w:color="5F5FC9"/>
      </w:tblBorders>
    </w:tblPr>
    <w:tblStylePr w:type="firstRow">
      <w:rPr>
        <w:b/>
        <w:bCs/>
      </w:rPr>
      <w:tblPr/>
      <w:tcPr>
        <w:tcBorders>
          <w:top w:val="nil"/>
          <w:bottom w:val="single" w:sz="12" w:space="0" w:color="5F5FC9"/>
          <w:insideH w:val="nil"/>
          <w:insideV w:val="nil"/>
        </w:tcBorders>
        <w:shd w:val="clear" w:color="auto" w:fill="FFFFFF"/>
      </w:tcPr>
    </w:tblStylePr>
    <w:tblStylePr w:type="lastRow">
      <w:rPr>
        <w:b/>
        <w:bCs/>
      </w:rPr>
      <w:tblPr/>
      <w:tcPr>
        <w:tcBorders>
          <w:top w:val="double" w:sz="2" w:space="0" w:color="5F5F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2-Accent21">
    <w:name w:val="Grid Table 2 - Accent 21"/>
    <w:basedOn w:val="TableNormal"/>
    <w:next w:val="GridTable2-Accent2"/>
    <w:uiPriority w:val="47"/>
    <w:rsid w:val="00CD3D2F"/>
    <w:pPr>
      <w:spacing w:after="0" w:line="240" w:lineRule="auto"/>
    </w:pPr>
    <w:rPr>
      <w:rFonts w:eastAsia="SimSun"/>
    </w:rPr>
    <w:tblPr>
      <w:tblStyleRowBandSize w:val="1"/>
      <w:tblStyleColBandSize w:val="1"/>
      <w:tblBorders>
        <w:top w:val="single" w:sz="2" w:space="0" w:color="F3DBD2"/>
        <w:bottom w:val="single" w:sz="2" w:space="0" w:color="F3DBD2"/>
        <w:insideH w:val="single" w:sz="2" w:space="0" w:color="F3DBD2"/>
        <w:insideV w:val="single" w:sz="2" w:space="0" w:color="F3DBD2"/>
      </w:tblBorders>
    </w:tblPr>
    <w:tblStylePr w:type="firstRow">
      <w:rPr>
        <w:b/>
        <w:bCs/>
      </w:rPr>
      <w:tblPr/>
      <w:tcPr>
        <w:tcBorders>
          <w:top w:val="nil"/>
          <w:bottom w:val="single" w:sz="12" w:space="0" w:color="F3DBD2"/>
          <w:insideH w:val="nil"/>
          <w:insideV w:val="nil"/>
        </w:tcBorders>
        <w:shd w:val="clear" w:color="auto" w:fill="FFFFFF"/>
      </w:tcPr>
    </w:tblStylePr>
    <w:tblStylePr w:type="lastRow">
      <w:rPr>
        <w:b/>
        <w:bCs/>
      </w:rPr>
      <w:tblPr/>
      <w:tcPr>
        <w:tcBorders>
          <w:top w:val="double" w:sz="2" w:space="0" w:color="F3DB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GridTable2-Accent31">
    <w:name w:val="Grid Table 2 - Accent 31"/>
    <w:basedOn w:val="TableNormal"/>
    <w:next w:val="GridTable2-Accent3"/>
    <w:uiPriority w:val="47"/>
    <w:rsid w:val="00CD3D2F"/>
    <w:pPr>
      <w:spacing w:after="0" w:line="240" w:lineRule="auto"/>
    </w:pPr>
    <w:rPr>
      <w:rFonts w:eastAsia="SimSun"/>
    </w:rPr>
    <w:tblPr>
      <w:tblStyleRowBandSize w:val="1"/>
      <w:tblStyleColBandSize w:val="1"/>
      <w:tblBorders>
        <w:top w:val="single" w:sz="2" w:space="0" w:color="8DB3FF"/>
        <w:bottom w:val="single" w:sz="2" w:space="0" w:color="8DB3FF"/>
        <w:insideH w:val="single" w:sz="2" w:space="0" w:color="8DB3FF"/>
        <w:insideV w:val="single" w:sz="2" w:space="0" w:color="8DB3FF"/>
      </w:tblBorders>
    </w:tblPr>
    <w:tblStylePr w:type="firstRow">
      <w:rPr>
        <w:b/>
        <w:bCs/>
      </w:rPr>
      <w:tblPr/>
      <w:tcPr>
        <w:tcBorders>
          <w:top w:val="nil"/>
          <w:bottom w:val="single" w:sz="12" w:space="0" w:color="8DB3FF"/>
          <w:insideH w:val="nil"/>
          <w:insideV w:val="nil"/>
        </w:tcBorders>
        <w:shd w:val="clear" w:color="auto" w:fill="FFFFFF"/>
      </w:tcPr>
    </w:tblStylePr>
    <w:tblStylePr w:type="lastRow">
      <w:rPr>
        <w:b/>
        <w:bCs/>
      </w:rPr>
      <w:tblPr/>
      <w:tcPr>
        <w:tcBorders>
          <w:top w:val="double" w:sz="2" w:space="0" w:color="8DB3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5FF"/>
      </w:tcPr>
    </w:tblStylePr>
    <w:tblStylePr w:type="band1Horz">
      <w:tblPr/>
      <w:tcPr>
        <w:shd w:val="clear" w:color="auto" w:fill="D9E5FF"/>
      </w:tcPr>
    </w:tblStylePr>
  </w:style>
  <w:style w:type="paragraph" w:styleId="Revision">
    <w:name w:val="Revision"/>
    <w:hidden/>
    <w:uiPriority w:val="99"/>
    <w:semiHidden/>
    <w:rsid w:val="00CD3D2F"/>
    <w:pPr>
      <w:spacing w:after="0" w:line="240" w:lineRule="auto"/>
    </w:pPr>
    <w:rPr>
      <w:rFonts w:eastAsia="SimSun"/>
    </w:rPr>
  </w:style>
  <w:style w:type="character" w:customStyle="1" w:styleId="UnresolvedMention2">
    <w:name w:val="Unresolved Mention2"/>
    <w:basedOn w:val="DefaultParagraphFont"/>
    <w:uiPriority w:val="99"/>
    <w:unhideWhenUsed/>
    <w:rsid w:val="00CD3D2F"/>
    <w:rPr>
      <w:color w:val="605E5C"/>
      <w:shd w:val="clear" w:color="auto" w:fill="E1DFDD"/>
    </w:rPr>
  </w:style>
  <w:style w:type="character" w:customStyle="1" w:styleId="Mention2">
    <w:name w:val="Mention2"/>
    <w:basedOn w:val="DefaultParagraphFont"/>
    <w:uiPriority w:val="99"/>
    <w:unhideWhenUsed/>
    <w:rsid w:val="00CD3D2F"/>
    <w:rPr>
      <w:color w:val="2B579A"/>
      <w:shd w:val="clear" w:color="auto" w:fill="E1DFDD"/>
    </w:rPr>
  </w:style>
  <w:style w:type="table" w:customStyle="1" w:styleId="GridTable4-Accent12">
    <w:name w:val="Grid Table 4 - Accent 12"/>
    <w:basedOn w:val="TableNormal"/>
    <w:next w:val="GridTable4-Accent1"/>
    <w:uiPriority w:val="49"/>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insideV w:val="nil"/>
        </w:tcBorders>
        <w:shd w:val="clear" w:color="auto" w:fill="272774"/>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character" w:customStyle="1" w:styleId="Mentionnonrsolue1">
    <w:name w:val="Mention non résolue1"/>
    <w:basedOn w:val="DefaultParagraphFont"/>
    <w:uiPriority w:val="99"/>
    <w:semiHidden/>
    <w:unhideWhenUsed/>
    <w:rsid w:val="00CD3D2F"/>
    <w:rPr>
      <w:color w:val="605E5C"/>
      <w:shd w:val="clear" w:color="auto" w:fill="E1DFDD"/>
    </w:rPr>
  </w:style>
  <w:style w:type="character" w:customStyle="1" w:styleId="FollowedHyperlink1">
    <w:name w:val="FollowedHyperlink1"/>
    <w:basedOn w:val="DefaultParagraphFont"/>
    <w:uiPriority w:val="99"/>
    <w:semiHidden/>
    <w:unhideWhenUsed/>
    <w:rsid w:val="00CD3D2F"/>
    <w:rPr>
      <w:color w:val="B880FF"/>
      <w:u w:val="single"/>
    </w:rPr>
  </w:style>
  <w:style w:type="table" w:customStyle="1" w:styleId="GridTable21">
    <w:name w:val="Grid Table 21"/>
    <w:basedOn w:val="TableNormal"/>
    <w:next w:val="GridTable2"/>
    <w:uiPriority w:val="47"/>
    <w:rsid w:val="00CD3D2F"/>
    <w:pPr>
      <w:spacing w:after="0" w:line="240" w:lineRule="auto"/>
    </w:pPr>
    <w:rPr>
      <w:rFonts w:eastAsia="SimSu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
    <w:name w:val="Grid Table 3 - Accent 11"/>
    <w:basedOn w:val="TableNormal"/>
    <w:next w:val="GridTable3-Accent1"/>
    <w:uiPriority w:val="48"/>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C9ED"/>
      </w:tcPr>
    </w:tblStylePr>
    <w:tblStylePr w:type="band1Horz">
      <w:tblPr/>
      <w:tcPr>
        <w:shd w:val="clear" w:color="auto" w:fill="C9C9ED"/>
      </w:tcPr>
    </w:tblStylePr>
    <w:tblStylePr w:type="neCell">
      <w:tblPr/>
      <w:tcPr>
        <w:tcBorders>
          <w:bottom w:val="single" w:sz="4" w:space="0" w:color="5F5FC9"/>
        </w:tcBorders>
      </w:tcPr>
    </w:tblStylePr>
    <w:tblStylePr w:type="nwCell">
      <w:tblPr/>
      <w:tcPr>
        <w:tcBorders>
          <w:bottom w:val="single" w:sz="4" w:space="0" w:color="5F5FC9"/>
        </w:tcBorders>
      </w:tcPr>
    </w:tblStylePr>
    <w:tblStylePr w:type="seCell">
      <w:tblPr/>
      <w:tcPr>
        <w:tcBorders>
          <w:top w:val="single" w:sz="4" w:space="0" w:color="5F5FC9"/>
        </w:tcBorders>
      </w:tcPr>
    </w:tblStylePr>
    <w:tblStylePr w:type="swCell">
      <w:tblPr/>
      <w:tcPr>
        <w:tcBorders>
          <w:top w:val="single" w:sz="4" w:space="0" w:color="5F5FC9"/>
        </w:tcBorders>
      </w:tcPr>
    </w:tblStylePr>
  </w:style>
  <w:style w:type="table" w:customStyle="1" w:styleId="GridTable1Light-Accent61">
    <w:name w:val="Grid Table 1 Light - Accent 61"/>
    <w:basedOn w:val="TableNormal"/>
    <w:next w:val="GridTable1Light-Accent6"/>
    <w:uiPriority w:val="46"/>
    <w:rsid w:val="00CD3D2F"/>
    <w:pPr>
      <w:spacing w:after="0" w:line="240" w:lineRule="auto"/>
    </w:pPr>
    <w:rPr>
      <w:rFonts w:eastAsia="SimSun"/>
    </w:rPr>
    <w:tblPr>
      <w:tblStyleRowBandSize w:val="1"/>
      <w:tblStyleColBandSize w:val="1"/>
      <w:tblBorders>
        <w:top w:val="single" w:sz="4" w:space="0" w:color="E2CCFF"/>
        <w:left w:val="single" w:sz="4" w:space="0" w:color="E2CCFF"/>
        <w:bottom w:val="single" w:sz="4" w:space="0" w:color="E2CCFF"/>
        <w:right w:val="single" w:sz="4" w:space="0" w:color="E2CCFF"/>
        <w:insideH w:val="single" w:sz="4" w:space="0" w:color="E2CCFF"/>
        <w:insideV w:val="single" w:sz="4" w:space="0" w:color="E2CCFF"/>
      </w:tblBorders>
    </w:tblPr>
    <w:tblStylePr w:type="firstRow">
      <w:rPr>
        <w:b/>
        <w:bCs/>
      </w:rPr>
      <w:tblPr/>
      <w:tcPr>
        <w:tcBorders>
          <w:bottom w:val="single" w:sz="12" w:space="0" w:color="D4B2FF"/>
        </w:tcBorders>
      </w:tcPr>
    </w:tblStylePr>
    <w:tblStylePr w:type="lastRow">
      <w:rPr>
        <w:b/>
        <w:bCs/>
      </w:rPr>
      <w:tblPr/>
      <w:tcPr>
        <w:tcBorders>
          <w:top w:val="double" w:sz="2" w:space="0" w:color="D4B2FF"/>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CD3D2F"/>
    <w:pPr>
      <w:spacing w:after="0" w:line="240" w:lineRule="auto"/>
    </w:pPr>
    <w:rPr>
      <w:rFonts w:eastAsia="SimSun"/>
    </w:rPr>
    <w:tblPr>
      <w:tblStyleRowBandSize w:val="1"/>
      <w:tblStyleColBandSize w:val="1"/>
      <w:tblBorders>
        <w:top w:val="single" w:sz="4" w:space="0" w:color="B3CCFF"/>
        <w:left w:val="single" w:sz="4" w:space="0" w:color="B3CCFF"/>
        <w:bottom w:val="single" w:sz="4" w:space="0" w:color="B3CCFF"/>
        <w:right w:val="single" w:sz="4" w:space="0" w:color="B3CCFF"/>
        <w:insideH w:val="single" w:sz="4" w:space="0" w:color="B3CCFF"/>
        <w:insideV w:val="single" w:sz="4" w:space="0" w:color="B3CCFF"/>
      </w:tblBorders>
    </w:tblPr>
    <w:tblStylePr w:type="firstRow">
      <w:rPr>
        <w:b/>
        <w:bCs/>
      </w:rPr>
      <w:tblPr/>
      <w:tcPr>
        <w:tcBorders>
          <w:bottom w:val="single" w:sz="12" w:space="0" w:color="8DB3FF"/>
        </w:tcBorders>
      </w:tcPr>
    </w:tblStylePr>
    <w:tblStylePr w:type="lastRow">
      <w:rPr>
        <w:b/>
        <w:bCs/>
      </w:rPr>
      <w:tblPr/>
      <w:tcPr>
        <w:tcBorders>
          <w:top w:val="double" w:sz="2" w:space="0" w:color="8DB3FF"/>
        </w:tcBorders>
      </w:tcPr>
    </w:tblStylePr>
    <w:tblStylePr w:type="firstCol">
      <w:rPr>
        <w:b/>
        <w:bCs/>
      </w:rPr>
    </w:tblStylePr>
    <w:tblStylePr w:type="lastCol">
      <w:rPr>
        <w:b/>
        <w:bCs/>
      </w:rPr>
    </w:tblStylePr>
  </w:style>
  <w:style w:type="table" w:customStyle="1" w:styleId="ListTable2-Accent21">
    <w:name w:val="List Table 2 - Accent 21"/>
    <w:basedOn w:val="TableNormal"/>
    <w:next w:val="ListTable2-Accent2"/>
    <w:uiPriority w:val="47"/>
    <w:rsid w:val="00CD3D2F"/>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4" w:space="0" w:color="F3DBD2"/>
        <w:bottom w:val="single" w:sz="4" w:space="0" w:color="F3DBD2"/>
        <w:insideH w:val="single" w:sz="4" w:space="0" w:color="F3DBD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1Light-Accent21">
    <w:name w:val="List Table 1 Light - Accent 21"/>
    <w:basedOn w:val="TableNormal"/>
    <w:uiPriority w:val="46"/>
    <w:qFormat/>
    <w:rsid w:val="00CD3D2F"/>
    <w:pPr>
      <w:spacing w:after="0" w:line="240" w:lineRule="auto"/>
    </w:pPr>
    <w:rPr>
      <w:rFonts w:ascii="Times New Roman" w:eastAsia="SimSun" w:hAnsi="Times New Roman" w:cs="Times New Roman"/>
      <w:sz w:val="20"/>
      <w:szCs w:val="20"/>
      <w:lang w:val="en-GB" w:eastAsia="en-GB"/>
    </w:rPr>
    <w:tblPr/>
    <w:tblStylePr w:type="firstRow">
      <w:rPr>
        <w:b/>
        <w:bCs/>
      </w:rPr>
      <w:tblPr/>
      <w:tcPr>
        <w:tcBorders>
          <w:bottom w:val="single" w:sz="4" w:space="0" w:color="F3DBD2"/>
        </w:tcBorders>
      </w:tcPr>
    </w:tblStylePr>
    <w:tblStylePr w:type="lastRow">
      <w:rPr>
        <w:b/>
        <w:bCs/>
      </w:rPr>
      <w:tblPr/>
      <w:tcPr>
        <w:tcBorders>
          <w:top w:val="single" w:sz="4" w:space="0" w:color="F3DBD2"/>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2-Accent11">
    <w:name w:val="List Table 2 - Accent 11"/>
    <w:basedOn w:val="TableNormal"/>
    <w:next w:val="ListTable2-Accent1"/>
    <w:uiPriority w:val="47"/>
    <w:rsid w:val="00CD3D2F"/>
    <w:pPr>
      <w:spacing w:after="0" w:line="240" w:lineRule="auto"/>
    </w:pPr>
    <w:rPr>
      <w:rFonts w:eastAsia="SimSun"/>
    </w:rPr>
    <w:tblPr>
      <w:tblStyleRowBandSize w:val="1"/>
      <w:tblStyleColBandSize w:val="1"/>
      <w:tblBorders>
        <w:top w:val="single" w:sz="4" w:space="0" w:color="5F5FC9"/>
        <w:bottom w:val="single" w:sz="4" w:space="0" w:color="5F5FC9"/>
        <w:insideH w:val="single" w:sz="4" w:space="0" w:color="5F5F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paragraph" w:customStyle="1" w:styleId="Bullet4">
    <w:name w:val="Bullet 4"/>
    <w:basedOn w:val="Bullet1"/>
    <w:qFormat/>
    <w:rsid w:val="00CD3D2F"/>
    <w:pPr>
      <w:numPr>
        <w:numId w:val="0"/>
      </w:numPr>
      <w:spacing w:before="0" w:after="60" w:line="245" w:lineRule="auto"/>
      <w:ind w:left="1919" w:hanging="360"/>
      <w:contextualSpacing w:val="0"/>
    </w:pPr>
    <w:rPr>
      <w:rFonts w:ascii="Century Gothic" w:hAnsi="Century Gothic" w:cs="Century Gothic"/>
      <w:bCs w:val="0"/>
      <w:color w:val="333333"/>
      <w:sz w:val="22"/>
      <w:szCs w:val="24"/>
    </w:rPr>
  </w:style>
  <w:style w:type="table" w:customStyle="1" w:styleId="ListTable1Light-Accent22">
    <w:name w:val="List Table 1 Light - Accent 22"/>
    <w:basedOn w:val="TableNormal"/>
    <w:next w:val="ListTable1Light-Accent2"/>
    <w:uiPriority w:val="46"/>
    <w:rsid w:val="00CD3D2F"/>
    <w:pPr>
      <w:spacing w:after="0" w:line="240" w:lineRule="auto"/>
    </w:pPr>
    <w:rPr>
      <w:rFonts w:ascii="Times New Roman" w:eastAsia="SimSun" w:hAnsi="Times New Roman" w:cs="Times New Roman"/>
      <w:sz w:val="20"/>
      <w:szCs w:val="20"/>
      <w:lang w:val="en-GB" w:eastAsia="en-GB"/>
    </w:rPr>
    <w:tblPr>
      <w:tblStyleRowBandSize w:val="1"/>
      <w:tblStyleColBandSize w:val="1"/>
    </w:tblPr>
    <w:tblStylePr w:type="firstRow">
      <w:rPr>
        <w:b/>
        <w:bCs/>
      </w:rPr>
      <w:tblPr/>
      <w:tcPr>
        <w:tcBorders>
          <w:bottom w:val="single" w:sz="4" w:space="0" w:color="F3DBD2"/>
        </w:tcBorders>
      </w:tcPr>
    </w:tblStylePr>
    <w:tblStylePr w:type="lastRow">
      <w:rPr>
        <w:b/>
        <w:bCs/>
      </w:rPr>
      <w:tblPr/>
      <w:tcPr>
        <w:tcBorders>
          <w:top w:val="single" w:sz="4" w:space="0" w:color="F3DBD2"/>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1Light-Accent11">
    <w:name w:val="List Table 1 Light - Accent 11"/>
    <w:basedOn w:val="TableNormal"/>
    <w:next w:val="ListTable1Light-Accent1"/>
    <w:uiPriority w:val="46"/>
    <w:rsid w:val="00CD3D2F"/>
    <w:pPr>
      <w:spacing w:after="0" w:line="240" w:lineRule="auto"/>
    </w:pPr>
    <w:rPr>
      <w:rFonts w:eastAsia="SimSun"/>
    </w:rPr>
    <w:tblPr>
      <w:tblStyleRowBandSize w:val="1"/>
      <w:tblStyleColBandSize w:val="1"/>
    </w:tblPr>
    <w:tblStylePr w:type="firstRow">
      <w:rPr>
        <w:b/>
        <w:bCs/>
      </w:rPr>
      <w:tblPr/>
      <w:tcPr>
        <w:tcBorders>
          <w:bottom w:val="single" w:sz="4" w:space="0" w:color="5F5FC9"/>
        </w:tcBorders>
      </w:tcPr>
    </w:tblStylePr>
    <w:tblStylePr w:type="lastRow">
      <w:rPr>
        <w:b/>
        <w:bCs/>
      </w:rPr>
      <w:tblPr/>
      <w:tcPr>
        <w:tcBorders>
          <w:top w:val="single" w:sz="4" w:space="0" w:color="5F5FC9"/>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4-Accent21">
    <w:name w:val="Grid Table 4 - Accent 21"/>
    <w:basedOn w:val="TableNormal"/>
    <w:next w:val="GridTable4-Accent2"/>
    <w:uiPriority w:val="49"/>
    <w:rsid w:val="00CD3D2F"/>
    <w:pPr>
      <w:spacing w:after="0" w:line="240" w:lineRule="auto"/>
    </w:pPr>
    <w:rPr>
      <w:rFonts w:eastAsia="SimSun"/>
    </w:rPr>
    <w:tblPr>
      <w:tblStyleRowBandSize w:val="1"/>
      <w:tblStyleColBandSize w:val="1"/>
      <w:tblBorders>
        <w:top w:val="single" w:sz="4" w:space="0" w:color="F3DBD2"/>
        <w:left w:val="single" w:sz="4" w:space="0" w:color="F3DBD2"/>
        <w:bottom w:val="single" w:sz="4" w:space="0" w:color="F3DBD2"/>
        <w:right w:val="single" w:sz="4" w:space="0" w:color="F3DBD2"/>
        <w:insideH w:val="single" w:sz="4" w:space="0" w:color="F3DBD2"/>
        <w:insideV w:val="single" w:sz="4" w:space="0" w:color="F3DBD2"/>
      </w:tblBorders>
    </w:tblPr>
    <w:tblStylePr w:type="firstRow">
      <w:rPr>
        <w:b/>
        <w:bCs/>
        <w:color w:val="FFFFFF"/>
      </w:rPr>
      <w:tblPr/>
      <w:tcPr>
        <w:tcBorders>
          <w:top w:val="single" w:sz="4" w:space="0" w:color="EBC4B4"/>
          <w:left w:val="single" w:sz="4" w:space="0" w:color="EBC4B4"/>
          <w:bottom w:val="single" w:sz="4" w:space="0" w:color="EBC4B4"/>
          <w:right w:val="single" w:sz="4" w:space="0" w:color="EBC4B4"/>
          <w:insideH w:val="nil"/>
          <w:insideV w:val="nil"/>
        </w:tcBorders>
        <w:shd w:val="clear" w:color="auto" w:fill="EBC4B4"/>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6Colorful-Accent22">
    <w:name w:val="List Table 6 Colorful - Accent 22"/>
    <w:basedOn w:val="TableNormal"/>
    <w:next w:val="ListTable6Colorful-Accent2"/>
    <w:uiPriority w:val="51"/>
    <w:rsid w:val="00CD3D2F"/>
    <w:pPr>
      <w:spacing w:after="0" w:line="240" w:lineRule="auto"/>
    </w:pPr>
    <w:rPr>
      <w:rFonts w:ascii="Times New Roman" w:eastAsia="SimSun" w:hAnsi="Times New Roman" w:cs="Times New Roman"/>
      <w:color w:val="D58361"/>
      <w:sz w:val="20"/>
      <w:szCs w:val="20"/>
      <w:lang w:val="en-GB" w:eastAsia="en-GB"/>
    </w:rPr>
    <w:tblPr>
      <w:tblStyleRowBandSize w:val="1"/>
      <w:tblStyleColBandSize w:val="1"/>
      <w:tblBorders>
        <w:top w:val="single" w:sz="4" w:space="0" w:color="EBC4B4"/>
        <w:bottom w:val="single" w:sz="4" w:space="0" w:color="EBC4B4"/>
      </w:tblBorders>
    </w:tblPr>
    <w:tblStylePr w:type="firstRow">
      <w:rPr>
        <w:b/>
        <w:bCs/>
      </w:rPr>
      <w:tblPr/>
      <w:tcPr>
        <w:tcBorders>
          <w:bottom w:val="single" w:sz="4" w:space="0" w:color="EBC4B4"/>
        </w:tcBorders>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3-Accent11">
    <w:name w:val="List Table 3 - Accent 11"/>
    <w:basedOn w:val="TableNormal"/>
    <w:next w:val="ListTable3-Accent1"/>
    <w:uiPriority w:val="48"/>
    <w:rsid w:val="00CD3D2F"/>
    <w:pPr>
      <w:spacing w:after="0" w:line="240" w:lineRule="auto"/>
    </w:pPr>
    <w:rPr>
      <w:rFonts w:eastAsia="SimSun"/>
    </w:rPr>
    <w:tblPr>
      <w:tblStyleRowBandSize w:val="1"/>
      <w:tblStyleColBandSize w:val="1"/>
      <w:tblBorders>
        <w:top w:val="single" w:sz="4" w:space="0" w:color="272774"/>
        <w:left w:val="single" w:sz="4" w:space="0" w:color="272774"/>
        <w:bottom w:val="single" w:sz="4" w:space="0" w:color="272774"/>
        <w:right w:val="single" w:sz="4" w:space="0" w:color="272774"/>
      </w:tblBorders>
    </w:tblPr>
    <w:tblStylePr w:type="firstRow">
      <w:rPr>
        <w:b/>
        <w:bCs/>
        <w:color w:val="FFFFFF"/>
      </w:rPr>
      <w:tblPr/>
      <w:tcPr>
        <w:shd w:val="clear" w:color="auto" w:fill="272774"/>
      </w:tcPr>
    </w:tblStylePr>
    <w:tblStylePr w:type="lastRow">
      <w:rPr>
        <w:b/>
        <w:bCs/>
      </w:rPr>
      <w:tblPr/>
      <w:tcPr>
        <w:tcBorders>
          <w:top w:val="double" w:sz="4" w:space="0" w:color="27277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72774"/>
          <w:right w:val="single" w:sz="4" w:space="0" w:color="272774"/>
        </w:tcBorders>
      </w:tcPr>
    </w:tblStylePr>
    <w:tblStylePr w:type="band1Horz">
      <w:tblPr/>
      <w:tcPr>
        <w:tcBorders>
          <w:top w:val="single" w:sz="4" w:space="0" w:color="272774"/>
          <w:bottom w:val="single" w:sz="4" w:space="0" w:color="27277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2774"/>
          <w:left w:val="nil"/>
        </w:tcBorders>
      </w:tcPr>
    </w:tblStylePr>
    <w:tblStylePr w:type="swCell">
      <w:tblPr/>
      <w:tcPr>
        <w:tcBorders>
          <w:top w:val="double" w:sz="4" w:space="0" w:color="272774"/>
          <w:right w:val="nil"/>
        </w:tcBorders>
      </w:tcPr>
    </w:tblStylePr>
  </w:style>
  <w:style w:type="numbering" w:customStyle="1" w:styleId="NoList111">
    <w:name w:val="No List111"/>
    <w:next w:val="NoList"/>
    <w:uiPriority w:val="99"/>
    <w:semiHidden/>
    <w:unhideWhenUsed/>
    <w:rsid w:val="00CD3D2F"/>
  </w:style>
  <w:style w:type="paragraph" w:customStyle="1" w:styleId="msonormal0">
    <w:name w:val="msonormal"/>
    <w:basedOn w:val="Normal"/>
    <w:rsid w:val="00CD3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CD3D2F"/>
    <w:pPr>
      <w:spacing w:before="100" w:beforeAutospacing="1" w:after="100" w:afterAutospacing="1" w:line="240" w:lineRule="auto"/>
    </w:pPr>
    <w:rPr>
      <w:rFonts w:ascii="Calibri" w:eastAsia="Times New Roman" w:hAnsi="Calibri" w:cs="Calibri"/>
      <w:sz w:val="24"/>
      <w:szCs w:val="24"/>
    </w:rPr>
  </w:style>
  <w:style w:type="character" w:customStyle="1" w:styleId="DefaultChar">
    <w:name w:val="Default Char"/>
    <w:basedOn w:val="DefaultParagraphFont"/>
    <w:link w:val="Default"/>
    <w:locked/>
    <w:rsid w:val="00CD3D2F"/>
    <w:rPr>
      <w:rFonts w:ascii="Arial" w:hAnsi="Arial" w:cs="Arial"/>
      <w:bCs/>
      <w:color w:val="454545"/>
    </w:rPr>
  </w:style>
  <w:style w:type="paragraph" w:customStyle="1" w:styleId="Default">
    <w:name w:val="Default"/>
    <w:link w:val="DefaultChar"/>
    <w:qFormat/>
    <w:rsid w:val="00CD3D2F"/>
    <w:pPr>
      <w:autoSpaceDE w:val="0"/>
      <w:autoSpaceDN w:val="0"/>
      <w:adjustRightInd w:val="0"/>
      <w:spacing w:before="240" w:after="120" w:line="280" w:lineRule="exact"/>
    </w:pPr>
    <w:rPr>
      <w:rFonts w:ascii="Arial" w:hAnsi="Arial" w:cs="Arial"/>
      <w:bCs/>
      <w:color w:val="454545"/>
    </w:rPr>
  </w:style>
  <w:style w:type="table" w:customStyle="1" w:styleId="GridTable5Dark-Accent11">
    <w:name w:val="Grid Table 5 Dark - Accent 11"/>
    <w:basedOn w:val="TableNormal"/>
    <w:next w:val="GridTable5Dark-Accent1"/>
    <w:uiPriority w:val="50"/>
    <w:rsid w:val="00CD3D2F"/>
    <w:pPr>
      <w:spacing w:after="0" w:line="240" w:lineRule="auto"/>
    </w:pPr>
    <w:rPr>
      <w:rFonts w:eastAsia="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C9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727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727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727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72774"/>
      </w:tcPr>
    </w:tblStylePr>
    <w:tblStylePr w:type="band1Vert">
      <w:tblPr/>
      <w:tcPr>
        <w:shd w:val="clear" w:color="auto" w:fill="9494DB"/>
      </w:tcPr>
    </w:tblStylePr>
    <w:tblStylePr w:type="band1Horz">
      <w:tblPr/>
      <w:tcPr>
        <w:shd w:val="clear" w:color="auto" w:fill="9494DB"/>
      </w:tcPr>
    </w:tblStylePr>
  </w:style>
  <w:style w:type="table" w:customStyle="1" w:styleId="ListTable4-Accent11">
    <w:name w:val="List Table 4 - Accent 11"/>
    <w:basedOn w:val="TableNormal"/>
    <w:next w:val="ListTable4-Accent1"/>
    <w:uiPriority w:val="49"/>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tcBorders>
        <w:shd w:val="clear" w:color="auto" w:fill="272774"/>
      </w:tcPr>
    </w:tblStylePr>
    <w:tblStylePr w:type="lastRow">
      <w:rPr>
        <w:b/>
        <w:bCs/>
      </w:rPr>
      <w:tblPr/>
      <w:tcPr>
        <w:tcBorders>
          <w:top w:val="double" w:sz="4" w:space="0" w:color="5F5FC9"/>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6Colorful-Accent11">
    <w:name w:val="Grid Table 6 Colorful - Accent 11"/>
    <w:basedOn w:val="TableNormal"/>
    <w:next w:val="GridTable6Colorful-Accent1"/>
    <w:uiPriority w:val="51"/>
    <w:rsid w:val="00CD3D2F"/>
    <w:pPr>
      <w:spacing w:after="0" w:line="240" w:lineRule="auto"/>
    </w:pPr>
    <w:rPr>
      <w:rFonts w:eastAsia="SimSun"/>
      <w:color w:val="1D1D56"/>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rPr>
      <w:tblPr/>
      <w:tcPr>
        <w:tcBorders>
          <w:bottom w:val="single" w:sz="12" w:space="0" w:color="5F5FC9"/>
        </w:tcBorders>
      </w:tcPr>
    </w:tblStylePr>
    <w:tblStylePr w:type="lastRow">
      <w:rPr>
        <w:b/>
        <w:bCs/>
      </w:rPr>
      <w:tblPr/>
      <w:tcPr>
        <w:tcBorders>
          <w:top w:val="double" w:sz="4" w:space="0" w:color="5F5FC9"/>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paragraph" w:styleId="Subtitle">
    <w:name w:val="Subtitle"/>
    <w:basedOn w:val="Normal"/>
    <w:next w:val="Normal"/>
    <w:link w:val="SubtitleChar1"/>
    <w:uiPriority w:val="11"/>
    <w:qFormat/>
    <w:rsid w:val="00CD3D2F"/>
    <w:pPr>
      <w:numPr>
        <w:ilvl w:val="1"/>
      </w:numPr>
    </w:pPr>
    <w:rPr>
      <w:rFonts w:eastAsiaTheme="minorEastAsia"/>
      <w:color w:val="5A5A5A" w:themeColor="text1" w:themeTint="A5"/>
      <w:spacing w:val="15"/>
    </w:rPr>
  </w:style>
  <w:style w:type="character" w:customStyle="1" w:styleId="SubtitleChar1">
    <w:name w:val="Subtitle Char1"/>
    <w:basedOn w:val="DefaultParagraphFont"/>
    <w:link w:val="Subtitle"/>
    <w:uiPriority w:val="11"/>
    <w:rsid w:val="00CD3D2F"/>
    <w:rPr>
      <w:rFonts w:eastAsiaTheme="minorEastAsia"/>
      <w:color w:val="5A5A5A" w:themeColor="text1" w:themeTint="A5"/>
      <w:spacing w:val="15"/>
    </w:rPr>
  </w:style>
  <w:style w:type="paragraph" w:styleId="Title">
    <w:name w:val="Title"/>
    <w:basedOn w:val="Normal"/>
    <w:next w:val="Normal"/>
    <w:link w:val="TitleChar"/>
    <w:uiPriority w:val="10"/>
    <w:qFormat/>
    <w:rsid w:val="00CD3D2F"/>
    <w:pPr>
      <w:spacing w:after="0" w:line="240" w:lineRule="auto"/>
      <w:contextualSpacing/>
    </w:pPr>
    <w:rPr>
      <w:rFonts w:cs="Segoe UI"/>
      <w:bCs/>
      <w:color w:val="272774"/>
      <w:spacing w:val="-3"/>
      <w:sz w:val="52"/>
      <w:szCs w:val="76"/>
      <w:lang w:val="fr-FR"/>
    </w:rPr>
  </w:style>
  <w:style w:type="character" w:customStyle="1" w:styleId="TitleChar1">
    <w:name w:val="Title Char1"/>
    <w:basedOn w:val="DefaultParagraphFont"/>
    <w:uiPriority w:val="10"/>
    <w:rsid w:val="00CD3D2F"/>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CD3D2F"/>
    <w:rPr>
      <w:i/>
      <w:iCs/>
      <w:color w:val="4472C4" w:themeColor="accent1"/>
    </w:rPr>
  </w:style>
  <w:style w:type="character" w:styleId="Strong">
    <w:name w:val="Strong"/>
    <w:basedOn w:val="DefaultParagraphFont"/>
    <w:uiPriority w:val="22"/>
    <w:qFormat/>
    <w:rsid w:val="00CD3D2F"/>
    <w:rPr>
      <w:b/>
      <w:bCs/>
    </w:rPr>
  </w:style>
  <w:style w:type="table" w:styleId="ListTable6Colorful-Accent1">
    <w:name w:val="List Table 6 Colorful Accent 1"/>
    <w:basedOn w:val="TableNormal"/>
    <w:uiPriority w:val="51"/>
    <w:rsid w:val="00CD3D2F"/>
    <w:pPr>
      <w:spacing w:after="0" w:line="240" w:lineRule="auto"/>
    </w:pPr>
    <w:rPr>
      <w:rFonts w:eastAsiaTheme="minorEastAsia"/>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basedOn w:val="TableNormal"/>
    <w:uiPriority w:val="47"/>
    <w:rsid w:val="00CD3D2F"/>
    <w:pPr>
      <w:spacing w:after="0" w:line="240" w:lineRule="auto"/>
    </w:pPr>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CD3D2F"/>
    <w:pPr>
      <w:spacing w:after="0" w:line="240" w:lineRule="auto"/>
    </w:pPr>
    <w:rPr>
      <w:rFonts w:eastAsiaTheme="minorEastAsi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D3D2F"/>
    <w:pPr>
      <w:spacing w:after="0" w:line="240" w:lineRule="auto"/>
    </w:pPr>
    <w:rPr>
      <w:rFonts w:eastAsiaTheme="minorEastAsi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CD3D2F"/>
    <w:rPr>
      <w:color w:val="954F72" w:themeColor="followedHyperlink"/>
      <w:u w:val="single"/>
    </w:rPr>
  </w:style>
  <w:style w:type="table" w:styleId="GridTable2">
    <w:name w:val="Grid Table 2"/>
    <w:basedOn w:val="TableNormal"/>
    <w:uiPriority w:val="47"/>
    <w:rsid w:val="00CD3D2F"/>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1">
    <w:name w:val="Grid Table 3 Accent 1"/>
    <w:basedOn w:val="TableNormal"/>
    <w:uiPriority w:val="48"/>
    <w:rsid w:val="00CD3D2F"/>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6">
    <w:name w:val="Grid Table 1 Light Accent 6"/>
    <w:basedOn w:val="TableNormal"/>
    <w:uiPriority w:val="46"/>
    <w:rsid w:val="00CD3D2F"/>
    <w:pPr>
      <w:spacing w:after="0" w:line="240" w:lineRule="auto"/>
    </w:pPr>
    <w:rPr>
      <w:rFonts w:eastAsiaTheme="minorEastAsia"/>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D3D2F"/>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2-Accent2">
    <w:name w:val="List Table 2 Accent 2"/>
    <w:basedOn w:val="TableNormal"/>
    <w:uiPriority w:val="47"/>
    <w:rsid w:val="00CD3D2F"/>
    <w:pPr>
      <w:spacing w:after="0" w:line="240" w:lineRule="auto"/>
    </w:pPr>
    <w:rPr>
      <w:rFonts w:eastAsiaTheme="minorEastAsia"/>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1">
    <w:name w:val="List Table 2 Accent 1"/>
    <w:basedOn w:val="TableNormal"/>
    <w:uiPriority w:val="47"/>
    <w:rsid w:val="00CD3D2F"/>
    <w:pPr>
      <w:spacing w:after="0" w:line="240" w:lineRule="auto"/>
    </w:pPr>
    <w:rPr>
      <w:rFonts w:eastAsiaTheme="minorEastAsia"/>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CD3D2F"/>
    <w:pPr>
      <w:spacing w:after="0" w:line="240" w:lineRule="auto"/>
    </w:pPr>
    <w:rPr>
      <w:rFonts w:eastAsiaTheme="minorEastAsia"/>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1">
    <w:name w:val="List Table 1 Light Accent 1"/>
    <w:basedOn w:val="TableNormal"/>
    <w:uiPriority w:val="46"/>
    <w:rsid w:val="00CD3D2F"/>
    <w:pPr>
      <w:spacing w:after="0" w:line="240" w:lineRule="auto"/>
    </w:pPr>
    <w:rPr>
      <w:rFonts w:eastAsiaTheme="minorEastAsia"/>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CD3D2F"/>
    <w:pPr>
      <w:spacing w:after="0" w:line="240" w:lineRule="auto"/>
    </w:pPr>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CD3D2F"/>
    <w:pPr>
      <w:spacing w:after="0" w:line="240" w:lineRule="auto"/>
    </w:pPr>
    <w:rPr>
      <w:rFonts w:eastAsiaTheme="minorEastAsia"/>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CD3D2F"/>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CD3D2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1">
    <w:name w:val="List Table 4 Accent 1"/>
    <w:basedOn w:val="TableNormal"/>
    <w:uiPriority w:val="49"/>
    <w:rsid w:val="00CD3D2F"/>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CD3D2F"/>
    <w:pPr>
      <w:spacing w:after="0" w:line="240" w:lineRule="auto"/>
    </w:pPr>
    <w:rPr>
      <w:rFonts w:eastAsiaTheme="minorEastAsia"/>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CD3D2F"/>
    <w:pPr>
      <w:spacing w:before="120" w:after="200" w:line="240" w:lineRule="auto"/>
      <w:jc w:val="both"/>
    </w:pPr>
    <w:rPr>
      <w:rFonts w:eastAsia="SimSun"/>
      <w:i/>
      <w:iCs/>
      <w:color w:val="44546A" w:themeColor="text2"/>
      <w:sz w:val="18"/>
      <w:szCs w:val="18"/>
      <w:lang w:val="en-GB"/>
    </w:rPr>
  </w:style>
  <w:style w:type="table" w:customStyle="1" w:styleId="GridTable4-Accent13">
    <w:name w:val="Grid Table 4 - Accent 13"/>
    <w:basedOn w:val="TableNormal"/>
    <w:next w:val="GridTable4-Accent1"/>
    <w:uiPriority w:val="49"/>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insideV w:val="nil"/>
        </w:tcBorders>
        <w:shd w:val="clear" w:color="auto" w:fill="272774"/>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styleId="GridTable3-Accent3">
    <w:name w:val="Grid Table 3 Accent 3"/>
    <w:basedOn w:val="TableNormal"/>
    <w:uiPriority w:val="48"/>
    <w:rsid w:val="00CD3D2F"/>
    <w:pPr>
      <w:spacing w:after="0" w:line="240" w:lineRule="auto"/>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numbering" w:customStyle="1" w:styleId="NoList2">
    <w:name w:val="No List2"/>
    <w:next w:val="NoList"/>
    <w:uiPriority w:val="99"/>
    <w:semiHidden/>
    <w:unhideWhenUsed/>
    <w:rsid w:val="00CD3D2F"/>
  </w:style>
  <w:style w:type="paragraph" w:customStyle="1" w:styleId="Heading11">
    <w:name w:val="Heading 11"/>
    <w:basedOn w:val="Normal"/>
    <w:next w:val="Text1"/>
    <w:uiPriority w:val="9"/>
    <w:qFormat/>
    <w:rsid w:val="00CD3D2F"/>
    <w:pPr>
      <w:keepNext/>
      <w:keepLines/>
      <w:spacing w:before="240" w:after="120" w:line="276" w:lineRule="auto"/>
      <w:ind w:left="426" w:hanging="360"/>
      <w:jc w:val="both"/>
      <w:outlineLvl w:val="0"/>
    </w:pPr>
    <w:rPr>
      <w:rFonts w:ascii="Century Gothic" w:eastAsia="MS Gothic" w:hAnsi="Century Gothic" w:cs="Times New Roman"/>
      <w:b/>
      <w:color w:val="272774"/>
      <w:sz w:val="32"/>
      <w:szCs w:val="32"/>
      <w:lang w:val="fr-FR"/>
    </w:rPr>
  </w:style>
  <w:style w:type="paragraph" w:customStyle="1" w:styleId="Heading21">
    <w:name w:val="Heading 21"/>
    <w:basedOn w:val="Heading1"/>
    <w:next w:val="Text2"/>
    <w:uiPriority w:val="9"/>
    <w:unhideWhenUsed/>
    <w:qFormat/>
    <w:rsid w:val="00CD3D2F"/>
    <w:pPr>
      <w:spacing w:before="0" w:after="120" w:line="276" w:lineRule="auto"/>
      <w:ind w:left="851" w:right="720" w:hanging="431"/>
      <w:jc w:val="both"/>
      <w:outlineLvl w:val="1"/>
    </w:pPr>
    <w:rPr>
      <w:color w:val="272774"/>
      <w:sz w:val="24"/>
      <w:szCs w:val="26"/>
      <w:lang w:val="fr-FR"/>
    </w:rPr>
  </w:style>
  <w:style w:type="paragraph" w:customStyle="1" w:styleId="Heading31">
    <w:name w:val="Heading 31"/>
    <w:basedOn w:val="Normal"/>
    <w:next w:val="Text3"/>
    <w:uiPriority w:val="9"/>
    <w:unhideWhenUsed/>
    <w:qFormat/>
    <w:rsid w:val="00CD3D2F"/>
    <w:pPr>
      <w:keepNext/>
      <w:keepLines/>
      <w:spacing w:before="120" w:after="120" w:line="240" w:lineRule="auto"/>
      <w:ind w:left="918" w:hanging="113"/>
      <w:jc w:val="both"/>
      <w:outlineLvl w:val="2"/>
    </w:pPr>
    <w:rPr>
      <w:rFonts w:ascii="Century Gothic" w:eastAsia="MS Gothic" w:hAnsi="Century Gothic" w:cs="Times New Roman"/>
      <w:bCs/>
      <w:color w:val="272774"/>
      <w:szCs w:val="24"/>
      <w:lang w:val="en-GB"/>
    </w:rPr>
  </w:style>
  <w:style w:type="paragraph" w:customStyle="1" w:styleId="Heading41">
    <w:name w:val="Heading 41"/>
    <w:basedOn w:val="Normal"/>
    <w:next w:val="Text4"/>
    <w:uiPriority w:val="9"/>
    <w:unhideWhenUsed/>
    <w:qFormat/>
    <w:rsid w:val="00CD3D2F"/>
    <w:pPr>
      <w:keepNext/>
      <w:keepLines/>
      <w:spacing w:before="40" w:after="120" w:line="276" w:lineRule="auto"/>
      <w:ind w:left="1800" w:hanging="432"/>
      <w:jc w:val="both"/>
      <w:outlineLvl w:val="3"/>
    </w:pPr>
    <w:rPr>
      <w:rFonts w:ascii="Century Gothic" w:eastAsia="MS Gothic" w:hAnsi="Century Gothic" w:cs="Times New Roman"/>
      <w:iCs/>
      <w:color w:val="1D1D56"/>
      <w:lang w:val="en-GB"/>
    </w:rPr>
  </w:style>
  <w:style w:type="numbering" w:customStyle="1" w:styleId="NoList12">
    <w:name w:val="No List12"/>
    <w:next w:val="NoList"/>
    <w:uiPriority w:val="99"/>
    <w:semiHidden/>
    <w:unhideWhenUsed/>
    <w:rsid w:val="00CD3D2F"/>
  </w:style>
  <w:style w:type="paragraph" w:customStyle="1" w:styleId="ListParagraph1">
    <w:name w:val="List Paragraph1"/>
    <w:basedOn w:val="Normal"/>
    <w:next w:val="ListParagraph"/>
    <w:uiPriority w:val="34"/>
    <w:rsid w:val="00CD3D2F"/>
    <w:pPr>
      <w:spacing w:before="120" w:after="120" w:line="276" w:lineRule="auto"/>
      <w:ind w:left="720"/>
      <w:contextualSpacing/>
      <w:jc w:val="both"/>
    </w:pPr>
    <w:rPr>
      <w:rFonts w:ascii="Century Gothic" w:eastAsia="SimSun" w:hAnsi="Century Gothic"/>
      <w:lang w:val="en-GB"/>
    </w:rPr>
  </w:style>
  <w:style w:type="numbering" w:customStyle="1" w:styleId="Style11">
    <w:name w:val="Style11"/>
    <w:uiPriority w:val="99"/>
    <w:rsid w:val="00CD3D2F"/>
  </w:style>
  <w:style w:type="paragraph" w:customStyle="1" w:styleId="Header1">
    <w:name w:val="Header1"/>
    <w:basedOn w:val="Normal"/>
    <w:next w:val="Header"/>
    <w:uiPriority w:val="99"/>
    <w:unhideWhenUsed/>
    <w:rsid w:val="00CD3D2F"/>
    <w:pPr>
      <w:tabs>
        <w:tab w:val="center" w:pos="4680"/>
        <w:tab w:val="right" w:pos="9360"/>
      </w:tabs>
      <w:spacing w:before="120" w:after="120" w:line="240" w:lineRule="auto"/>
      <w:jc w:val="both"/>
    </w:pPr>
    <w:rPr>
      <w:rFonts w:eastAsiaTheme="minorEastAsia"/>
      <w:lang w:val="en-GB"/>
    </w:rPr>
  </w:style>
  <w:style w:type="paragraph" w:customStyle="1" w:styleId="Footer1">
    <w:name w:val="Footer1"/>
    <w:basedOn w:val="Normal"/>
    <w:next w:val="Footer"/>
    <w:uiPriority w:val="99"/>
    <w:unhideWhenUsed/>
    <w:rsid w:val="00CD3D2F"/>
    <w:pPr>
      <w:tabs>
        <w:tab w:val="center" w:pos="4680"/>
        <w:tab w:val="right" w:pos="9360"/>
      </w:tabs>
      <w:spacing w:before="120" w:after="120" w:line="240" w:lineRule="auto"/>
      <w:jc w:val="both"/>
    </w:pPr>
    <w:rPr>
      <w:rFonts w:eastAsiaTheme="minorEastAsia"/>
      <w:lang w:val="en-GB"/>
    </w:rPr>
  </w:style>
  <w:style w:type="table" w:customStyle="1" w:styleId="GridTable1Light-Accent111">
    <w:name w:val="Grid Table 1 Light - Accent 111"/>
    <w:basedOn w:val="TableNormal"/>
    <w:next w:val="GridTable1Light-Accent1"/>
    <w:uiPriority w:val="46"/>
    <w:rsid w:val="00CD3D2F"/>
    <w:pPr>
      <w:spacing w:after="0" w:line="240" w:lineRule="auto"/>
    </w:pPr>
    <w:rPr>
      <w:rFonts w:eastAsia="SimSun"/>
    </w:rPr>
    <w:tblPr>
      <w:tblStyleRowBandSize w:val="1"/>
      <w:tblStyleColBandSize w:val="1"/>
      <w:tblBorders>
        <w:top w:val="single" w:sz="4" w:space="0" w:color="9494DB"/>
        <w:left w:val="single" w:sz="4" w:space="0" w:color="9494DB"/>
        <w:bottom w:val="single" w:sz="4" w:space="0" w:color="9494DB"/>
        <w:right w:val="single" w:sz="4" w:space="0" w:color="9494DB"/>
        <w:insideH w:val="single" w:sz="4" w:space="0" w:color="9494DB"/>
        <w:insideV w:val="single" w:sz="4" w:space="0" w:color="9494DB"/>
      </w:tblBorders>
    </w:tblPr>
    <w:tblStylePr w:type="firstRow">
      <w:rPr>
        <w:b/>
        <w:bCs/>
      </w:rPr>
      <w:tblPr/>
      <w:tcPr>
        <w:tcBorders>
          <w:bottom w:val="single" w:sz="12" w:space="0" w:color="5F5FC9"/>
        </w:tcBorders>
      </w:tcPr>
    </w:tblStylePr>
    <w:tblStylePr w:type="lastRow">
      <w:rPr>
        <w:b/>
        <w:bCs/>
      </w:rPr>
      <w:tblPr/>
      <w:tcPr>
        <w:tcBorders>
          <w:top w:val="double" w:sz="2" w:space="0" w:color="5F5FC9"/>
        </w:tcBorders>
      </w:tcPr>
    </w:tblStylePr>
    <w:tblStylePr w:type="firstCol">
      <w:rPr>
        <w:b/>
        <w:bCs/>
      </w:rPr>
    </w:tblStylePr>
    <w:tblStylePr w:type="lastCol">
      <w:rPr>
        <w:b/>
        <w:bCs/>
      </w:rPr>
    </w:tblStylePr>
  </w:style>
  <w:style w:type="table" w:customStyle="1" w:styleId="ListTable6Colorful-Accent111">
    <w:name w:val="List Table 6 Colorful - Accent 111"/>
    <w:basedOn w:val="TableNormal"/>
    <w:next w:val="ListTable6Colorful-Accent1"/>
    <w:uiPriority w:val="51"/>
    <w:rsid w:val="00CD3D2F"/>
    <w:pPr>
      <w:spacing w:after="0" w:line="240" w:lineRule="auto"/>
    </w:pPr>
    <w:rPr>
      <w:rFonts w:eastAsia="SimSun"/>
      <w:color w:val="1D1D56"/>
      <w:lang w:val="en-GB"/>
    </w:rPr>
    <w:tblPr>
      <w:tblStyleRowBandSize w:val="1"/>
      <w:tblStyleColBandSize w:val="1"/>
      <w:tblBorders>
        <w:top w:val="single" w:sz="4" w:space="0" w:color="272774"/>
        <w:bottom w:val="single" w:sz="4" w:space="0" w:color="272774"/>
      </w:tblBorders>
    </w:tblPr>
    <w:tblStylePr w:type="firstRow">
      <w:rPr>
        <w:b/>
        <w:bCs/>
      </w:rPr>
      <w:tblPr/>
      <w:tcPr>
        <w:tcBorders>
          <w:bottom w:val="single" w:sz="4" w:space="0" w:color="272774"/>
        </w:tcBorders>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ListTable6Colorful-Accent2131">
    <w:name w:val="List Table 6 Colorful - Accent 2131"/>
    <w:basedOn w:val="TableNormal"/>
    <w:next w:val="TableNormal"/>
    <w:uiPriority w:val="51"/>
    <w:rsid w:val="00CD3D2F"/>
    <w:pPr>
      <w:spacing w:after="0" w:line="240" w:lineRule="auto"/>
    </w:pPr>
    <w:rPr>
      <w:rFonts w:eastAsia="SimSun"/>
      <w:color w:val="D58361"/>
      <w:lang w:val="en-GB"/>
    </w:rPr>
    <w:tblPr>
      <w:tblStyleRowBandSize w:val="1"/>
      <w:tblStyleColBandSize w:val="1"/>
      <w:tblBorders>
        <w:top w:val="single" w:sz="4" w:space="0" w:color="EBC4B4"/>
        <w:bottom w:val="single" w:sz="4" w:space="0" w:color="EBC4B4"/>
      </w:tblBorders>
    </w:tblPr>
    <w:tblStylePr w:type="firstRow">
      <w:rPr>
        <w:b/>
        <w:bCs/>
      </w:rPr>
      <w:tblPr/>
      <w:tcPr>
        <w:tcBorders>
          <w:bottom w:val="single" w:sz="4" w:space="0" w:color="EBC4B4"/>
        </w:tcBorders>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character" w:customStyle="1" w:styleId="Hyperlink1">
    <w:name w:val="Hyperlink1"/>
    <w:basedOn w:val="DefaultParagraphFont"/>
    <w:uiPriority w:val="99"/>
    <w:unhideWhenUsed/>
    <w:qFormat/>
    <w:rsid w:val="00CD3D2F"/>
    <w:rPr>
      <w:color w:val="4182FF"/>
      <w:u w:val="single"/>
    </w:rPr>
  </w:style>
  <w:style w:type="table" w:customStyle="1" w:styleId="ListTable6Colorful-Accent211">
    <w:name w:val="List Table 6 Colorful - Accent 211"/>
    <w:basedOn w:val="TableNormal"/>
    <w:uiPriority w:val="51"/>
    <w:rsid w:val="00CD3D2F"/>
    <w:pPr>
      <w:spacing w:after="0" w:line="240" w:lineRule="auto"/>
    </w:pPr>
    <w:rPr>
      <w:rFonts w:eastAsia="SimSun"/>
      <w:color w:val="D58361"/>
      <w:lang w:val="en-GB"/>
    </w:rPr>
    <w:tblPr>
      <w:tblStyleRowBandSize w:val="1"/>
      <w:tblStyleColBandSize w:val="1"/>
      <w:tblBorders>
        <w:top w:val="single" w:sz="4" w:space="0" w:color="EBC4B4"/>
        <w:bottom w:val="single" w:sz="4" w:space="0" w:color="EBC4B4"/>
      </w:tblBorders>
    </w:tblPr>
    <w:tblStylePr w:type="firstRow">
      <w:rPr>
        <w:b/>
        <w:bCs/>
      </w:rPr>
      <w:tblPr/>
      <w:tcPr>
        <w:tcBorders>
          <w:bottom w:val="single" w:sz="4" w:space="0" w:color="EBC4B4"/>
        </w:tcBorders>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paragraph" w:customStyle="1" w:styleId="CommentText1">
    <w:name w:val="Comment Text1"/>
    <w:basedOn w:val="Normal"/>
    <w:next w:val="CommentText"/>
    <w:uiPriority w:val="99"/>
    <w:semiHidden/>
    <w:unhideWhenUsed/>
    <w:rsid w:val="00CD3D2F"/>
    <w:pPr>
      <w:spacing w:before="120" w:after="120" w:line="240" w:lineRule="auto"/>
      <w:jc w:val="both"/>
    </w:pPr>
    <w:rPr>
      <w:rFonts w:eastAsiaTheme="minorEastAsia"/>
      <w:sz w:val="20"/>
      <w:szCs w:val="20"/>
      <w:lang w:val="en-GB"/>
    </w:rPr>
  </w:style>
  <w:style w:type="paragraph" w:customStyle="1" w:styleId="CommentSubject1">
    <w:name w:val="Comment Subject1"/>
    <w:basedOn w:val="CommentText"/>
    <w:next w:val="CommentText"/>
    <w:uiPriority w:val="99"/>
    <w:semiHidden/>
    <w:unhideWhenUsed/>
    <w:rsid w:val="00CD3D2F"/>
    <w:pPr>
      <w:spacing w:before="120" w:after="120"/>
      <w:jc w:val="both"/>
    </w:pPr>
    <w:rPr>
      <w:rFonts w:ascii="Century Gothic" w:eastAsia="SimSun" w:hAnsi="Century Gothic"/>
      <w:b/>
      <w:bCs/>
      <w:lang w:val="en-GB"/>
    </w:rPr>
  </w:style>
  <w:style w:type="paragraph" w:customStyle="1" w:styleId="FootnoteText1">
    <w:name w:val="Footnote Text1"/>
    <w:basedOn w:val="Normal"/>
    <w:next w:val="FootnoteText"/>
    <w:uiPriority w:val="99"/>
    <w:semiHidden/>
    <w:unhideWhenUsed/>
    <w:rsid w:val="00CD3D2F"/>
    <w:pPr>
      <w:spacing w:before="120" w:after="120" w:line="240" w:lineRule="auto"/>
      <w:jc w:val="both"/>
    </w:pPr>
    <w:rPr>
      <w:rFonts w:eastAsiaTheme="minorEastAsia"/>
      <w:sz w:val="20"/>
      <w:szCs w:val="20"/>
      <w:lang w:val="en-GB"/>
    </w:rPr>
  </w:style>
  <w:style w:type="paragraph" w:customStyle="1" w:styleId="TOC11">
    <w:name w:val="TOC 11"/>
    <w:basedOn w:val="Normal"/>
    <w:next w:val="Normal"/>
    <w:autoRedefine/>
    <w:uiPriority w:val="39"/>
    <w:unhideWhenUsed/>
    <w:rsid w:val="00CD3D2F"/>
    <w:pPr>
      <w:spacing w:before="120" w:after="100" w:line="276" w:lineRule="auto"/>
      <w:jc w:val="both"/>
    </w:pPr>
    <w:rPr>
      <w:rFonts w:ascii="Century Gothic" w:eastAsia="SimSun" w:hAnsi="Century Gothic"/>
      <w:lang w:val="en-GB"/>
    </w:rPr>
  </w:style>
  <w:style w:type="paragraph" w:customStyle="1" w:styleId="TOC21">
    <w:name w:val="TOC 21"/>
    <w:basedOn w:val="Normal"/>
    <w:next w:val="Normal"/>
    <w:autoRedefine/>
    <w:uiPriority w:val="39"/>
    <w:unhideWhenUsed/>
    <w:rsid w:val="00CD3D2F"/>
    <w:pPr>
      <w:spacing w:before="120" w:after="100" w:line="276" w:lineRule="auto"/>
      <w:ind w:left="220"/>
      <w:jc w:val="both"/>
    </w:pPr>
    <w:rPr>
      <w:rFonts w:ascii="Century Gothic" w:eastAsia="SimSun" w:hAnsi="Century Gothic"/>
      <w:lang w:val="en-GB"/>
    </w:rPr>
  </w:style>
  <w:style w:type="paragraph" w:customStyle="1" w:styleId="TOC31">
    <w:name w:val="TOC 31"/>
    <w:basedOn w:val="Normal"/>
    <w:next w:val="Normal"/>
    <w:autoRedefine/>
    <w:uiPriority w:val="39"/>
    <w:unhideWhenUsed/>
    <w:rsid w:val="00CD3D2F"/>
    <w:pPr>
      <w:spacing w:before="120" w:after="100" w:line="276" w:lineRule="auto"/>
      <w:ind w:left="440"/>
      <w:jc w:val="both"/>
    </w:pPr>
    <w:rPr>
      <w:rFonts w:ascii="Century Gothic" w:eastAsia="SimSun" w:hAnsi="Century Gothic"/>
      <w:lang w:val="en-GB"/>
    </w:rPr>
  </w:style>
  <w:style w:type="paragraph" w:customStyle="1" w:styleId="TableofFigures1">
    <w:name w:val="Table of Figures1"/>
    <w:basedOn w:val="Normal"/>
    <w:next w:val="Normal"/>
    <w:uiPriority w:val="99"/>
    <w:unhideWhenUsed/>
    <w:rsid w:val="00CD3D2F"/>
    <w:pPr>
      <w:spacing w:before="120" w:after="0" w:line="276" w:lineRule="auto"/>
      <w:jc w:val="both"/>
    </w:pPr>
    <w:rPr>
      <w:rFonts w:ascii="Century Gothic" w:eastAsia="SimSun" w:hAnsi="Century Gothic"/>
      <w:lang w:val="en-GB"/>
    </w:rPr>
  </w:style>
  <w:style w:type="table" w:customStyle="1" w:styleId="TableGrid1">
    <w:name w:val="Table Grid1"/>
    <w:basedOn w:val="TableNormal"/>
    <w:next w:val="TableGrid"/>
    <w:uiPriority w:val="59"/>
    <w:rsid w:val="00CD3D2F"/>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
    <w:name w:val="Grid Table 2 - Accent 111"/>
    <w:basedOn w:val="TableNormal"/>
    <w:next w:val="GridTable2-Accent1"/>
    <w:uiPriority w:val="47"/>
    <w:rsid w:val="00CD3D2F"/>
    <w:pPr>
      <w:spacing w:after="0" w:line="240" w:lineRule="auto"/>
    </w:pPr>
    <w:rPr>
      <w:rFonts w:eastAsia="SimSun"/>
    </w:rPr>
    <w:tblPr>
      <w:tblStyleRowBandSize w:val="1"/>
      <w:tblStyleColBandSize w:val="1"/>
      <w:tblBorders>
        <w:top w:val="single" w:sz="2" w:space="0" w:color="5F5FC9"/>
        <w:bottom w:val="single" w:sz="2" w:space="0" w:color="5F5FC9"/>
        <w:insideH w:val="single" w:sz="2" w:space="0" w:color="5F5FC9"/>
        <w:insideV w:val="single" w:sz="2" w:space="0" w:color="5F5FC9"/>
      </w:tblBorders>
    </w:tblPr>
    <w:tblStylePr w:type="firstRow">
      <w:rPr>
        <w:b/>
        <w:bCs/>
      </w:rPr>
      <w:tblPr/>
      <w:tcPr>
        <w:tcBorders>
          <w:top w:val="nil"/>
          <w:bottom w:val="single" w:sz="12" w:space="0" w:color="5F5FC9"/>
          <w:insideH w:val="nil"/>
          <w:insideV w:val="nil"/>
        </w:tcBorders>
        <w:shd w:val="clear" w:color="auto" w:fill="FFFFFF"/>
      </w:tcPr>
    </w:tblStylePr>
    <w:tblStylePr w:type="lastRow">
      <w:rPr>
        <w:b/>
        <w:bCs/>
      </w:rPr>
      <w:tblPr/>
      <w:tcPr>
        <w:tcBorders>
          <w:top w:val="double" w:sz="2" w:space="0" w:color="5F5F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2-Accent211">
    <w:name w:val="Grid Table 2 - Accent 211"/>
    <w:basedOn w:val="TableNormal"/>
    <w:next w:val="GridTable2-Accent2"/>
    <w:uiPriority w:val="47"/>
    <w:rsid w:val="00CD3D2F"/>
    <w:pPr>
      <w:spacing w:after="0" w:line="240" w:lineRule="auto"/>
    </w:pPr>
    <w:rPr>
      <w:rFonts w:eastAsia="SimSun"/>
    </w:rPr>
    <w:tblPr>
      <w:tblStyleRowBandSize w:val="1"/>
      <w:tblStyleColBandSize w:val="1"/>
      <w:tblBorders>
        <w:top w:val="single" w:sz="2" w:space="0" w:color="F3DBD2"/>
        <w:bottom w:val="single" w:sz="2" w:space="0" w:color="F3DBD2"/>
        <w:insideH w:val="single" w:sz="2" w:space="0" w:color="F3DBD2"/>
        <w:insideV w:val="single" w:sz="2" w:space="0" w:color="F3DBD2"/>
      </w:tblBorders>
    </w:tblPr>
    <w:tblStylePr w:type="firstRow">
      <w:rPr>
        <w:b/>
        <w:bCs/>
      </w:rPr>
      <w:tblPr/>
      <w:tcPr>
        <w:tcBorders>
          <w:top w:val="nil"/>
          <w:bottom w:val="single" w:sz="12" w:space="0" w:color="F3DBD2"/>
          <w:insideH w:val="nil"/>
          <w:insideV w:val="nil"/>
        </w:tcBorders>
        <w:shd w:val="clear" w:color="auto" w:fill="FFFFFF"/>
      </w:tcPr>
    </w:tblStylePr>
    <w:tblStylePr w:type="lastRow">
      <w:rPr>
        <w:b/>
        <w:bCs/>
      </w:rPr>
      <w:tblPr/>
      <w:tcPr>
        <w:tcBorders>
          <w:top w:val="double" w:sz="2" w:space="0" w:color="F3DB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GridTable2-Accent311">
    <w:name w:val="Grid Table 2 - Accent 311"/>
    <w:basedOn w:val="TableNormal"/>
    <w:next w:val="GridTable2-Accent3"/>
    <w:uiPriority w:val="47"/>
    <w:rsid w:val="00CD3D2F"/>
    <w:pPr>
      <w:spacing w:after="0" w:line="240" w:lineRule="auto"/>
    </w:pPr>
    <w:rPr>
      <w:rFonts w:eastAsia="SimSun"/>
    </w:rPr>
    <w:tblPr>
      <w:tblStyleRowBandSize w:val="1"/>
      <w:tblStyleColBandSize w:val="1"/>
      <w:tblBorders>
        <w:top w:val="single" w:sz="2" w:space="0" w:color="8DB3FF"/>
        <w:bottom w:val="single" w:sz="2" w:space="0" w:color="8DB3FF"/>
        <w:insideH w:val="single" w:sz="2" w:space="0" w:color="8DB3FF"/>
        <w:insideV w:val="single" w:sz="2" w:space="0" w:color="8DB3FF"/>
      </w:tblBorders>
    </w:tblPr>
    <w:tblStylePr w:type="firstRow">
      <w:rPr>
        <w:b/>
        <w:bCs/>
      </w:rPr>
      <w:tblPr/>
      <w:tcPr>
        <w:tcBorders>
          <w:top w:val="nil"/>
          <w:bottom w:val="single" w:sz="12" w:space="0" w:color="8DB3FF"/>
          <w:insideH w:val="nil"/>
          <w:insideV w:val="nil"/>
        </w:tcBorders>
        <w:shd w:val="clear" w:color="auto" w:fill="FFFFFF"/>
      </w:tcPr>
    </w:tblStylePr>
    <w:tblStylePr w:type="lastRow">
      <w:rPr>
        <w:b/>
        <w:bCs/>
      </w:rPr>
      <w:tblPr/>
      <w:tcPr>
        <w:tcBorders>
          <w:top w:val="double" w:sz="2" w:space="0" w:color="8DB3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5FF"/>
      </w:tcPr>
    </w:tblStylePr>
    <w:tblStylePr w:type="band1Horz">
      <w:tblPr/>
      <w:tcPr>
        <w:shd w:val="clear" w:color="auto" w:fill="D9E5FF"/>
      </w:tcPr>
    </w:tblStylePr>
  </w:style>
  <w:style w:type="paragraph" w:customStyle="1" w:styleId="Revision1">
    <w:name w:val="Revision1"/>
    <w:next w:val="Revision"/>
    <w:hidden/>
    <w:uiPriority w:val="99"/>
    <w:semiHidden/>
    <w:rsid w:val="00CD3D2F"/>
    <w:pPr>
      <w:spacing w:after="0" w:line="240" w:lineRule="auto"/>
    </w:pPr>
    <w:rPr>
      <w:rFonts w:eastAsia="SimSun"/>
    </w:rPr>
  </w:style>
  <w:style w:type="table" w:customStyle="1" w:styleId="GridTable4-Accent111">
    <w:name w:val="Grid Table 4 - Accent 111"/>
    <w:basedOn w:val="TableNormal"/>
    <w:next w:val="GridTable4-Accent1"/>
    <w:uiPriority w:val="49"/>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insideV w:val="nil"/>
        </w:tcBorders>
        <w:shd w:val="clear" w:color="auto" w:fill="272774"/>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211">
    <w:name w:val="Grid Table 211"/>
    <w:basedOn w:val="TableNormal"/>
    <w:next w:val="GridTable2"/>
    <w:uiPriority w:val="47"/>
    <w:rsid w:val="00CD3D2F"/>
    <w:pPr>
      <w:spacing w:after="0" w:line="240" w:lineRule="auto"/>
    </w:pPr>
    <w:rPr>
      <w:rFonts w:eastAsia="SimSu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111">
    <w:name w:val="Grid Table 3 - Accent 111"/>
    <w:basedOn w:val="TableNormal"/>
    <w:next w:val="GridTable3-Accent1"/>
    <w:uiPriority w:val="48"/>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C9ED"/>
      </w:tcPr>
    </w:tblStylePr>
    <w:tblStylePr w:type="band1Horz">
      <w:tblPr/>
      <w:tcPr>
        <w:shd w:val="clear" w:color="auto" w:fill="C9C9ED"/>
      </w:tcPr>
    </w:tblStylePr>
    <w:tblStylePr w:type="neCell">
      <w:tblPr/>
      <w:tcPr>
        <w:tcBorders>
          <w:bottom w:val="single" w:sz="4" w:space="0" w:color="5F5FC9"/>
        </w:tcBorders>
      </w:tcPr>
    </w:tblStylePr>
    <w:tblStylePr w:type="nwCell">
      <w:tblPr/>
      <w:tcPr>
        <w:tcBorders>
          <w:bottom w:val="single" w:sz="4" w:space="0" w:color="5F5FC9"/>
        </w:tcBorders>
      </w:tcPr>
    </w:tblStylePr>
    <w:tblStylePr w:type="seCell">
      <w:tblPr/>
      <w:tcPr>
        <w:tcBorders>
          <w:top w:val="single" w:sz="4" w:space="0" w:color="5F5FC9"/>
        </w:tcBorders>
      </w:tcPr>
    </w:tblStylePr>
    <w:tblStylePr w:type="swCell">
      <w:tblPr/>
      <w:tcPr>
        <w:tcBorders>
          <w:top w:val="single" w:sz="4" w:space="0" w:color="5F5FC9"/>
        </w:tcBorders>
      </w:tcPr>
    </w:tblStylePr>
  </w:style>
  <w:style w:type="table" w:customStyle="1" w:styleId="GridTable1Light-Accent611">
    <w:name w:val="Grid Table 1 Light - Accent 611"/>
    <w:basedOn w:val="TableNormal"/>
    <w:next w:val="GridTable1Light-Accent6"/>
    <w:uiPriority w:val="46"/>
    <w:rsid w:val="00CD3D2F"/>
    <w:pPr>
      <w:spacing w:after="0" w:line="240" w:lineRule="auto"/>
    </w:pPr>
    <w:rPr>
      <w:rFonts w:eastAsia="SimSun"/>
    </w:rPr>
    <w:tblPr>
      <w:tblStyleRowBandSize w:val="1"/>
      <w:tblStyleColBandSize w:val="1"/>
      <w:tblBorders>
        <w:top w:val="single" w:sz="4" w:space="0" w:color="E2CCFF"/>
        <w:left w:val="single" w:sz="4" w:space="0" w:color="E2CCFF"/>
        <w:bottom w:val="single" w:sz="4" w:space="0" w:color="E2CCFF"/>
        <w:right w:val="single" w:sz="4" w:space="0" w:color="E2CCFF"/>
        <w:insideH w:val="single" w:sz="4" w:space="0" w:color="E2CCFF"/>
        <w:insideV w:val="single" w:sz="4" w:space="0" w:color="E2CCFF"/>
      </w:tblBorders>
    </w:tblPr>
    <w:tblStylePr w:type="firstRow">
      <w:rPr>
        <w:b/>
        <w:bCs/>
      </w:rPr>
      <w:tblPr/>
      <w:tcPr>
        <w:tcBorders>
          <w:bottom w:val="single" w:sz="12" w:space="0" w:color="D4B2FF"/>
        </w:tcBorders>
      </w:tcPr>
    </w:tblStylePr>
    <w:tblStylePr w:type="lastRow">
      <w:rPr>
        <w:b/>
        <w:bCs/>
      </w:rPr>
      <w:tblPr/>
      <w:tcPr>
        <w:tcBorders>
          <w:top w:val="double" w:sz="2" w:space="0" w:color="D4B2FF"/>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next w:val="GridTable1Light-Accent3"/>
    <w:uiPriority w:val="46"/>
    <w:rsid w:val="00CD3D2F"/>
    <w:pPr>
      <w:spacing w:after="0" w:line="240" w:lineRule="auto"/>
    </w:pPr>
    <w:rPr>
      <w:rFonts w:eastAsia="SimSun"/>
    </w:rPr>
    <w:tblPr>
      <w:tblStyleRowBandSize w:val="1"/>
      <w:tblStyleColBandSize w:val="1"/>
      <w:tblBorders>
        <w:top w:val="single" w:sz="4" w:space="0" w:color="B3CCFF"/>
        <w:left w:val="single" w:sz="4" w:space="0" w:color="B3CCFF"/>
        <w:bottom w:val="single" w:sz="4" w:space="0" w:color="B3CCFF"/>
        <w:right w:val="single" w:sz="4" w:space="0" w:color="B3CCFF"/>
        <w:insideH w:val="single" w:sz="4" w:space="0" w:color="B3CCFF"/>
        <w:insideV w:val="single" w:sz="4" w:space="0" w:color="B3CCFF"/>
      </w:tblBorders>
    </w:tblPr>
    <w:tblStylePr w:type="firstRow">
      <w:rPr>
        <w:b/>
        <w:bCs/>
      </w:rPr>
      <w:tblPr/>
      <w:tcPr>
        <w:tcBorders>
          <w:bottom w:val="single" w:sz="12" w:space="0" w:color="8DB3FF"/>
        </w:tcBorders>
      </w:tcPr>
    </w:tblStylePr>
    <w:tblStylePr w:type="lastRow">
      <w:rPr>
        <w:b/>
        <w:bCs/>
      </w:rPr>
      <w:tblPr/>
      <w:tcPr>
        <w:tcBorders>
          <w:top w:val="double" w:sz="2" w:space="0" w:color="8DB3FF"/>
        </w:tcBorders>
      </w:tcPr>
    </w:tblStylePr>
    <w:tblStylePr w:type="firstCol">
      <w:rPr>
        <w:b/>
        <w:bCs/>
      </w:rPr>
    </w:tblStylePr>
    <w:tblStylePr w:type="lastCol">
      <w:rPr>
        <w:b/>
        <w:bCs/>
      </w:rPr>
    </w:tblStylePr>
  </w:style>
  <w:style w:type="table" w:customStyle="1" w:styleId="ListTable2-Accent211">
    <w:name w:val="List Table 2 - Accent 211"/>
    <w:basedOn w:val="TableNormal"/>
    <w:next w:val="ListTable2-Accent2"/>
    <w:uiPriority w:val="47"/>
    <w:rsid w:val="00CD3D2F"/>
    <w:pPr>
      <w:spacing w:after="0" w:line="240" w:lineRule="auto"/>
    </w:pPr>
    <w:rPr>
      <w:rFonts w:ascii="Times New Roman" w:eastAsia="SimSun" w:hAnsi="Times New Roman" w:cs="Times New Roman"/>
      <w:sz w:val="20"/>
      <w:szCs w:val="20"/>
      <w:lang w:val="en-GB" w:eastAsia="en-GB"/>
    </w:rPr>
    <w:tblPr>
      <w:tblStyleRowBandSize w:val="1"/>
      <w:tblStyleColBandSize w:val="1"/>
      <w:tblBorders>
        <w:top w:val="single" w:sz="4" w:space="0" w:color="F3DBD2"/>
        <w:bottom w:val="single" w:sz="4" w:space="0" w:color="F3DBD2"/>
        <w:insideH w:val="single" w:sz="4" w:space="0" w:color="F3DBD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1Light-Accent211">
    <w:name w:val="List Table 1 Light - Accent 211"/>
    <w:basedOn w:val="TableNormal"/>
    <w:uiPriority w:val="46"/>
    <w:qFormat/>
    <w:rsid w:val="00CD3D2F"/>
    <w:pPr>
      <w:spacing w:after="0" w:line="240" w:lineRule="auto"/>
    </w:pPr>
    <w:rPr>
      <w:rFonts w:ascii="Times New Roman" w:eastAsia="SimSun" w:hAnsi="Times New Roman" w:cs="Times New Roman"/>
      <w:sz w:val="20"/>
      <w:szCs w:val="20"/>
      <w:lang w:val="en-GB" w:eastAsia="en-GB"/>
    </w:rPr>
    <w:tblPr/>
    <w:tblStylePr w:type="firstRow">
      <w:rPr>
        <w:b/>
        <w:bCs/>
      </w:rPr>
      <w:tblPr/>
      <w:tcPr>
        <w:tcBorders>
          <w:bottom w:val="single" w:sz="4" w:space="0" w:color="F3DBD2"/>
        </w:tcBorders>
      </w:tcPr>
    </w:tblStylePr>
    <w:tblStylePr w:type="lastRow">
      <w:rPr>
        <w:b/>
        <w:bCs/>
      </w:rPr>
      <w:tblPr/>
      <w:tcPr>
        <w:tcBorders>
          <w:top w:val="single" w:sz="4" w:space="0" w:color="F3DBD2"/>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2-Accent111">
    <w:name w:val="List Table 2 - Accent 111"/>
    <w:basedOn w:val="TableNormal"/>
    <w:next w:val="ListTable2-Accent1"/>
    <w:uiPriority w:val="47"/>
    <w:rsid w:val="00CD3D2F"/>
    <w:pPr>
      <w:spacing w:after="0" w:line="240" w:lineRule="auto"/>
    </w:pPr>
    <w:rPr>
      <w:rFonts w:eastAsia="SimSun"/>
    </w:rPr>
    <w:tblPr>
      <w:tblStyleRowBandSize w:val="1"/>
      <w:tblStyleColBandSize w:val="1"/>
      <w:tblBorders>
        <w:top w:val="single" w:sz="4" w:space="0" w:color="5F5FC9"/>
        <w:bottom w:val="single" w:sz="4" w:space="0" w:color="5F5FC9"/>
        <w:insideH w:val="single" w:sz="4" w:space="0" w:color="5F5F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ListTable1Light-Accent221">
    <w:name w:val="List Table 1 Light - Accent 221"/>
    <w:basedOn w:val="TableNormal"/>
    <w:next w:val="ListTable1Light-Accent2"/>
    <w:uiPriority w:val="46"/>
    <w:rsid w:val="00CD3D2F"/>
    <w:pPr>
      <w:spacing w:after="0" w:line="240" w:lineRule="auto"/>
    </w:pPr>
    <w:rPr>
      <w:rFonts w:ascii="Times New Roman" w:eastAsia="SimSun" w:hAnsi="Times New Roman" w:cs="Times New Roman"/>
      <w:sz w:val="20"/>
      <w:szCs w:val="20"/>
      <w:lang w:val="en-GB" w:eastAsia="en-GB"/>
    </w:rPr>
    <w:tblPr>
      <w:tblStyleRowBandSize w:val="1"/>
      <w:tblStyleColBandSize w:val="1"/>
    </w:tblPr>
    <w:tblStylePr w:type="firstRow">
      <w:rPr>
        <w:b/>
        <w:bCs/>
      </w:rPr>
      <w:tblPr/>
      <w:tcPr>
        <w:tcBorders>
          <w:bottom w:val="single" w:sz="4" w:space="0" w:color="F3DBD2"/>
        </w:tcBorders>
      </w:tcPr>
    </w:tblStylePr>
    <w:tblStylePr w:type="lastRow">
      <w:rPr>
        <w:b/>
        <w:bCs/>
      </w:rPr>
      <w:tblPr/>
      <w:tcPr>
        <w:tcBorders>
          <w:top w:val="single" w:sz="4" w:space="0" w:color="F3DBD2"/>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1Light-Accent111">
    <w:name w:val="List Table 1 Light - Accent 111"/>
    <w:basedOn w:val="TableNormal"/>
    <w:next w:val="ListTable1Light-Accent1"/>
    <w:uiPriority w:val="46"/>
    <w:rsid w:val="00CD3D2F"/>
    <w:pPr>
      <w:spacing w:after="0" w:line="240" w:lineRule="auto"/>
    </w:pPr>
    <w:rPr>
      <w:rFonts w:eastAsia="SimSun"/>
    </w:rPr>
    <w:tblPr>
      <w:tblStyleRowBandSize w:val="1"/>
      <w:tblStyleColBandSize w:val="1"/>
    </w:tblPr>
    <w:tblStylePr w:type="firstRow">
      <w:rPr>
        <w:b/>
        <w:bCs/>
      </w:rPr>
      <w:tblPr/>
      <w:tcPr>
        <w:tcBorders>
          <w:bottom w:val="single" w:sz="4" w:space="0" w:color="5F5FC9"/>
        </w:tcBorders>
      </w:tcPr>
    </w:tblStylePr>
    <w:tblStylePr w:type="lastRow">
      <w:rPr>
        <w:b/>
        <w:bCs/>
      </w:rPr>
      <w:tblPr/>
      <w:tcPr>
        <w:tcBorders>
          <w:top w:val="single" w:sz="4" w:space="0" w:color="5F5FC9"/>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4-Accent211">
    <w:name w:val="Grid Table 4 - Accent 211"/>
    <w:basedOn w:val="TableNormal"/>
    <w:next w:val="GridTable4-Accent2"/>
    <w:uiPriority w:val="49"/>
    <w:rsid w:val="00CD3D2F"/>
    <w:pPr>
      <w:spacing w:after="0" w:line="240" w:lineRule="auto"/>
    </w:pPr>
    <w:rPr>
      <w:rFonts w:eastAsia="SimSun"/>
    </w:rPr>
    <w:tblPr>
      <w:tblStyleRowBandSize w:val="1"/>
      <w:tblStyleColBandSize w:val="1"/>
      <w:tblBorders>
        <w:top w:val="single" w:sz="4" w:space="0" w:color="F3DBD2"/>
        <w:left w:val="single" w:sz="4" w:space="0" w:color="F3DBD2"/>
        <w:bottom w:val="single" w:sz="4" w:space="0" w:color="F3DBD2"/>
        <w:right w:val="single" w:sz="4" w:space="0" w:color="F3DBD2"/>
        <w:insideH w:val="single" w:sz="4" w:space="0" w:color="F3DBD2"/>
        <w:insideV w:val="single" w:sz="4" w:space="0" w:color="F3DBD2"/>
      </w:tblBorders>
    </w:tblPr>
    <w:tblStylePr w:type="firstRow">
      <w:rPr>
        <w:b/>
        <w:bCs/>
        <w:color w:val="FFFFFF"/>
      </w:rPr>
      <w:tblPr/>
      <w:tcPr>
        <w:tcBorders>
          <w:top w:val="single" w:sz="4" w:space="0" w:color="EBC4B4"/>
          <w:left w:val="single" w:sz="4" w:space="0" w:color="EBC4B4"/>
          <w:bottom w:val="single" w:sz="4" w:space="0" w:color="EBC4B4"/>
          <w:right w:val="single" w:sz="4" w:space="0" w:color="EBC4B4"/>
          <w:insideH w:val="nil"/>
          <w:insideV w:val="nil"/>
        </w:tcBorders>
        <w:shd w:val="clear" w:color="auto" w:fill="EBC4B4"/>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6Colorful-Accent221">
    <w:name w:val="List Table 6 Colorful - Accent 221"/>
    <w:basedOn w:val="TableNormal"/>
    <w:next w:val="ListTable6Colorful-Accent2"/>
    <w:uiPriority w:val="51"/>
    <w:rsid w:val="00CD3D2F"/>
    <w:pPr>
      <w:spacing w:after="0" w:line="240" w:lineRule="auto"/>
    </w:pPr>
    <w:rPr>
      <w:rFonts w:ascii="Times New Roman" w:eastAsia="SimSun" w:hAnsi="Times New Roman" w:cs="Times New Roman"/>
      <w:color w:val="D58361"/>
      <w:sz w:val="20"/>
      <w:szCs w:val="20"/>
      <w:lang w:val="en-GB" w:eastAsia="en-GB"/>
    </w:rPr>
    <w:tblPr>
      <w:tblStyleRowBandSize w:val="1"/>
      <w:tblStyleColBandSize w:val="1"/>
      <w:tblBorders>
        <w:top w:val="single" w:sz="4" w:space="0" w:color="EBC4B4"/>
        <w:bottom w:val="single" w:sz="4" w:space="0" w:color="EBC4B4"/>
      </w:tblBorders>
    </w:tblPr>
    <w:tblStylePr w:type="firstRow">
      <w:rPr>
        <w:b/>
        <w:bCs/>
      </w:rPr>
      <w:tblPr/>
      <w:tcPr>
        <w:tcBorders>
          <w:bottom w:val="single" w:sz="4" w:space="0" w:color="EBC4B4"/>
        </w:tcBorders>
      </w:tcPr>
    </w:tblStylePr>
    <w:tblStylePr w:type="lastRow">
      <w:rPr>
        <w:b/>
        <w:bCs/>
      </w:rPr>
      <w:tblPr/>
      <w:tcPr>
        <w:tcBorders>
          <w:top w:val="double" w:sz="4" w:space="0" w:color="EBC4B4"/>
        </w:tcBorders>
      </w:tcPr>
    </w:tblStylePr>
    <w:tblStylePr w:type="firstCol">
      <w:rPr>
        <w:b/>
        <w:bCs/>
      </w:rPr>
    </w:tblStylePr>
    <w:tblStylePr w:type="lastCol">
      <w:rPr>
        <w:b/>
        <w:bCs/>
      </w:rPr>
    </w:tblStylePr>
    <w:tblStylePr w:type="band1Vert">
      <w:tblPr/>
      <w:tcPr>
        <w:shd w:val="clear" w:color="auto" w:fill="FBF3F0"/>
      </w:tcPr>
    </w:tblStylePr>
    <w:tblStylePr w:type="band1Horz">
      <w:tblPr/>
      <w:tcPr>
        <w:shd w:val="clear" w:color="auto" w:fill="FBF3F0"/>
      </w:tcPr>
    </w:tblStylePr>
  </w:style>
  <w:style w:type="table" w:customStyle="1" w:styleId="ListTable3-Accent111">
    <w:name w:val="List Table 3 - Accent 111"/>
    <w:basedOn w:val="TableNormal"/>
    <w:next w:val="ListTable3-Accent1"/>
    <w:uiPriority w:val="48"/>
    <w:rsid w:val="00CD3D2F"/>
    <w:pPr>
      <w:spacing w:after="0" w:line="240" w:lineRule="auto"/>
    </w:pPr>
    <w:rPr>
      <w:rFonts w:eastAsia="SimSun"/>
    </w:rPr>
    <w:tblPr>
      <w:tblStyleRowBandSize w:val="1"/>
      <w:tblStyleColBandSize w:val="1"/>
      <w:tblBorders>
        <w:top w:val="single" w:sz="4" w:space="0" w:color="272774"/>
        <w:left w:val="single" w:sz="4" w:space="0" w:color="272774"/>
        <w:bottom w:val="single" w:sz="4" w:space="0" w:color="272774"/>
        <w:right w:val="single" w:sz="4" w:space="0" w:color="272774"/>
      </w:tblBorders>
    </w:tblPr>
    <w:tblStylePr w:type="firstRow">
      <w:rPr>
        <w:b/>
        <w:bCs/>
        <w:color w:val="FFFFFF"/>
      </w:rPr>
      <w:tblPr/>
      <w:tcPr>
        <w:shd w:val="clear" w:color="auto" w:fill="272774"/>
      </w:tcPr>
    </w:tblStylePr>
    <w:tblStylePr w:type="lastRow">
      <w:rPr>
        <w:b/>
        <w:bCs/>
      </w:rPr>
      <w:tblPr/>
      <w:tcPr>
        <w:tcBorders>
          <w:top w:val="double" w:sz="4" w:space="0" w:color="27277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272774"/>
          <w:right w:val="single" w:sz="4" w:space="0" w:color="272774"/>
        </w:tcBorders>
      </w:tcPr>
    </w:tblStylePr>
    <w:tblStylePr w:type="band1Horz">
      <w:tblPr/>
      <w:tcPr>
        <w:tcBorders>
          <w:top w:val="single" w:sz="4" w:space="0" w:color="272774"/>
          <w:bottom w:val="single" w:sz="4" w:space="0" w:color="27277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2774"/>
          <w:left w:val="nil"/>
        </w:tcBorders>
      </w:tcPr>
    </w:tblStylePr>
    <w:tblStylePr w:type="swCell">
      <w:tblPr/>
      <w:tcPr>
        <w:tcBorders>
          <w:top w:val="double" w:sz="4" w:space="0" w:color="272774"/>
          <w:right w:val="nil"/>
        </w:tcBorders>
      </w:tcPr>
    </w:tblStylePr>
  </w:style>
  <w:style w:type="numbering" w:customStyle="1" w:styleId="NoList1111">
    <w:name w:val="No List1111"/>
    <w:next w:val="NoList"/>
    <w:uiPriority w:val="99"/>
    <w:semiHidden/>
    <w:unhideWhenUsed/>
    <w:rsid w:val="00CD3D2F"/>
  </w:style>
  <w:style w:type="table" w:customStyle="1" w:styleId="GridTable5Dark-Accent111">
    <w:name w:val="Grid Table 5 Dark - Accent 111"/>
    <w:basedOn w:val="TableNormal"/>
    <w:next w:val="GridTable5Dark-Accent1"/>
    <w:uiPriority w:val="50"/>
    <w:rsid w:val="00CD3D2F"/>
    <w:pPr>
      <w:spacing w:after="0" w:line="240" w:lineRule="auto"/>
    </w:pPr>
    <w:rPr>
      <w:rFonts w:eastAsia="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C9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727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727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727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72774"/>
      </w:tcPr>
    </w:tblStylePr>
    <w:tblStylePr w:type="band1Vert">
      <w:tblPr/>
      <w:tcPr>
        <w:shd w:val="clear" w:color="auto" w:fill="9494DB"/>
      </w:tcPr>
    </w:tblStylePr>
    <w:tblStylePr w:type="band1Horz">
      <w:tblPr/>
      <w:tcPr>
        <w:shd w:val="clear" w:color="auto" w:fill="9494DB"/>
      </w:tcPr>
    </w:tblStylePr>
  </w:style>
  <w:style w:type="table" w:customStyle="1" w:styleId="ListTable4-Accent111">
    <w:name w:val="List Table 4 - Accent 111"/>
    <w:basedOn w:val="TableNormal"/>
    <w:next w:val="ListTable4-Accent1"/>
    <w:uiPriority w:val="49"/>
    <w:rsid w:val="00CD3D2F"/>
    <w:pPr>
      <w:spacing w:after="0" w:line="240" w:lineRule="auto"/>
    </w:pPr>
    <w:rPr>
      <w:rFonts w:eastAsia="SimSun"/>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tcBorders>
        <w:shd w:val="clear" w:color="auto" w:fill="272774"/>
      </w:tcPr>
    </w:tblStylePr>
    <w:tblStylePr w:type="lastRow">
      <w:rPr>
        <w:b/>
        <w:bCs/>
      </w:rPr>
      <w:tblPr/>
      <w:tcPr>
        <w:tcBorders>
          <w:top w:val="double" w:sz="4" w:space="0" w:color="5F5FC9"/>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table" w:customStyle="1" w:styleId="GridTable6Colorful-Accent111">
    <w:name w:val="Grid Table 6 Colorful - Accent 111"/>
    <w:basedOn w:val="TableNormal"/>
    <w:next w:val="GridTable6Colorful-Accent1"/>
    <w:uiPriority w:val="51"/>
    <w:rsid w:val="00CD3D2F"/>
    <w:pPr>
      <w:spacing w:after="0" w:line="240" w:lineRule="auto"/>
    </w:pPr>
    <w:rPr>
      <w:rFonts w:eastAsia="SimSun"/>
      <w:color w:val="1D1D56"/>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rPr>
      <w:tblPr/>
      <w:tcPr>
        <w:tcBorders>
          <w:bottom w:val="single" w:sz="12" w:space="0" w:color="5F5FC9"/>
        </w:tcBorders>
      </w:tcPr>
    </w:tblStylePr>
    <w:tblStylePr w:type="lastRow">
      <w:rPr>
        <w:b/>
        <w:bCs/>
      </w:rPr>
      <w:tblPr/>
      <w:tcPr>
        <w:tcBorders>
          <w:top w:val="double" w:sz="4" w:space="0" w:color="5F5FC9"/>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character" w:customStyle="1" w:styleId="Heading1Char1">
    <w:name w:val="Heading 1 Char1"/>
    <w:basedOn w:val="DefaultParagraphFont"/>
    <w:uiPriority w:val="9"/>
    <w:rsid w:val="00CD3D2F"/>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CD3D2F"/>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CD3D2F"/>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CD3D2F"/>
    <w:rPr>
      <w:rFonts w:asciiTheme="majorHAnsi" w:eastAsiaTheme="majorEastAsia" w:hAnsiTheme="majorHAnsi" w:cstheme="majorBidi"/>
      <w:i/>
      <w:iCs/>
      <w:color w:val="2F5496" w:themeColor="accent1" w:themeShade="BF"/>
      <w:sz w:val="20"/>
    </w:rPr>
  </w:style>
  <w:style w:type="character" w:customStyle="1" w:styleId="HeaderChar1">
    <w:name w:val="Header Char1"/>
    <w:basedOn w:val="DefaultParagraphFont"/>
    <w:uiPriority w:val="99"/>
    <w:semiHidden/>
    <w:rsid w:val="00CD3D2F"/>
    <w:rPr>
      <w:rFonts w:ascii="Verdana" w:hAnsi="Verdana"/>
      <w:sz w:val="20"/>
    </w:rPr>
  </w:style>
  <w:style w:type="character" w:customStyle="1" w:styleId="FooterChar1">
    <w:name w:val="Footer Char1"/>
    <w:basedOn w:val="DefaultParagraphFont"/>
    <w:uiPriority w:val="99"/>
    <w:semiHidden/>
    <w:rsid w:val="00CD3D2F"/>
    <w:rPr>
      <w:rFonts w:ascii="Verdana" w:hAnsi="Verdana"/>
      <w:sz w:val="20"/>
    </w:rPr>
  </w:style>
  <w:style w:type="table" w:customStyle="1" w:styleId="GridTable1Light-Accent13">
    <w:name w:val="Grid Table 1 Light - Accent 13"/>
    <w:basedOn w:val="TableNormal"/>
    <w:next w:val="GridTable1Light-Accent1"/>
    <w:uiPriority w:val="46"/>
    <w:rsid w:val="00CD3D2F"/>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6Colorful-Accent12">
    <w:name w:val="List Table 6 Colorful - Accent 12"/>
    <w:basedOn w:val="TableNormal"/>
    <w:next w:val="ListTable6Colorful-Accent1"/>
    <w:uiPriority w:val="51"/>
    <w:rsid w:val="00CD3D2F"/>
    <w:pPr>
      <w:spacing w:after="0" w:line="240" w:lineRule="auto"/>
    </w:pPr>
    <w:rPr>
      <w:rFonts w:eastAsiaTheme="minorEastAsia"/>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ommentTextChar1">
    <w:name w:val="Comment Text Char1"/>
    <w:basedOn w:val="DefaultParagraphFont"/>
    <w:uiPriority w:val="99"/>
    <w:semiHidden/>
    <w:rsid w:val="00CD3D2F"/>
    <w:rPr>
      <w:rFonts w:ascii="Verdana" w:hAnsi="Verdana"/>
      <w:sz w:val="20"/>
      <w:szCs w:val="20"/>
    </w:rPr>
  </w:style>
  <w:style w:type="character" w:customStyle="1" w:styleId="CommentSubjectChar1">
    <w:name w:val="Comment Subject Char1"/>
    <w:basedOn w:val="CommentTextChar1"/>
    <w:uiPriority w:val="99"/>
    <w:semiHidden/>
    <w:rsid w:val="00CD3D2F"/>
    <w:rPr>
      <w:rFonts w:ascii="Verdana" w:hAnsi="Verdana"/>
      <w:b/>
      <w:bCs/>
      <w:sz w:val="20"/>
      <w:szCs w:val="20"/>
    </w:rPr>
  </w:style>
  <w:style w:type="character" w:customStyle="1" w:styleId="FootnoteTextChar1">
    <w:name w:val="Footnote Text Char1"/>
    <w:basedOn w:val="DefaultParagraphFont"/>
    <w:uiPriority w:val="99"/>
    <w:semiHidden/>
    <w:rsid w:val="00CD3D2F"/>
    <w:rPr>
      <w:rFonts w:ascii="Verdana" w:hAnsi="Verdana"/>
      <w:sz w:val="20"/>
      <w:szCs w:val="20"/>
    </w:rPr>
  </w:style>
  <w:style w:type="table" w:customStyle="1" w:styleId="TableGrid2">
    <w:name w:val="Table Grid2"/>
    <w:basedOn w:val="TableNormal"/>
    <w:next w:val="TableGrid"/>
    <w:uiPriority w:val="39"/>
    <w:rsid w:val="00CD3D2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
    <w:name w:val="Grid Table 2 - Accent 12"/>
    <w:basedOn w:val="TableNormal"/>
    <w:next w:val="GridTable2-Accent1"/>
    <w:uiPriority w:val="47"/>
    <w:rsid w:val="00CD3D2F"/>
    <w:pPr>
      <w:spacing w:after="0" w:line="240" w:lineRule="auto"/>
    </w:pPr>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22">
    <w:name w:val="Grid Table 2 - Accent 22"/>
    <w:basedOn w:val="TableNormal"/>
    <w:next w:val="GridTable2-Accent2"/>
    <w:uiPriority w:val="47"/>
    <w:rsid w:val="00CD3D2F"/>
    <w:pPr>
      <w:spacing w:after="0" w:line="240" w:lineRule="auto"/>
    </w:pPr>
    <w:rPr>
      <w:rFonts w:eastAsiaTheme="minorEastAsi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2">
    <w:name w:val="Grid Table 2 - Accent 32"/>
    <w:basedOn w:val="TableNormal"/>
    <w:next w:val="GridTable2-Accent3"/>
    <w:uiPriority w:val="47"/>
    <w:rsid w:val="00CD3D2F"/>
    <w:pPr>
      <w:spacing w:after="0" w:line="240" w:lineRule="auto"/>
    </w:pPr>
    <w:rPr>
      <w:rFonts w:eastAsiaTheme="minorEastAsia"/>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4">
    <w:name w:val="Grid Table 4 - Accent 14"/>
    <w:basedOn w:val="TableNormal"/>
    <w:next w:val="GridTable4-Accent1"/>
    <w:uiPriority w:val="49"/>
    <w:rsid w:val="00CD3D2F"/>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2">
    <w:name w:val="Grid Table 22"/>
    <w:basedOn w:val="TableNormal"/>
    <w:next w:val="GridTable2"/>
    <w:uiPriority w:val="47"/>
    <w:rsid w:val="00CD3D2F"/>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2">
    <w:name w:val="Grid Table 3 - Accent 12"/>
    <w:basedOn w:val="TableNormal"/>
    <w:next w:val="GridTable3-Accent1"/>
    <w:uiPriority w:val="48"/>
    <w:rsid w:val="00CD3D2F"/>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1Light-Accent62">
    <w:name w:val="Grid Table 1 Light - Accent 62"/>
    <w:basedOn w:val="TableNormal"/>
    <w:next w:val="GridTable1Light-Accent6"/>
    <w:uiPriority w:val="46"/>
    <w:rsid w:val="00CD3D2F"/>
    <w:pPr>
      <w:spacing w:after="0" w:line="240" w:lineRule="auto"/>
    </w:pPr>
    <w:rPr>
      <w:rFonts w:eastAsiaTheme="minorEastAsia"/>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CD3D2F"/>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2-Accent22">
    <w:name w:val="List Table 2 - Accent 22"/>
    <w:basedOn w:val="TableNormal"/>
    <w:next w:val="ListTable2-Accent2"/>
    <w:uiPriority w:val="47"/>
    <w:rsid w:val="00CD3D2F"/>
    <w:pPr>
      <w:spacing w:after="0" w:line="240" w:lineRule="auto"/>
    </w:pPr>
    <w:rPr>
      <w:rFonts w:eastAsiaTheme="minorEastAsia"/>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12">
    <w:name w:val="List Table 2 - Accent 12"/>
    <w:basedOn w:val="TableNormal"/>
    <w:next w:val="ListTable2-Accent1"/>
    <w:uiPriority w:val="47"/>
    <w:rsid w:val="00CD3D2F"/>
    <w:pPr>
      <w:spacing w:after="0" w:line="240" w:lineRule="auto"/>
    </w:pPr>
    <w:rPr>
      <w:rFonts w:eastAsiaTheme="minorEastAsia"/>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3">
    <w:name w:val="List Table 1 Light - Accent 23"/>
    <w:basedOn w:val="TableNormal"/>
    <w:next w:val="ListTable1Light-Accent2"/>
    <w:uiPriority w:val="46"/>
    <w:rsid w:val="00CD3D2F"/>
    <w:pPr>
      <w:spacing w:after="0" w:line="240" w:lineRule="auto"/>
    </w:pPr>
    <w:rPr>
      <w:rFonts w:eastAsiaTheme="minorEastAsia"/>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2">
    <w:name w:val="List Table 1 Light - Accent 12"/>
    <w:basedOn w:val="TableNormal"/>
    <w:next w:val="ListTable1Light-Accent1"/>
    <w:uiPriority w:val="46"/>
    <w:rsid w:val="00CD3D2F"/>
    <w:pPr>
      <w:spacing w:after="0" w:line="240" w:lineRule="auto"/>
    </w:pPr>
    <w:rPr>
      <w:rFonts w:eastAsiaTheme="minorEastAsia"/>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2">
    <w:name w:val="Grid Table 4 - Accent 22"/>
    <w:basedOn w:val="TableNormal"/>
    <w:next w:val="GridTable4-Accent2"/>
    <w:uiPriority w:val="49"/>
    <w:rsid w:val="00CD3D2F"/>
    <w:pPr>
      <w:spacing w:after="0" w:line="240" w:lineRule="auto"/>
    </w:pPr>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3">
    <w:name w:val="List Table 6 Colorful - Accent 23"/>
    <w:basedOn w:val="TableNormal"/>
    <w:next w:val="ListTable6Colorful-Accent2"/>
    <w:uiPriority w:val="51"/>
    <w:rsid w:val="00CD3D2F"/>
    <w:pPr>
      <w:spacing w:after="0" w:line="240" w:lineRule="auto"/>
    </w:pPr>
    <w:rPr>
      <w:rFonts w:eastAsiaTheme="minorEastAsia"/>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12">
    <w:name w:val="List Table 3 - Accent 12"/>
    <w:basedOn w:val="TableNormal"/>
    <w:next w:val="ListTable3-Accent1"/>
    <w:uiPriority w:val="48"/>
    <w:rsid w:val="00CD3D2F"/>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5Dark-Accent12">
    <w:name w:val="Grid Table 5 Dark - Accent 12"/>
    <w:basedOn w:val="TableNormal"/>
    <w:next w:val="GridTable5Dark-Accent1"/>
    <w:uiPriority w:val="50"/>
    <w:rsid w:val="00CD3D2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Accent12">
    <w:name w:val="List Table 4 - Accent 12"/>
    <w:basedOn w:val="TableNormal"/>
    <w:next w:val="ListTable4-Accent1"/>
    <w:uiPriority w:val="49"/>
    <w:rsid w:val="00CD3D2F"/>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2">
    <w:name w:val="Grid Table 6 Colorful - Accent 12"/>
    <w:basedOn w:val="TableNormal"/>
    <w:next w:val="GridTable6Colorful-Accent1"/>
    <w:uiPriority w:val="51"/>
    <w:rsid w:val="00CD3D2F"/>
    <w:pPr>
      <w:spacing w:after="0" w:line="240" w:lineRule="auto"/>
    </w:pPr>
    <w:rPr>
      <w:rFonts w:eastAsiaTheme="minorEastAsia"/>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5">
    <w:name w:val="Grid Table 4 - Accent 15"/>
    <w:basedOn w:val="TableNormal"/>
    <w:next w:val="GridTable4-Accent1"/>
    <w:uiPriority w:val="49"/>
    <w:rsid w:val="00CD3D2F"/>
    <w:pPr>
      <w:spacing w:after="0" w:line="240" w:lineRule="auto"/>
    </w:pPr>
    <w:rPr>
      <w:rFonts w:eastAsiaTheme="minorEastAsia"/>
    </w:rPr>
    <w:tblPr>
      <w:tblStyleRowBandSize w:val="1"/>
      <w:tblStyleColBandSize w:val="1"/>
      <w:tblBorders>
        <w:top w:val="single" w:sz="4" w:space="0" w:color="5F5FC9"/>
        <w:left w:val="single" w:sz="4" w:space="0" w:color="5F5FC9"/>
        <w:bottom w:val="single" w:sz="4" w:space="0" w:color="5F5FC9"/>
        <w:right w:val="single" w:sz="4" w:space="0" w:color="5F5FC9"/>
        <w:insideH w:val="single" w:sz="4" w:space="0" w:color="5F5FC9"/>
        <w:insideV w:val="single" w:sz="4" w:space="0" w:color="5F5FC9"/>
      </w:tblBorders>
    </w:tblPr>
    <w:tblStylePr w:type="firstRow">
      <w:rPr>
        <w:b/>
        <w:bCs/>
        <w:color w:val="FFFFFF"/>
      </w:rPr>
      <w:tblPr/>
      <w:tcPr>
        <w:tcBorders>
          <w:top w:val="single" w:sz="4" w:space="0" w:color="272774"/>
          <w:left w:val="single" w:sz="4" w:space="0" w:color="272774"/>
          <w:bottom w:val="single" w:sz="4" w:space="0" w:color="272774"/>
          <w:right w:val="single" w:sz="4" w:space="0" w:color="272774"/>
          <w:insideH w:val="nil"/>
          <w:insideV w:val="nil"/>
        </w:tcBorders>
        <w:shd w:val="clear" w:color="auto" w:fill="272774"/>
      </w:tcPr>
    </w:tblStylePr>
    <w:tblStylePr w:type="lastRow">
      <w:rPr>
        <w:b/>
        <w:bCs/>
      </w:rPr>
      <w:tblPr/>
      <w:tcPr>
        <w:tcBorders>
          <w:top w:val="double" w:sz="4" w:space="0" w:color="272774"/>
        </w:tcBorders>
      </w:tcPr>
    </w:tblStylePr>
    <w:tblStylePr w:type="firstCol">
      <w:rPr>
        <w:b/>
        <w:bCs/>
      </w:rPr>
    </w:tblStylePr>
    <w:tblStylePr w:type="lastCol">
      <w:rPr>
        <w:b/>
        <w:bCs/>
      </w:rPr>
    </w:tblStylePr>
    <w:tblStylePr w:type="band1Vert">
      <w:tblPr/>
      <w:tcPr>
        <w:shd w:val="clear" w:color="auto" w:fill="C9C9ED"/>
      </w:tcPr>
    </w:tblStylePr>
    <w:tblStylePr w:type="band1Horz">
      <w:tblPr/>
      <w:tcPr>
        <w:shd w:val="clear" w:color="auto" w:fill="C9C9ED"/>
      </w:tcPr>
    </w:tblStylePr>
  </w:style>
  <w:style w:type="character" w:styleId="LineNumber">
    <w:name w:val="line number"/>
    <w:basedOn w:val="DefaultParagraphFont"/>
    <w:uiPriority w:val="99"/>
    <w:semiHidden/>
    <w:unhideWhenUsed/>
    <w:rsid w:val="00CD3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 TargetMode="External"/><Relationship Id="rId13" Type="http://schemas.openxmlformats.org/officeDocument/2006/relationships/hyperlink" Target="https://www.ncbi.nlm.nih.gov/research/coronavirus/" TargetMode="External"/><Relationship Id="rId18" Type="http://schemas.openxmlformats.org/officeDocument/2006/relationships/hyperlink" Target="https://doi.org/10.1136/bmj.m606" TargetMode="External"/><Relationship Id="rId3" Type="http://schemas.openxmlformats.org/officeDocument/2006/relationships/settings" Target="settings.xml"/><Relationship Id="rId21" Type="http://schemas.openxmlformats.org/officeDocument/2006/relationships/hyperlink" Target="https://doi.org/10.1007/s00134-020-05991-x" TargetMode="External"/><Relationship Id="rId7" Type="http://schemas.openxmlformats.org/officeDocument/2006/relationships/hyperlink" Target="https://www.cadth.ca/resources/finding-evidence/strings-attached-cadths-database-search-filters" TargetMode="External"/><Relationship Id="rId12" Type="http://schemas.openxmlformats.org/officeDocument/2006/relationships/hyperlink" Target="https://covid.cadth.ca/literature-searching-tools/cadth-covid-19-search-strings/" TargetMode="External"/><Relationship Id="rId17" Type="http://schemas.openxmlformats.org/officeDocument/2006/relationships/hyperlink" Target="https://doi.org/10.1001/jama.2020.158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83/13993003.00547-2020" TargetMode="External"/><Relationship Id="rId20" Type="http://schemas.openxmlformats.org/officeDocument/2006/relationships/hyperlink" Target="https://doi.org/10.1056/NEJMc2010419" TargetMode="External"/><Relationship Id="rId1" Type="http://schemas.openxmlformats.org/officeDocument/2006/relationships/numbering" Target="numbering.xml"/><Relationship Id="rId6" Type="http://schemas.openxmlformats.org/officeDocument/2006/relationships/hyperlink" Target="https://www.sign.ac.uk/what-we-do/methodology/search-filters/" TargetMode="External"/><Relationship Id="rId11" Type="http://schemas.openxmlformats.org/officeDocument/2006/relationships/hyperlink" Target="https://www.cadth.ca/resources/finding-evidence/strings-attached-cadths-database-search-filters" TargetMode="External"/><Relationship Id="rId24" Type="http://schemas.openxmlformats.org/officeDocument/2006/relationships/fontTable" Target="fontTable.xml"/><Relationship Id="rId5" Type="http://schemas.openxmlformats.org/officeDocument/2006/relationships/hyperlink" Target="https://covid.cadth.ca/literature-searching-tools/cadth-covid-19-search-strings/" TargetMode="External"/><Relationship Id="rId15" Type="http://schemas.openxmlformats.org/officeDocument/2006/relationships/hyperlink" Target="https://doi.org/10.1016/s0140-6736(20)30183-5" TargetMode="External"/><Relationship Id="rId23" Type="http://schemas.openxmlformats.org/officeDocument/2006/relationships/package" Target="embeddings/Microsoft_Excel_Worksheet.xlsx"/><Relationship Id="rId10" Type="http://schemas.openxmlformats.org/officeDocument/2006/relationships/hyperlink" Target="https://www.sign.ac.uk/what-we-do/methodology/search-filters/" TargetMode="External"/><Relationship Id="rId19" Type="http://schemas.openxmlformats.org/officeDocument/2006/relationships/hyperlink" Target="https://doi.org/10.1016/s0140-6736(20)30211-7" TargetMode="External"/><Relationship Id="rId4" Type="http://schemas.openxmlformats.org/officeDocument/2006/relationships/webSettings" Target="webSettings.xml"/><Relationship Id="rId9" Type="http://schemas.openxmlformats.org/officeDocument/2006/relationships/hyperlink" Target="https://covid.cadth.ca/literature-searching-tools/cadth-covid-19-search-strings/" TargetMode="External"/><Relationship Id="rId14" Type="http://schemas.openxmlformats.org/officeDocument/2006/relationships/hyperlink" Target="https://www.medrxiv.org/" TargetMode="External"/><Relationship Id="rId22"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6906</Words>
  <Characters>39368</Characters>
  <Application>Microsoft Office Word</Application>
  <DocSecurity>0</DocSecurity>
  <Lines>328</Lines>
  <Paragraphs>92</Paragraphs>
  <ScaleCrop>false</ScaleCrop>
  <Company/>
  <LinksUpToDate>false</LinksUpToDate>
  <CharactersWithSpaces>46182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Fayolah [JRDUS]</dc:creator>
  <cp:keywords/>
  <dc:description/>
  <cp:lastModifiedBy>Claudia Bartle</cp:lastModifiedBy>
  <cp:revision>4</cp:revision>
  <dcterms:created xsi:type="dcterms:W3CDTF">2021-11-03T18:00:00Z</dcterms:created>
  <dcterms:modified xsi:type="dcterms:W3CDTF">2022-03-06T22:52:00Z</dcterms:modified>
</cp:coreProperties>
</file>