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EA609" w14:textId="14B07963" w:rsidR="006B7C43" w:rsidRPr="004E2CF8" w:rsidRDefault="006B7C43" w:rsidP="006B7C43">
      <w:pPr>
        <w:spacing w:after="0" w:line="480" w:lineRule="auto"/>
        <w:jc w:val="lowKashida"/>
        <w:rPr>
          <w:rFonts w:ascii="Times New Roman" w:hAnsi="Times New Roman" w:cs="Times New Roman"/>
          <w:color w:val="000000"/>
          <w:sz w:val="22"/>
        </w:rPr>
      </w:pPr>
      <w:bookmarkStart w:id="0" w:name="_Hlk89981137"/>
      <w:r w:rsidRPr="004E2CF8">
        <w:rPr>
          <w:rFonts w:ascii="Times New Roman" w:hAnsi="Times New Roman" w:cs="Times New Roman"/>
          <w:b/>
          <w:bCs/>
          <w:color w:val="000000"/>
          <w:sz w:val="22"/>
        </w:rPr>
        <w:t xml:space="preserve">Table </w:t>
      </w:r>
      <w:r w:rsidR="00CA4083">
        <w:rPr>
          <w:rFonts w:ascii="Times New Roman" w:hAnsi="Times New Roman" w:cs="Times New Roman"/>
          <w:b/>
          <w:bCs/>
          <w:color w:val="000000"/>
          <w:sz w:val="22"/>
        </w:rPr>
        <w:t>S</w:t>
      </w:r>
      <w:r w:rsidRPr="004E2CF8">
        <w:rPr>
          <w:rFonts w:ascii="Times New Roman" w:hAnsi="Times New Roman" w:cs="Times New Roman"/>
          <w:b/>
          <w:bCs/>
          <w:color w:val="000000"/>
          <w:sz w:val="22"/>
        </w:rPr>
        <w:t>1</w:t>
      </w:r>
      <w:r w:rsidR="001E5AC3">
        <w:rPr>
          <w:rFonts w:ascii="Times New Roman" w:hAnsi="Times New Roman" w:cs="Times New Roman"/>
          <w:b/>
          <w:bCs/>
          <w:color w:val="000000"/>
          <w:sz w:val="22"/>
        </w:rPr>
        <w:t>.</w:t>
      </w:r>
      <w:r w:rsidRPr="004E2CF8">
        <w:rPr>
          <w:rFonts w:ascii="Times New Roman" w:hAnsi="Times New Roman" w:cs="Times New Roman"/>
          <w:b/>
          <w:bCs/>
          <w:color w:val="000000"/>
          <w:sz w:val="22"/>
        </w:rPr>
        <w:t xml:space="preserve"> </w:t>
      </w:r>
      <w:bookmarkStart w:id="1" w:name="_Hlk89981142"/>
      <w:bookmarkEnd w:id="0"/>
      <w:r w:rsidRPr="004E2CF8">
        <w:rPr>
          <w:rFonts w:ascii="Times New Roman" w:hAnsi="Times New Roman" w:cs="Times New Roman"/>
          <w:color w:val="000000"/>
          <w:sz w:val="22"/>
        </w:rPr>
        <w:t xml:space="preserve">Clinical characteristic of rCDI patients and donors. </w:t>
      </w:r>
    </w:p>
    <w:tbl>
      <w:tblPr>
        <w:tblW w:w="1368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03"/>
        <w:gridCol w:w="699"/>
        <w:gridCol w:w="482"/>
        <w:gridCol w:w="699"/>
        <w:gridCol w:w="793"/>
        <w:gridCol w:w="727"/>
        <w:gridCol w:w="690"/>
        <w:gridCol w:w="765"/>
        <w:gridCol w:w="1020"/>
        <w:gridCol w:w="1304"/>
        <w:gridCol w:w="1067"/>
        <w:gridCol w:w="1299"/>
        <w:gridCol w:w="911"/>
        <w:gridCol w:w="831"/>
        <w:gridCol w:w="708"/>
        <w:gridCol w:w="888"/>
      </w:tblGrid>
      <w:tr w:rsidR="006B7C43" w:rsidRPr="00944762" w14:paraId="03B57632" w14:textId="77777777" w:rsidTr="003523AD">
        <w:trPr>
          <w:trHeight w:val="118"/>
        </w:trPr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F12DF8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17"/>
                <w:szCs w:val="17"/>
              </w:rPr>
            </w:pPr>
            <w:bookmarkStart w:id="2" w:name="RANGE!A1:P36"/>
            <w:bookmarkEnd w:id="1"/>
            <w:r w:rsidRPr="009E24AD"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17"/>
                <w:szCs w:val="17"/>
              </w:rPr>
              <w:t>Sample Number</w:t>
            </w:r>
            <w:bookmarkEnd w:id="2"/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7D6D6B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DB721E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17"/>
                <w:szCs w:val="17"/>
              </w:rPr>
              <w:t>Age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B5D758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17"/>
                <w:szCs w:val="17"/>
              </w:rPr>
              <w:t>Sex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131AC5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17"/>
                <w:szCs w:val="17"/>
              </w:rPr>
              <w:t>CRP (mg/dL)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F6BC34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17"/>
                <w:szCs w:val="17"/>
              </w:rPr>
              <w:t>Weight (kg)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9ED90D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17"/>
                <w:szCs w:val="17"/>
              </w:rPr>
              <w:t>Height (cm)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F9B079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17"/>
                <w:szCs w:val="17"/>
              </w:rPr>
              <w:t>BMI (kg/m2)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F3E966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17"/>
                <w:szCs w:val="17"/>
              </w:rPr>
              <w:t>Underlying Disease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4DC6EB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17"/>
                <w:szCs w:val="17"/>
              </w:rPr>
              <w:t>Hospitalization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D50F8C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17"/>
                <w:szCs w:val="17"/>
              </w:rPr>
              <w:t>Antibiotic therapy in rCDI treatment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C23019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17"/>
                <w:szCs w:val="17"/>
              </w:rPr>
              <w:t>Concomitant therapy before FMT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BBF870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17"/>
                <w:szCs w:val="17"/>
              </w:rPr>
              <w:t>Stool Consistency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36B3DC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17"/>
                <w:szCs w:val="17"/>
              </w:rPr>
              <w:t>CDI Severity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9ECA39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17"/>
                <w:szCs w:val="17"/>
              </w:rPr>
              <w:t>FMT Repeat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C0DB99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17"/>
                <w:szCs w:val="17"/>
              </w:rPr>
              <w:t>Donors Relation to Recipient</w:t>
            </w:r>
          </w:p>
        </w:tc>
      </w:tr>
      <w:tr w:rsidR="006B7C43" w:rsidRPr="00944762" w14:paraId="0AED3FED" w14:textId="77777777" w:rsidTr="003523AD">
        <w:trPr>
          <w:trHeight w:val="286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40812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1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6854F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Patient 1, Pre- FMT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521AE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23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A0553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Male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B1753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17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A7A49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108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1FFA9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190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9D8A0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29.6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85110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IBD (UC)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A8B9B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No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AAD60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Vancomycin 125 mg given 4 times daily for 10 days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9FD4B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 xml:space="preserve">Anti-TNF alpha (infliximab) 40 mg/fortnight, </w:t>
            </w:r>
            <w:proofErr w:type="spellStart"/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Asacol</w:t>
            </w:r>
            <w:proofErr w:type="spellEnd"/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 xml:space="preserve"> tablets 3200 mg/day, one </w:t>
            </w:r>
            <w:proofErr w:type="spellStart"/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Asacol</w:t>
            </w:r>
            <w:proofErr w:type="spellEnd"/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 xml:space="preserve"> suppository every night, one </w:t>
            </w:r>
            <w:proofErr w:type="spellStart"/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Asacol</w:t>
            </w:r>
            <w:proofErr w:type="spellEnd"/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 xml:space="preserve"> enema every night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6C950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Watery-Bloody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5DC34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Mild-to-moderate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D7E13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A67CE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Mother</w:t>
            </w:r>
          </w:p>
        </w:tc>
      </w:tr>
      <w:tr w:rsidR="006B7C43" w:rsidRPr="00944762" w14:paraId="29C0B09B" w14:textId="77777777" w:rsidTr="003523AD">
        <w:trPr>
          <w:trHeight w:val="163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A24C3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2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1397C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Patient 1, Post- FMT, Second week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7326C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6340C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Male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478FE4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80E60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107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C25C3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155C0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29.6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36B29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2EE85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No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529FF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Vancomycin 500 mg given 4 times daily for 10 days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918FE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09DB1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E6BD7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BD718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479234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</w:tr>
      <w:tr w:rsidR="006B7C43" w:rsidRPr="00944762" w14:paraId="3E468406" w14:textId="77777777" w:rsidTr="003523AD">
        <w:trPr>
          <w:trHeight w:val="121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3EA5F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3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323F7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Patient 1, Post- FMT, Eighth week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79252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53A98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Male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594C9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9CC5F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107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21AD2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BE0FB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29.6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2A5DF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227B1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No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9764F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Vancomycin 500 mg given 4 times daily for 10 days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C99B3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716288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DFB02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36261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1F73C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</w:tr>
      <w:tr w:rsidR="006B7C43" w:rsidRPr="00944762" w14:paraId="431CBF89" w14:textId="77777777" w:rsidTr="003523AD">
        <w:trPr>
          <w:trHeight w:val="81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3C21B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4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A5D2C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Donor for patient 1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5593F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58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D8DE5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Female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95306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2D5EF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619F9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AF51BA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F388C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8FC86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C53DB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9D4B9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280B7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0DF92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DBDE1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A3269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</w:tr>
      <w:tr w:rsidR="006B7C43" w:rsidRPr="00944762" w14:paraId="3C6C0536" w14:textId="77777777" w:rsidTr="003523AD">
        <w:trPr>
          <w:trHeight w:val="286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CB8FF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1DA63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Patient 2, Pre- FMT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3FA4F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52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66337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Male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92FDC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20.5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E06EE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65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CA38A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178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8ABF20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20.5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2E7E0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IBD (UC)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62728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No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91EDF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Vancomycin 125 mg given 4 times daily for 10 days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215B8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 xml:space="preserve">Anti-TNF alpha (infliximab) 40 mg/fortnight, </w:t>
            </w:r>
            <w:proofErr w:type="spellStart"/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Asacol</w:t>
            </w:r>
            <w:proofErr w:type="spellEnd"/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 xml:space="preserve"> tablets 3200 mg/day, one </w:t>
            </w:r>
            <w:proofErr w:type="spellStart"/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Asacol</w:t>
            </w:r>
            <w:proofErr w:type="spellEnd"/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 xml:space="preserve"> suppository every night, one </w:t>
            </w:r>
            <w:proofErr w:type="spellStart"/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Asacol</w:t>
            </w:r>
            <w:proofErr w:type="spellEnd"/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 xml:space="preserve"> enema every night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82356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Watery-Bloody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07EE0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Mild-to-moderate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008AD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9C29E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bookmarkStart w:id="3" w:name="RANGE!P6"/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Cousin</w:t>
            </w:r>
            <w:bookmarkEnd w:id="3"/>
          </w:p>
        </w:tc>
      </w:tr>
      <w:tr w:rsidR="006B7C43" w:rsidRPr="00944762" w14:paraId="0DDFF7AF" w14:textId="77777777" w:rsidTr="003523AD">
        <w:trPr>
          <w:trHeight w:val="163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0ABFB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lastRenderedPageBreak/>
              <w:t>6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27AF8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Patient 2, Post- FMT, Second week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48489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D7321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Male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E6A076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21.4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6C926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65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FA16F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0BEB7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20.5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176CF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7A536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No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9E36E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Vancomycin 500 mg given 4 times daily for 10 days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6D27F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61C51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92285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E3304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ED1B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</w:tr>
      <w:tr w:rsidR="006B7C43" w:rsidRPr="00944762" w14:paraId="49BBDFFD" w14:textId="77777777" w:rsidTr="003523AD">
        <w:trPr>
          <w:trHeight w:val="121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2DA400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7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99361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Patient 2, Post- FMT, Eighth week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7C1FD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9C0E7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Male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A4E63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21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DF817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66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3792D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C7F9F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20.8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8F384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2F96D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No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7A8B6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Vancomycin 500 mg given 4 times daily for 10 days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006FC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8EC94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8CD58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A922C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6565C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</w:tr>
      <w:tr w:rsidR="006B7C43" w:rsidRPr="00944762" w14:paraId="7F595017" w14:textId="77777777" w:rsidTr="003523AD">
        <w:trPr>
          <w:trHeight w:val="81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CBB36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8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6D956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Donor for patient 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CA677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38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ADE34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Female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B227E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71F0E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F2969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48C5E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9C937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91F5D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53190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B4809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78298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9EEB1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6BE3C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CFE01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</w:tr>
      <w:tr w:rsidR="006B7C43" w:rsidRPr="00944762" w14:paraId="255A0822" w14:textId="77777777" w:rsidTr="003523AD">
        <w:trPr>
          <w:trHeight w:val="328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2797E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9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BA96A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Patient 3, Pre- FMT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F5520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45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16BCB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Male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102F2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12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ABA3B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55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74BBE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162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1777D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20.5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1CA7B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IBD (UC)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1A2E2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No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2758B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Vancomycin 125 mg given 4 times daily for 10 days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42D3D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 xml:space="preserve">Anti-TNF alpha (infliximab) 40 mg/fortnight, </w:t>
            </w:r>
            <w:proofErr w:type="spellStart"/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Asacol</w:t>
            </w:r>
            <w:proofErr w:type="spellEnd"/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 xml:space="preserve"> tablets 3200 mg/day, one </w:t>
            </w:r>
            <w:proofErr w:type="spellStart"/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Asacol</w:t>
            </w:r>
            <w:proofErr w:type="spellEnd"/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 xml:space="preserve"> suppository every night, one </w:t>
            </w:r>
            <w:proofErr w:type="spellStart"/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Asacol</w:t>
            </w:r>
            <w:proofErr w:type="spellEnd"/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 xml:space="preserve"> enema every night, Azathioprine tablet 200 mg/day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84B88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Watery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6A076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Mild-to-moderate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1692AD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2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5DF73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Brother</w:t>
            </w:r>
          </w:p>
        </w:tc>
      </w:tr>
      <w:tr w:rsidR="006B7C43" w:rsidRPr="00944762" w14:paraId="43F80E3D" w14:textId="77777777" w:rsidTr="003523AD">
        <w:trPr>
          <w:trHeight w:val="163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6D387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D86FB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Patient 3, Post- FMT, Second week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03A14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0E482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Male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B47DD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0ADB1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64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745948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921445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21.4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0713C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A4E04B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No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3D5A63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Vancomycin 500 mg given 4 times daily for 10 days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C16A32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3DF06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5FC15F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A2B56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D4334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</w:tr>
      <w:tr w:rsidR="006B7C43" w:rsidRPr="00944762" w14:paraId="322785DA" w14:textId="77777777" w:rsidTr="003523AD">
        <w:trPr>
          <w:trHeight w:val="121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706AA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11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76CB2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Patient 3, Post- FMT, Eighth week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1A056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0DB82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Male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1E304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EF3A8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64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660C1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A9519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21.4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69068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EEC0E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No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29BBE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Vancomycin 500 mg given 4 times daily for 10 days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DACE1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DF9F2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A9A52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3F1AB9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F10A5D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</w:tr>
      <w:tr w:rsidR="006B7C43" w:rsidRPr="00944762" w14:paraId="66B5F498" w14:textId="77777777" w:rsidTr="003523AD">
        <w:trPr>
          <w:trHeight w:val="81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6BD89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12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1F33C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 xml:space="preserve">Donor for </w:t>
            </w: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lastRenderedPageBreak/>
              <w:t>patient 3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CFCB1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lastRenderedPageBreak/>
              <w:t>40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6FF79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Female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3A864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FB93A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1C90D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ADB01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082C5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56507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1B6DA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0A608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E5CC5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9BF92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56FAE3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3AECF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</w:tr>
      <w:tr w:rsidR="006B7C43" w:rsidRPr="00944762" w14:paraId="0E3AE8D9" w14:textId="77777777" w:rsidTr="003523AD">
        <w:trPr>
          <w:trHeight w:val="163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754A4D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13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05911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Patient 3, Post- FMT, Four months later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5CCFF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63B17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Male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59CC7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8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C3357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64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A8186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7C140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21.4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DB0B5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0DE5B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No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F114B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7219F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18D28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0FA72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4B9C3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73937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</w:tr>
      <w:tr w:rsidR="006B7C43" w:rsidRPr="00944762" w14:paraId="1955C2D9" w14:textId="77777777" w:rsidTr="003523AD">
        <w:trPr>
          <w:trHeight w:val="163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37599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14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31ADD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Donor for patient 3, Four months later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A778A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8A84C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Female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D4A2C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3364D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770A47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D22B9F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046D5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A2B92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68A36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60EAFF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40703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DD7C8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BD765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2F8F5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</w:tr>
      <w:tr w:rsidR="006B7C43" w:rsidRPr="00944762" w14:paraId="24845C51" w14:textId="77777777" w:rsidTr="003523AD">
        <w:trPr>
          <w:trHeight w:val="246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0AB6B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15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CDE45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Patient 4, Pre- FMT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7D1F5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37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E9C7E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Male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64440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14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500BF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63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A93C1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178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30A0A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19.8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4DA94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IBD (UC)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23B68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Yes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DBDE0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Vancomycin 125 mg given 4 times daily for 10 days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A23F2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Anti-TNF alpha (infliximab) 40 mg/ fortnight, Azathioprine tablet 200 mg/day, Sulfasalazine 2000 mg/day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1F87E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Watery-Bloody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26E419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Mild-to-moderate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96354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47BF6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Friend</w:t>
            </w:r>
          </w:p>
        </w:tc>
      </w:tr>
      <w:tr w:rsidR="006B7C43" w:rsidRPr="00944762" w14:paraId="2FC11281" w14:textId="77777777" w:rsidTr="003523AD">
        <w:trPr>
          <w:trHeight w:val="163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66200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16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A53EC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Patient 4, Post- FMT, Second week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247E0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C0643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Male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9006B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2160A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75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43934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342E1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23.6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9740C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5E70C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Yes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D8668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Vancomycin 500 mg given 4 times daily for 10 days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EA35D2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1FA4CF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028C23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70D22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F92D7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</w:tr>
      <w:tr w:rsidR="006B7C43" w:rsidRPr="00944762" w14:paraId="6A0A5E85" w14:textId="77777777" w:rsidTr="003523AD">
        <w:trPr>
          <w:trHeight w:val="121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FB4E2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17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B09A9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Patient 4, Post- FMT, Eighth week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E5DC7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07CC7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Male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F9DD5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6CF6C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75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009F3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7A6D17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23.6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805F1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8A853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Yes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E2D5A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Vancomycin 500 mg given 4 times daily for 10 days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EAE30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D2EC5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781269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70DA0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8297E7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</w:tr>
      <w:tr w:rsidR="006B7C43" w:rsidRPr="00944762" w14:paraId="7E12F94F" w14:textId="77777777" w:rsidTr="003523AD">
        <w:trPr>
          <w:trHeight w:val="81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8F9D9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18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5B207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Donor for patient 4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B9939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35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20203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Female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412EC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69570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FE23F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76EC5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133E9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16242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37E67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51C25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59269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2E66E3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DFAC5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A1C0E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</w:tr>
      <w:tr w:rsidR="006B7C43" w:rsidRPr="00944762" w14:paraId="7CC5651F" w14:textId="77777777" w:rsidTr="003523AD">
        <w:trPr>
          <w:trHeight w:val="286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33CB1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19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C28D7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Patient 5, Pre- FMT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7B870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33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B95F3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Male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46F61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13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1CFDB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54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FC273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165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390F8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19.8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D2FBF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IBD (UC)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D67F6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No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A1D56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 xml:space="preserve">Vancomycin 125 mg given 4 </w:t>
            </w: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lastRenderedPageBreak/>
              <w:t>times daily for 10 days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44555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lastRenderedPageBreak/>
              <w:t xml:space="preserve">Anti-TNF alpha (infliximab) 40 mg/fortnight, </w:t>
            </w:r>
            <w:proofErr w:type="spellStart"/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Asacol</w:t>
            </w:r>
            <w:proofErr w:type="spellEnd"/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 xml:space="preserve"> tablets </w:t>
            </w: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lastRenderedPageBreak/>
              <w:t xml:space="preserve">3200 mg/day, one </w:t>
            </w:r>
            <w:proofErr w:type="spellStart"/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Asacol</w:t>
            </w:r>
            <w:proofErr w:type="spellEnd"/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 xml:space="preserve"> suppository every night, one </w:t>
            </w:r>
            <w:proofErr w:type="spellStart"/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Asacol</w:t>
            </w:r>
            <w:proofErr w:type="spellEnd"/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 xml:space="preserve"> enema every night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4A699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lastRenderedPageBreak/>
              <w:t>Watery-Bloody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C7F174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Mild-to-moderate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86DFFC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B8F4D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Brother</w:t>
            </w:r>
          </w:p>
        </w:tc>
      </w:tr>
      <w:tr w:rsidR="006B7C43" w:rsidRPr="00944762" w14:paraId="35241AFF" w14:textId="77777777" w:rsidTr="003523AD">
        <w:trPr>
          <w:trHeight w:val="163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54289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20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64761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Patient 5, Post- FMT, Second week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D2443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4F7E2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Male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C64EE7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7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DB76D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56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2C3AF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A10C6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20.5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27409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A8410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No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95152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Vancomycin 500 mg given 4 times daily for 10 days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1AC34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4812A4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00FEC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F8B40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E1122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</w:tr>
      <w:tr w:rsidR="006B7C43" w:rsidRPr="00944762" w14:paraId="619FE32F" w14:textId="77777777" w:rsidTr="003523AD">
        <w:trPr>
          <w:trHeight w:val="121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C73B7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21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00D78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Patient 5, Post- FMT, Eighth week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19433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F600A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Male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42E9B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7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CDB63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56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907BB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A7590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20.5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CECFA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C2097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No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B1EAA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Vancomycin 500 mg given 4 times daily for 10 days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4497B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3D8EA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E54BB3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5B877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28E0B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</w:tr>
      <w:tr w:rsidR="006B7C43" w:rsidRPr="00944762" w14:paraId="44BBD3FF" w14:textId="77777777" w:rsidTr="003523AD">
        <w:trPr>
          <w:trHeight w:val="81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B5BD6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22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F11CE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Donor for patient 5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B0FB6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37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686F7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Male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4A75E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5A1E2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021AF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91475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2BD32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10832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4489F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2C92A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C1C15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E4AF0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DB607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CE00A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</w:tr>
      <w:tr w:rsidR="006B7C43" w:rsidRPr="00944762" w14:paraId="3F134D22" w14:textId="77777777" w:rsidTr="003523AD">
        <w:trPr>
          <w:trHeight w:val="163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0C675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23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A7B21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Patient 6, Pre- FMT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267F2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60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A8947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Female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144E2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12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C4EA5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68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1E0C9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168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97ED8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42008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IBD (UC)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D742C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No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EAEB4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Vancomycin 125 mg given 4 times daily for 10 days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0E664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 xml:space="preserve">Anti-TNF alpha (infliximab) 40 mg/fortnight, Azathioprine tablet 200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34A3D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Watery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4040B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Mild-to-moderate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BD377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BC6248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Son-in-law</w:t>
            </w:r>
          </w:p>
        </w:tc>
      </w:tr>
      <w:tr w:rsidR="006B7C43" w:rsidRPr="00944762" w14:paraId="39A848CB" w14:textId="77777777" w:rsidTr="003523AD">
        <w:trPr>
          <w:trHeight w:val="163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2D742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24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8EADF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Patient 6, Post- FMT, Second week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75C6E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1C59F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Female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7408C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42841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70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926F3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7E9E1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24.8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544005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8E426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No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54198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Vancomycin 500 mg given 4 times daily for 10 days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2627A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89858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94062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7D655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62F7B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</w:tr>
      <w:tr w:rsidR="006B7C43" w:rsidRPr="00944762" w14:paraId="6898FC80" w14:textId="77777777" w:rsidTr="003523AD">
        <w:trPr>
          <w:trHeight w:val="121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D55B0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25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CEE6C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Patient 6, Post- FMT, Eighth week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36286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79ED9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Female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5C186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E1197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70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59483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4F4A73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24.8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7BD9F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25E2B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No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38D8F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Vancomycin 500 mg given 4 times daily for 10 days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A7D31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19D44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AF2B9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7E85D0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057E6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</w:tr>
      <w:tr w:rsidR="006B7C43" w:rsidRPr="00944762" w14:paraId="048A88AA" w14:textId="77777777" w:rsidTr="003523AD">
        <w:trPr>
          <w:trHeight w:val="81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BB4B5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26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06768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Donor for patient 6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BF0F4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38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770E5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Male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2DA22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71521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27777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E0053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F3FCD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F7889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FEA2C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781FC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27EE1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A71E0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F8D0C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2C3B4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</w:tr>
      <w:tr w:rsidR="006B7C43" w:rsidRPr="00944762" w14:paraId="5E9092D7" w14:textId="77777777" w:rsidTr="003523AD">
        <w:trPr>
          <w:trHeight w:val="328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9A50B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lastRenderedPageBreak/>
              <w:t>27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D752E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Patient 7, Pre- FMT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54BEB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24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E208E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Male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3CB8A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16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452F6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78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F7B70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185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F49E2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22.7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246E9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IBD (UC)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70A07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No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8568E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Vancomycin 125 mg given 4 times daily for 10 days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D5F46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 xml:space="preserve">Anti-TNF alpha (infliximab) 40 mg/fortnight, </w:t>
            </w:r>
            <w:proofErr w:type="spellStart"/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Asacol</w:t>
            </w:r>
            <w:proofErr w:type="spellEnd"/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 xml:space="preserve"> tablets 3200 mg/day, one </w:t>
            </w:r>
            <w:proofErr w:type="spellStart"/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Asacol</w:t>
            </w:r>
            <w:proofErr w:type="spellEnd"/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 xml:space="preserve"> suppository every night, one </w:t>
            </w:r>
            <w:proofErr w:type="spellStart"/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Asacol</w:t>
            </w:r>
            <w:proofErr w:type="spellEnd"/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 xml:space="preserve"> enema every night, Azathioprine tablet 200 mg/day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CEA88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Watery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E1EAC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Mild-to-moderate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BA053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2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B2631A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Father</w:t>
            </w:r>
          </w:p>
        </w:tc>
      </w:tr>
      <w:tr w:rsidR="006B7C43" w:rsidRPr="00944762" w14:paraId="3ED99C15" w14:textId="77777777" w:rsidTr="003523AD">
        <w:trPr>
          <w:trHeight w:val="163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E3D5C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28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4EAE9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Patient 7, Post- FMT, Second week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4A31E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291C3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Male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EB3D7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12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61C50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79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927C4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76A0A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BC152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C44FC3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No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4D80A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Vancomycin 500 mg given 4 times daily for 10 days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50B633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A8FB4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7C9AD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0D129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4C72B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</w:tr>
      <w:tr w:rsidR="006B7C43" w:rsidRPr="00944762" w14:paraId="3EF09425" w14:textId="77777777" w:rsidTr="003523AD">
        <w:trPr>
          <w:trHeight w:val="121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594D7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29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BD353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Patient 7, Post- FMT, Eighth week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6DB1E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0B7B6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Male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74823B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12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4E55A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79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F9851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34779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9C3F3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F16B2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No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68733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Vancomycin 500 mg given 4 times daily for 10 days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9D95E2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BB75F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06A12A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18014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B6578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</w:tr>
      <w:tr w:rsidR="006B7C43" w:rsidRPr="00944762" w14:paraId="2DF143DA" w14:textId="77777777" w:rsidTr="003523AD">
        <w:trPr>
          <w:trHeight w:val="81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02A55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30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4BF05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Donor for patient 7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0E8E0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57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2ACD8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Male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DC1A6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AB56E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EF24F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2A71F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25C14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34302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CE721A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C2922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2E773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360868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D719E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CB38E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</w:tr>
      <w:tr w:rsidR="006B7C43" w:rsidRPr="00944762" w14:paraId="4E05BB41" w14:textId="77777777" w:rsidTr="003523AD">
        <w:trPr>
          <w:trHeight w:val="163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4BFF0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31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42770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Donor for patient 7, Four months later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9D7F1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E13BE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Male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815AD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4436B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1B5B35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6B321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2DFA3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A6A92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754A1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68C69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595DF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38445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6395C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366A5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</w:tr>
      <w:tr w:rsidR="006B7C43" w:rsidRPr="00944762" w14:paraId="3F257025" w14:textId="77777777" w:rsidTr="003523AD">
        <w:trPr>
          <w:trHeight w:val="204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D9B5B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32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DDDBB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Patient 8, Pre- FMT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02972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22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2E470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Female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22775A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11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9894B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50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4D4AB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165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F7678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18.3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0A4FA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IBD (CD)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75B3F5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No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58D20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Vancomycin 125 mg given 4 times daily for 10 days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3FDA2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Anti-TNF alpha (infliximab) 40 mg/fortnight, Azathioprine tablet 200 mg/day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6171A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Watery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125D2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Mild-to-moderate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4E05A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3FA839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Sister</w:t>
            </w:r>
          </w:p>
        </w:tc>
      </w:tr>
      <w:tr w:rsidR="006B7C43" w:rsidRPr="00944762" w14:paraId="40A0792A" w14:textId="77777777" w:rsidTr="003523AD">
        <w:trPr>
          <w:trHeight w:val="163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C0254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33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1FD8B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 xml:space="preserve">Patient 8, </w:t>
            </w: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lastRenderedPageBreak/>
              <w:t>Post- FMT, Second week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8C410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6A2B4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Female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CCE33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F4947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50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AFEF6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3F8DC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18.7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FEF36D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CD7ED3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No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769DF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 xml:space="preserve">Vancomycin 500 mg </w:t>
            </w: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lastRenderedPageBreak/>
              <w:t>given 4 times daily for 10 days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58EB8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0E251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6FD1E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92A83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0A96D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</w:tr>
      <w:tr w:rsidR="006B7C43" w:rsidRPr="00944762" w14:paraId="7946CF83" w14:textId="77777777" w:rsidTr="003523AD">
        <w:trPr>
          <w:trHeight w:val="121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50D6F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34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1389C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Patient 8, Post- FMT, Eighth week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597FA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453D2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Female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07ED4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E2ED5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50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7747B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C47A9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18.7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5E1FB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B2DE1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No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BE674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Vancomycin 500 mg given 4 times daily for 10 days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4E88C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A3F2B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61548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B61FE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B2A69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</w:rPr>
            </w:pPr>
          </w:p>
        </w:tc>
      </w:tr>
      <w:tr w:rsidR="006B7C43" w:rsidRPr="00944762" w14:paraId="255E4FB2" w14:textId="77777777" w:rsidTr="003523AD">
        <w:trPr>
          <w:trHeight w:val="81"/>
        </w:trPr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93DED6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35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D8702A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Donor for patient 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53CC7A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25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D860A0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>Female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FFC128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A1C5A4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280192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D0F21D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E52597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DFF0A5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1F94CE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9C526B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129375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AFDF5F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1920B2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0816C4" w14:textId="77777777" w:rsidR="006B7C43" w:rsidRPr="009E24AD" w:rsidRDefault="006B7C43" w:rsidP="003523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</w:pPr>
            <w:r w:rsidRPr="009E24AD">
              <w:rPr>
                <w:rFonts w:ascii="Times New Roman" w:eastAsia="Malgun Gothic" w:hAnsi="Times New Roman" w:cs="Times New Roman"/>
                <w:color w:val="000000"/>
                <w:kern w:val="0"/>
                <w:sz w:val="17"/>
                <w:szCs w:val="17"/>
              </w:rPr>
              <w:t xml:space="preserve">　</w:t>
            </w:r>
          </w:p>
        </w:tc>
      </w:tr>
    </w:tbl>
    <w:p w14:paraId="0CDAAED4" w14:textId="3C71B90F" w:rsidR="00B2181F" w:rsidRDefault="00B2181F" w:rsidP="00A03A1E">
      <w:pPr>
        <w:rPr>
          <w:sz w:val="17"/>
          <w:szCs w:val="17"/>
        </w:rPr>
      </w:pPr>
    </w:p>
    <w:p w14:paraId="3E8D6779" w14:textId="77777777" w:rsidR="0054012C" w:rsidRDefault="0054012C" w:rsidP="00A03A1E">
      <w:pPr>
        <w:rPr>
          <w:sz w:val="17"/>
          <w:szCs w:val="17"/>
        </w:rPr>
        <w:sectPr w:rsidR="0054012C" w:rsidSect="009E24AD">
          <w:footerReference w:type="default" r:id="rId6"/>
          <w:pgSz w:w="16838" w:h="11906" w:orient="landscape"/>
          <w:pgMar w:top="1440" w:right="1701" w:bottom="1440" w:left="1440" w:header="851" w:footer="992" w:gutter="0"/>
          <w:cols w:space="425"/>
          <w:docGrid w:linePitch="360"/>
        </w:sectPr>
      </w:pPr>
    </w:p>
    <w:p w14:paraId="71D53735" w14:textId="7956EEE4" w:rsidR="00B2181F" w:rsidRDefault="00202412" w:rsidP="00202412">
      <w:pPr>
        <w:jc w:val="center"/>
        <w:rPr>
          <w:sz w:val="17"/>
          <w:szCs w:val="17"/>
        </w:rPr>
      </w:pPr>
      <w:r>
        <w:rPr>
          <w:noProof/>
          <w:sz w:val="17"/>
          <w:szCs w:val="17"/>
        </w:rPr>
        <w:lastRenderedPageBreak/>
        <w:drawing>
          <wp:inline distT="0" distB="0" distL="0" distR="0" wp14:anchorId="59C3E391" wp14:editId="0F67B40E">
            <wp:extent cx="4330845" cy="2520000"/>
            <wp:effectExtent l="0" t="0" r="0" b="0"/>
            <wp:docPr id="8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845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80424C" w14:textId="0127FDE3" w:rsidR="000D6F6C" w:rsidRDefault="00202412" w:rsidP="006F5A5F">
      <w:pPr>
        <w:spacing w:line="480" w:lineRule="auto"/>
        <w:jc w:val="center"/>
        <w:rPr>
          <w:rFonts w:ascii="Times New Roman" w:hAnsi="Times New Roman" w:cs="Times New Roman"/>
          <w:b/>
          <w:bCs/>
          <w:szCs w:val="20"/>
        </w:rPr>
      </w:pPr>
      <w:r>
        <w:rPr>
          <w:rFonts w:ascii="Times New Roman" w:hAnsi="Times New Roman" w:cs="Times New Roman"/>
          <w:b/>
          <w:bCs/>
          <w:noProof/>
          <w:szCs w:val="20"/>
        </w:rPr>
        <w:drawing>
          <wp:inline distT="0" distB="0" distL="0" distR="0" wp14:anchorId="69CA23F1" wp14:editId="71DC6AE7">
            <wp:extent cx="4330800" cy="2594573"/>
            <wp:effectExtent l="0" t="0" r="0" b="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800" cy="25945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B006A2" w14:textId="61F707DD" w:rsidR="00204F92" w:rsidRPr="004E2CF8" w:rsidRDefault="00B2181F" w:rsidP="00204F92">
      <w:pPr>
        <w:spacing w:after="0" w:line="480" w:lineRule="auto"/>
        <w:jc w:val="lowKashida"/>
        <w:rPr>
          <w:rFonts w:ascii="Times New Roman" w:hAnsi="Times New Roman" w:cs="Times New Roman"/>
          <w:sz w:val="22"/>
        </w:rPr>
      </w:pPr>
      <w:r w:rsidRPr="004E2CF8">
        <w:rPr>
          <w:rFonts w:ascii="Times New Roman" w:hAnsi="Times New Roman" w:cs="Times New Roman"/>
          <w:b/>
          <w:bCs/>
          <w:color w:val="000000"/>
          <w:sz w:val="22"/>
        </w:rPr>
        <w:t xml:space="preserve">Figure </w:t>
      </w:r>
      <w:r w:rsidR="00CA4083">
        <w:rPr>
          <w:rFonts w:ascii="Times New Roman" w:hAnsi="Times New Roman" w:cs="Times New Roman"/>
          <w:b/>
          <w:bCs/>
          <w:color w:val="000000"/>
          <w:sz w:val="22"/>
        </w:rPr>
        <w:t>S</w:t>
      </w:r>
      <w:r w:rsidRPr="004E2CF8">
        <w:rPr>
          <w:rFonts w:ascii="Times New Roman" w:hAnsi="Times New Roman" w:cs="Times New Roman"/>
          <w:b/>
          <w:bCs/>
          <w:color w:val="000000"/>
          <w:sz w:val="22"/>
        </w:rPr>
        <w:t>1</w:t>
      </w:r>
      <w:r w:rsidR="001E5AC3">
        <w:rPr>
          <w:rFonts w:ascii="Times New Roman" w:hAnsi="Times New Roman" w:cs="Times New Roman"/>
          <w:b/>
          <w:bCs/>
          <w:color w:val="000000"/>
          <w:sz w:val="22"/>
        </w:rPr>
        <w:t>.</w:t>
      </w:r>
      <w:r w:rsidRPr="004E2CF8">
        <w:rPr>
          <w:rFonts w:ascii="Times New Roman" w:hAnsi="Times New Roman" w:cs="Times New Roman"/>
          <w:b/>
          <w:bCs/>
          <w:color w:val="000000"/>
          <w:sz w:val="22"/>
        </w:rPr>
        <w:t xml:space="preserve"> </w:t>
      </w:r>
      <w:r w:rsidR="00204F92" w:rsidRPr="004E2CF8">
        <w:rPr>
          <w:rFonts w:ascii="Times New Roman" w:hAnsi="Times New Roman" w:cs="Times New Roman"/>
          <w:b/>
          <w:bCs/>
          <w:sz w:val="22"/>
        </w:rPr>
        <w:t>a</w:t>
      </w:r>
      <w:r w:rsidR="00204F92" w:rsidRPr="004E2CF8">
        <w:rPr>
          <w:rFonts w:ascii="Times New Roman" w:hAnsi="Times New Roman" w:cs="Times New Roman"/>
          <w:sz w:val="22"/>
        </w:rPr>
        <w:t xml:space="preserve"> </w:t>
      </w:r>
      <w:proofErr w:type="gramStart"/>
      <w:r w:rsidR="00204F92" w:rsidRPr="004E2CF8">
        <w:rPr>
          <w:rFonts w:ascii="Times New Roman" w:hAnsi="Times New Roman" w:cs="Times New Roman"/>
          <w:sz w:val="22"/>
        </w:rPr>
        <w:t>Taxonomic classifications</w:t>
      </w:r>
      <w:proofErr w:type="gramEnd"/>
      <w:r w:rsidR="00204F92" w:rsidRPr="004E2CF8">
        <w:rPr>
          <w:rFonts w:ascii="Times New Roman" w:hAnsi="Times New Roman" w:cs="Times New Roman"/>
          <w:sz w:val="22"/>
        </w:rPr>
        <w:t xml:space="preserve"> of individual rCDI patients at phylum level. </w:t>
      </w:r>
      <w:r w:rsidR="00204F92" w:rsidRPr="004E2CF8">
        <w:rPr>
          <w:rFonts w:ascii="Times New Roman" w:hAnsi="Times New Roman" w:cs="Times New Roman"/>
          <w:b/>
          <w:bCs/>
          <w:sz w:val="22"/>
        </w:rPr>
        <w:t>b</w:t>
      </w:r>
      <w:r w:rsidR="00204F92" w:rsidRPr="004E2CF8">
        <w:rPr>
          <w:rFonts w:ascii="Times New Roman" w:hAnsi="Times New Roman" w:cs="Times New Roman"/>
          <w:sz w:val="22"/>
        </w:rPr>
        <w:t xml:space="preserve"> Taxonomic classifications of individual rCDI patients at order level. </w:t>
      </w:r>
      <w:proofErr w:type="gramStart"/>
      <w:r w:rsidR="00204F92" w:rsidRPr="004E2CF8">
        <w:rPr>
          <w:rFonts w:ascii="Times New Roman" w:hAnsi="Times New Roman" w:cs="Times New Roman"/>
          <w:sz w:val="22"/>
        </w:rPr>
        <w:t>All of</w:t>
      </w:r>
      <w:proofErr w:type="gramEnd"/>
      <w:r w:rsidR="00204F92" w:rsidRPr="004E2CF8">
        <w:rPr>
          <w:rFonts w:ascii="Times New Roman" w:hAnsi="Times New Roman" w:cs="Times New Roman"/>
          <w:sz w:val="22"/>
        </w:rPr>
        <w:t xml:space="preserve"> individual donor samples were described in order of the donor number (</w:t>
      </w:r>
      <w:proofErr w:type="spellStart"/>
      <w:r w:rsidR="00204F92" w:rsidRPr="004E2CF8">
        <w:rPr>
          <w:rFonts w:ascii="Times New Roman" w:hAnsi="Times New Roman" w:cs="Times New Roman"/>
          <w:sz w:val="22"/>
        </w:rPr>
        <w:t>Donor'n</w:t>
      </w:r>
      <w:proofErr w:type="spellEnd"/>
      <w:r w:rsidR="00204F92" w:rsidRPr="004E2CF8">
        <w:rPr>
          <w:rFonts w:ascii="Times New Roman" w:hAnsi="Times New Roman" w:cs="Times New Roman"/>
          <w:sz w:val="22"/>
        </w:rPr>
        <w:t xml:space="preserve">'), and all the numbers of </w:t>
      </w:r>
      <w:proofErr w:type="spellStart"/>
      <w:r w:rsidR="00204F92" w:rsidRPr="004E2CF8">
        <w:rPr>
          <w:rFonts w:ascii="Times New Roman" w:hAnsi="Times New Roman" w:cs="Times New Roman"/>
          <w:sz w:val="22"/>
        </w:rPr>
        <w:t>rCDI</w:t>
      </w:r>
      <w:proofErr w:type="spellEnd"/>
      <w:r w:rsidR="00204F92" w:rsidRPr="004E2CF8">
        <w:rPr>
          <w:rFonts w:ascii="Times New Roman" w:hAnsi="Times New Roman" w:cs="Times New Roman"/>
          <w:sz w:val="22"/>
        </w:rPr>
        <w:t xml:space="preserve"> patients (</w:t>
      </w:r>
      <w:proofErr w:type="spellStart"/>
      <w:r w:rsidR="00204F92" w:rsidRPr="004E2CF8">
        <w:rPr>
          <w:rFonts w:ascii="Times New Roman" w:hAnsi="Times New Roman" w:cs="Times New Roman"/>
          <w:sz w:val="22"/>
        </w:rPr>
        <w:t>P'n</w:t>
      </w:r>
      <w:proofErr w:type="spellEnd"/>
      <w:r w:rsidR="00204F92" w:rsidRPr="004E2CF8">
        <w:rPr>
          <w:rFonts w:ascii="Times New Roman" w:hAnsi="Times New Roman" w:cs="Times New Roman"/>
          <w:sz w:val="22"/>
        </w:rPr>
        <w:t>') were designated as those of donors.</w:t>
      </w:r>
    </w:p>
    <w:p w14:paraId="6E1B4497" w14:textId="77777777" w:rsidR="004E2CF8" w:rsidRDefault="004E2CF8" w:rsidP="00A03A1E">
      <w:pPr>
        <w:rPr>
          <w:sz w:val="17"/>
          <w:szCs w:val="17"/>
        </w:rPr>
        <w:sectPr w:rsidR="004E2CF8" w:rsidSect="00C767B8">
          <w:pgSz w:w="11906" w:h="16838"/>
          <w:pgMar w:top="1701" w:right="1440" w:bottom="1440" w:left="1440" w:header="851" w:footer="992" w:gutter="0"/>
          <w:cols w:space="425"/>
          <w:docGrid w:linePitch="360"/>
        </w:sectPr>
      </w:pPr>
    </w:p>
    <w:p w14:paraId="1B2DA49E" w14:textId="233147BF" w:rsidR="00C767B8" w:rsidRDefault="00C767B8" w:rsidP="00A03A1E">
      <w:pPr>
        <w:rPr>
          <w:sz w:val="17"/>
          <w:szCs w:val="17"/>
        </w:rPr>
      </w:pPr>
      <w:r>
        <w:rPr>
          <w:noProof/>
          <w:sz w:val="17"/>
          <w:szCs w:val="17"/>
        </w:rPr>
        <w:lastRenderedPageBreak/>
        <w:drawing>
          <wp:inline distT="0" distB="0" distL="0" distR="0" wp14:anchorId="349A3218" wp14:editId="01D597BA">
            <wp:extent cx="5712104" cy="3009900"/>
            <wp:effectExtent l="0" t="0" r="3175" b="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798" cy="30397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280FAA" w14:textId="06A55FEF" w:rsidR="00C767B8" w:rsidRPr="004E2CF8" w:rsidRDefault="00C767B8" w:rsidP="00C767B8">
      <w:pPr>
        <w:spacing w:after="0" w:line="480" w:lineRule="auto"/>
        <w:jc w:val="lowKashida"/>
        <w:rPr>
          <w:rFonts w:ascii="Times New Roman" w:hAnsi="Times New Roman" w:cs="Times New Roman"/>
          <w:color w:val="000000"/>
          <w:sz w:val="22"/>
        </w:rPr>
      </w:pPr>
      <w:r w:rsidRPr="004E2CF8">
        <w:rPr>
          <w:rFonts w:ascii="Times New Roman" w:hAnsi="Times New Roman" w:cs="Times New Roman"/>
          <w:b/>
          <w:bCs/>
          <w:color w:val="000000"/>
          <w:sz w:val="22"/>
        </w:rPr>
        <w:t xml:space="preserve">Figure </w:t>
      </w:r>
      <w:r w:rsidR="00CA4083">
        <w:rPr>
          <w:rFonts w:ascii="Times New Roman" w:hAnsi="Times New Roman" w:cs="Times New Roman"/>
          <w:b/>
          <w:bCs/>
          <w:color w:val="000000"/>
          <w:sz w:val="22"/>
        </w:rPr>
        <w:t>S</w:t>
      </w:r>
      <w:r w:rsidRPr="004E2CF8">
        <w:rPr>
          <w:rFonts w:ascii="Times New Roman" w:hAnsi="Times New Roman" w:cs="Times New Roman"/>
          <w:b/>
          <w:bCs/>
          <w:color w:val="000000"/>
          <w:sz w:val="22"/>
        </w:rPr>
        <w:t>2</w:t>
      </w:r>
      <w:r w:rsidR="001E5AC3">
        <w:rPr>
          <w:rFonts w:ascii="Times New Roman" w:hAnsi="Times New Roman" w:cs="Times New Roman"/>
          <w:b/>
          <w:bCs/>
          <w:color w:val="000000"/>
          <w:sz w:val="22"/>
        </w:rPr>
        <w:t>.</w:t>
      </w:r>
      <w:r w:rsidRPr="004E2CF8">
        <w:rPr>
          <w:rFonts w:ascii="Times New Roman" w:hAnsi="Times New Roman" w:cs="Times New Roman"/>
          <w:b/>
          <w:bCs/>
          <w:color w:val="000000"/>
          <w:sz w:val="22"/>
        </w:rPr>
        <w:t xml:space="preserve"> </w:t>
      </w:r>
      <w:r w:rsidRPr="004E2CF8">
        <w:rPr>
          <w:rFonts w:ascii="Times New Roman" w:hAnsi="Times New Roman" w:cs="Times New Roman"/>
          <w:color w:val="000000"/>
          <w:sz w:val="22"/>
        </w:rPr>
        <w:t xml:space="preserve">Comparison of functional genes in </w:t>
      </w:r>
      <w:r w:rsidRPr="004E2CF8">
        <w:rPr>
          <w:rFonts w:ascii="Times New Roman" w:hAnsi="Times New Roman" w:cs="Times New Roman"/>
          <w:i/>
          <w:iCs/>
          <w:color w:val="000000"/>
          <w:sz w:val="22"/>
        </w:rPr>
        <w:t>Prevotella</w:t>
      </w:r>
      <w:r w:rsidRPr="004E2CF8">
        <w:rPr>
          <w:rFonts w:ascii="Times New Roman" w:hAnsi="Times New Roman" w:cs="Times New Roman"/>
          <w:color w:val="000000"/>
          <w:sz w:val="22"/>
        </w:rPr>
        <w:t xml:space="preserve"> in FMT donors and rCDI patients. </w:t>
      </w:r>
      <w:r w:rsidRPr="004E2CF8">
        <w:rPr>
          <w:rFonts w:ascii="Times New Roman" w:hAnsi="Times New Roman" w:cs="Times New Roman"/>
          <w:b/>
          <w:bCs/>
          <w:color w:val="000000"/>
          <w:sz w:val="22"/>
        </w:rPr>
        <w:t>a</w:t>
      </w:r>
      <w:r w:rsidRPr="004E2CF8">
        <w:rPr>
          <w:rFonts w:ascii="Times New Roman" w:hAnsi="Times New Roman" w:cs="Times New Roman"/>
          <w:color w:val="000000"/>
          <w:sz w:val="22"/>
        </w:rPr>
        <w:t xml:space="preserve"> Classification </w:t>
      </w:r>
      <w:proofErr w:type="gramStart"/>
      <w:r w:rsidRPr="004E2CF8">
        <w:rPr>
          <w:rFonts w:ascii="Times New Roman" w:hAnsi="Times New Roman" w:cs="Times New Roman"/>
          <w:color w:val="000000"/>
          <w:sz w:val="22"/>
        </w:rPr>
        <w:t xml:space="preserve">of  </w:t>
      </w:r>
      <w:r w:rsidRPr="004E2CF8">
        <w:rPr>
          <w:rFonts w:ascii="Times New Roman" w:hAnsi="Times New Roman" w:cs="Times New Roman"/>
          <w:i/>
          <w:iCs/>
          <w:color w:val="000000"/>
          <w:sz w:val="22"/>
        </w:rPr>
        <w:t>Prevotella</w:t>
      </w:r>
      <w:proofErr w:type="gramEnd"/>
      <w:r w:rsidRPr="004E2CF8">
        <w:rPr>
          <w:rFonts w:ascii="Times New Roman" w:hAnsi="Times New Roman" w:cs="Times New Roman"/>
          <w:color w:val="000000"/>
          <w:sz w:val="22"/>
        </w:rPr>
        <w:t xml:space="preserve"> ASVs into three groups by their sources: guts in donors, patients, and both of donor and patients respectively. The numbers of each ASV are represented on Venn diagram. </w:t>
      </w:r>
      <w:r w:rsidRPr="004E2CF8">
        <w:rPr>
          <w:rFonts w:ascii="Times New Roman" w:hAnsi="Times New Roman" w:cs="Times New Roman"/>
          <w:b/>
          <w:bCs/>
          <w:color w:val="000000"/>
          <w:sz w:val="22"/>
        </w:rPr>
        <w:t>b</w:t>
      </w:r>
      <w:r w:rsidRPr="004E2CF8">
        <w:rPr>
          <w:rFonts w:ascii="Times New Roman" w:hAnsi="Times New Roman" w:cs="Times New Roman"/>
          <w:color w:val="000000"/>
          <w:sz w:val="22"/>
        </w:rPr>
        <w:t xml:space="preserve"> Table that comprises the information such as ASV number, </w:t>
      </w:r>
      <w:proofErr w:type="gramStart"/>
      <w:r w:rsidRPr="004E2CF8">
        <w:rPr>
          <w:rFonts w:ascii="Times New Roman" w:hAnsi="Times New Roman" w:cs="Times New Roman"/>
          <w:color w:val="000000"/>
          <w:sz w:val="22"/>
        </w:rPr>
        <w:t>Taxonomy,  NCBI</w:t>
      </w:r>
      <w:proofErr w:type="gramEnd"/>
      <w:r w:rsidRPr="004E2CF8">
        <w:rPr>
          <w:rFonts w:ascii="Times New Roman" w:hAnsi="Times New Roman" w:cs="Times New Roman"/>
          <w:color w:val="000000"/>
          <w:sz w:val="22"/>
        </w:rPr>
        <w:t xml:space="preserve"> accession, and identity value of NCBI blast. The table was grouped by donor and </w:t>
      </w:r>
      <w:proofErr w:type="gramStart"/>
      <w:r w:rsidRPr="004E2CF8">
        <w:rPr>
          <w:rFonts w:ascii="Times New Roman" w:hAnsi="Times New Roman" w:cs="Times New Roman"/>
          <w:color w:val="000000"/>
          <w:sz w:val="22"/>
        </w:rPr>
        <w:t>patients</w:t>
      </w:r>
      <w:proofErr w:type="gramEnd"/>
      <w:r w:rsidRPr="004E2CF8">
        <w:rPr>
          <w:rFonts w:ascii="Times New Roman" w:hAnsi="Times New Roman" w:cs="Times New Roman"/>
          <w:color w:val="000000"/>
          <w:sz w:val="22"/>
        </w:rPr>
        <w:t xml:space="preserve"> group. </w:t>
      </w:r>
      <w:r w:rsidRPr="004E2CF8">
        <w:rPr>
          <w:rFonts w:ascii="Times New Roman" w:hAnsi="Times New Roman" w:cs="Times New Roman"/>
          <w:b/>
          <w:bCs/>
          <w:color w:val="000000"/>
          <w:sz w:val="22"/>
        </w:rPr>
        <w:t xml:space="preserve">c </w:t>
      </w:r>
      <w:r w:rsidRPr="004E2CF8">
        <w:rPr>
          <w:rFonts w:ascii="Times New Roman" w:hAnsi="Times New Roman" w:cs="Times New Roman"/>
          <w:color w:val="000000"/>
          <w:sz w:val="22"/>
        </w:rPr>
        <w:t xml:space="preserve">Result of pan-genome analysis among the </w:t>
      </w:r>
      <w:r w:rsidRPr="004E2CF8">
        <w:rPr>
          <w:rFonts w:ascii="Times New Roman" w:hAnsi="Times New Roman" w:cs="Times New Roman"/>
          <w:i/>
          <w:iCs/>
          <w:color w:val="000000"/>
          <w:sz w:val="22"/>
        </w:rPr>
        <w:t>Prevotella</w:t>
      </w:r>
      <w:r w:rsidRPr="004E2CF8">
        <w:rPr>
          <w:rFonts w:ascii="Times New Roman" w:hAnsi="Times New Roman" w:cs="Times New Roman"/>
          <w:color w:val="000000"/>
          <w:sz w:val="22"/>
        </w:rPr>
        <w:t xml:space="preserve"> detectable in donors or patients. Left represents donor-specific detectable </w:t>
      </w:r>
      <w:r w:rsidRPr="004E2CF8">
        <w:rPr>
          <w:rFonts w:ascii="Times New Roman" w:hAnsi="Times New Roman" w:cs="Times New Roman"/>
          <w:i/>
          <w:iCs/>
          <w:color w:val="000000"/>
          <w:sz w:val="22"/>
        </w:rPr>
        <w:t>Prevotella</w:t>
      </w:r>
      <w:r w:rsidRPr="004E2CF8">
        <w:rPr>
          <w:rFonts w:ascii="Times New Roman" w:hAnsi="Times New Roman" w:cs="Times New Roman"/>
          <w:color w:val="000000"/>
          <w:sz w:val="22"/>
        </w:rPr>
        <w:t xml:space="preserve">, and right does patient-specific detectable </w:t>
      </w:r>
      <w:r w:rsidRPr="004E2CF8">
        <w:rPr>
          <w:rFonts w:ascii="Times New Roman" w:hAnsi="Times New Roman" w:cs="Times New Roman"/>
          <w:i/>
          <w:iCs/>
          <w:color w:val="000000"/>
          <w:sz w:val="22"/>
        </w:rPr>
        <w:t>Prevotella</w:t>
      </w:r>
      <w:r w:rsidRPr="004E2CF8">
        <w:rPr>
          <w:rFonts w:ascii="Times New Roman" w:hAnsi="Times New Roman" w:cs="Times New Roman"/>
          <w:color w:val="000000"/>
          <w:sz w:val="22"/>
        </w:rPr>
        <w:t xml:space="preserve">. Seven hundred </w:t>
      </w:r>
      <w:proofErr w:type="gramStart"/>
      <w:r w:rsidRPr="004E2CF8">
        <w:rPr>
          <w:rFonts w:ascii="Times New Roman" w:hAnsi="Times New Roman" w:cs="Times New Roman"/>
          <w:color w:val="000000"/>
          <w:sz w:val="22"/>
        </w:rPr>
        <w:t>seventeen(</w:t>
      </w:r>
      <w:proofErr w:type="gramEnd"/>
      <w:r w:rsidRPr="004E2CF8">
        <w:rPr>
          <w:rFonts w:ascii="Times New Roman" w:hAnsi="Times New Roman" w:cs="Times New Roman"/>
          <w:color w:val="000000"/>
          <w:sz w:val="22"/>
        </w:rPr>
        <w:t xml:space="preserve">717) and 661 core genes are confirmed respectively. </w:t>
      </w:r>
      <w:r w:rsidRPr="004E2CF8">
        <w:rPr>
          <w:rFonts w:ascii="Times New Roman" w:hAnsi="Times New Roman" w:cs="Times New Roman"/>
          <w:b/>
          <w:bCs/>
          <w:color w:val="000000"/>
          <w:sz w:val="22"/>
        </w:rPr>
        <w:t>d</w:t>
      </w:r>
      <w:r w:rsidRPr="004E2CF8">
        <w:rPr>
          <w:rFonts w:ascii="Times New Roman" w:hAnsi="Times New Roman" w:cs="Times New Roman"/>
          <w:color w:val="000000"/>
          <w:sz w:val="22"/>
        </w:rPr>
        <w:t xml:space="preserve"> Distribution of core genes in </w:t>
      </w:r>
      <w:r w:rsidRPr="004E2CF8">
        <w:rPr>
          <w:rFonts w:ascii="Times New Roman" w:hAnsi="Times New Roman" w:cs="Times New Roman"/>
          <w:i/>
          <w:iCs/>
          <w:color w:val="000000"/>
          <w:sz w:val="22"/>
        </w:rPr>
        <w:t>Prevotella</w:t>
      </w:r>
      <w:r w:rsidRPr="004E2CF8">
        <w:rPr>
          <w:rFonts w:ascii="Times New Roman" w:hAnsi="Times New Roman" w:cs="Times New Roman"/>
          <w:color w:val="000000"/>
          <w:sz w:val="22"/>
        </w:rPr>
        <w:t xml:space="preserve">. 651 core genes are observed in both donors and patients, 66 genes are detectable only in </w:t>
      </w:r>
      <w:proofErr w:type="gramStart"/>
      <w:r w:rsidRPr="004E2CF8">
        <w:rPr>
          <w:rFonts w:ascii="Times New Roman" w:hAnsi="Times New Roman" w:cs="Times New Roman"/>
          <w:color w:val="000000"/>
          <w:sz w:val="22"/>
        </w:rPr>
        <w:t>donors,  and</w:t>
      </w:r>
      <w:proofErr w:type="gramEnd"/>
      <w:r w:rsidRPr="004E2CF8">
        <w:rPr>
          <w:rFonts w:ascii="Times New Roman" w:hAnsi="Times New Roman" w:cs="Times New Roman"/>
          <w:color w:val="000000"/>
          <w:sz w:val="22"/>
        </w:rPr>
        <w:t xml:space="preserve"> 10 genes are monitored in patients alone. </w:t>
      </w:r>
    </w:p>
    <w:p w14:paraId="6CE2FC7B" w14:textId="77777777" w:rsidR="004E2CF8" w:rsidRDefault="004E2CF8" w:rsidP="00A03A1E">
      <w:pPr>
        <w:rPr>
          <w:sz w:val="17"/>
          <w:szCs w:val="17"/>
        </w:rPr>
        <w:sectPr w:rsidR="004E2CF8" w:rsidSect="00C767B8">
          <w:pgSz w:w="11906" w:h="16838"/>
          <w:pgMar w:top="1701" w:right="1440" w:bottom="1440" w:left="1440" w:header="851" w:footer="992" w:gutter="0"/>
          <w:cols w:space="425"/>
          <w:docGrid w:linePitch="360"/>
        </w:sectPr>
      </w:pPr>
    </w:p>
    <w:p w14:paraId="4CF3EB52" w14:textId="3F2146AB" w:rsidR="00C767B8" w:rsidRPr="004E2CF8" w:rsidRDefault="00C767B8" w:rsidP="00C767B8">
      <w:pPr>
        <w:spacing w:after="0" w:line="480" w:lineRule="auto"/>
        <w:jc w:val="lowKashida"/>
        <w:rPr>
          <w:sz w:val="18"/>
          <w:szCs w:val="18"/>
        </w:rPr>
      </w:pPr>
      <w:r w:rsidRPr="004E2CF8">
        <w:rPr>
          <w:rFonts w:ascii="Times New Roman" w:hAnsi="Times New Roman" w:cs="Times New Roman"/>
          <w:b/>
          <w:bCs/>
          <w:color w:val="000000"/>
          <w:sz w:val="22"/>
        </w:rPr>
        <w:lastRenderedPageBreak/>
        <w:t xml:space="preserve">Table </w:t>
      </w:r>
      <w:r w:rsidR="00CA4083">
        <w:rPr>
          <w:rFonts w:ascii="Times New Roman" w:hAnsi="Times New Roman" w:cs="Times New Roman"/>
          <w:b/>
          <w:bCs/>
          <w:color w:val="000000"/>
          <w:sz w:val="22"/>
        </w:rPr>
        <w:t>S</w:t>
      </w:r>
      <w:r w:rsidRPr="004E2CF8">
        <w:rPr>
          <w:rFonts w:ascii="Times New Roman" w:hAnsi="Times New Roman" w:cs="Times New Roman"/>
          <w:b/>
          <w:bCs/>
          <w:color w:val="000000"/>
          <w:sz w:val="22"/>
        </w:rPr>
        <w:t>2</w:t>
      </w:r>
      <w:r w:rsidR="001E5AC3">
        <w:rPr>
          <w:rFonts w:ascii="Times New Roman" w:hAnsi="Times New Roman" w:cs="Times New Roman"/>
          <w:b/>
          <w:bCs/>
          <w:color w:val="000000"/>
          <w:sz w:val="22"/>
        </w:rPr>
        <w:t>.</w:t>
      </w:r>
      <w:r w:rsidRPr="004E2CF8">
        <w:rPr>
          <w:rFonts w:ascii="Times New Roman" w:hAnsi="Times New Roman" w:cs="Times New Roman"/>
          <w:b/>
          <w:bCs/>
          <w:color w:val="000000"/>
          <w:sz w:val="22"/>
        </w:rPr>
        <w:t xml:space="preserve"> </w:t>
      </w:r>
      <w:r w:rsidRPr="004E2CF8">
        <w:rPr>
          <w:rFonts w:ascii="Times New Roman" w:hAnsi="Times New Roman" w:cs="Times New Roman"/>
          <w:color w:val="000000"/>
          <w:sz w:val="22"/>
        </w:rPr>
        <w:t>List of core genes detected in donors alone. A total of 66 genes are descried with KEGG number, name, and description.</w:t>
      </w:r>
    </w:p>
    <w:tbl>
      <w:tblPr>
        <w:tblW w:w="93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89"/>
        <w:gridCol w:w="2038"/>
        <w:gridCol w:w="6535"/>
      </w:tblGrid>
      <w:tr w:rsidR="00C767B8" w:rsidRPr="00C767B8" w14:paraId="39BAA80F" w14:textId="77777777" w:rsidTr="00C767B8">
        <w:trPr>
          <w:trHeight w:val="340"/>
        </w:trPr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1ED61F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KEGG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092A11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Gene</w:t>
            </w:r>
          </w:p>
        </w:tc>
        <w:tc>
          <w:tcPr>
            <w:tcW w:w="6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9FC0F8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Description</w:t>
            </w:r>
          </w:p>
        </w:tc>
      </w:tr>
      <w:tr w:rsidR="00C767B8" w:rsidRPr="00C767B8" w14:paraId="224A788E" w14:textId="77777777" w:rsidTr="00C767B8">
        <w:trPr>
          <w:trHeight w:val="34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E299B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K00176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EF734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korD</w:t>
            </w:r>
            <w:proofErr w:type="spellEnd"/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, </w:t>
            </w:r>
            <w:proofErr w:type="spellStart"/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oorD</w:t>
            </w:r>
            <w:proofErr w:type="spellEnd"/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E3BD7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 2-oxoglutarate ferredoxin oxidoreductase subunit delta [EC:1.2.7.3]</w:t>
            </w:r>
          </w:p>
        </w:tc>
      </w:tr>
      <w:tr w:rsidR="00C767B8" w:rsidRPr="00C767B8" w14:paraId="79EAB8F0" w14:textId="77777777" w:rsidTr="00C767B8">
        <w:trPr>
          <w:trHeight w:val="34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FA413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K00177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62120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korC</w:t>
            </w:r>
            <w:proofErr w:type="spellEnd"/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, </w:t>
            </w:r>
            <w:proofErr w:type="spellStart"/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oorC</w:t>
            </w:r>
            <w:proofErr w:type="spellEnd"/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1B99D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 2-oxoglutarate ferredoxin oxidoreductase subunit gamma [EC:1.2.7.3]</w:t>
            </w:r>
          </w:p>
        </w:tc>
      </w:tr>
      <w:tr w:rsidR="00C767B8" w:rsidRPr="00C767B8" w14:paraId="31BC570C" w14:textId="77777777" w:rsidTr="00C767B8">
        <w:trPr>
          <w:trHeight w:val="34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5C786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K00278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42EBC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nadB</w:t>
            </w:r>
            <w:proofErr w:type="spellEnd"/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1879D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 L-aspartate oxidase [EC:1.4.3.16]</w:t>
            </w:r>
          </w:p>
        </w:tc>
      </w:tr>
      <w:tr w:rsidR="00C767B8" w:rsidRPr="00C767B8" w14:paraId="43E59FFE" w14:textId="77777777" w:rsidTr="00C767B8">
        <w:trPr>
          <w:trHeight w:val="34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42600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K00558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2A226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DNMT1, </w:t>
            </w:r>
            <w:proofErr w:type="spellStart"/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dcm</w:t>
            </w:r>
            <w:proofErr w:type="spellEnd"/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33E9B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 DNA (cytosine-5)-methyltransferase 1 [EC:2.1.1.37]</w:t>
            </w:r>
          </w:p>
        </w:tc>
      </w:tr>
      <w:tr w:rsidR="00C767B8" w:rsidRPr="00C767B8" w14:paraId="5C8E1081" w14:textId="77777777" w:rsidTr="00C767B8">
        <w:trPr>
          <w:trHeight w:val="34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7AB63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K00571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6E630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E2.1.1.72</w:t>
            </w:r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95E28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 site-specific DNA-methyltransferase (adenine-specific) [EC:2.1.1.72]</w:t>
            </w:r>
          </w:p>
        </w:tc>
      </w:tr>
      <w:tr w:rsidR="00C767B8" w:rsidRPr="00C767B8" w14:paraId="6D88F8CD" w14:textId="77777777" w:rsidTr="00C767B8">
        <w:trPr>
          <w:trHeight w:val="34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C0BE4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K00606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0FA4D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panB</w:t>
            </w:r>
            <w:proofErr w:type="spellEnd"/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F38F6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 3-methyl-2-oxobutanoate </w:t>
            </w:r>
            <w:proofErr w:type="spellStart"/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hydroxymethyltransferase</w:t>
            </w:r>
            <w:proofErr w:type="spellEnd"/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 [EC:2.1.2.11]</w:t>
            </w:r>
          </w:p>
        </w:tc>
      </w:tr>
      <w:tr w:rsidR="00C767B8" w:rsidRPr="00C767B8" w14:paraId="5BE2EA87" w14:textId="77777777" w:rsidTr="00C767B8">
        <w:trPr>
          <w:trHeight w:val="34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DBC98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K00640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8F142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cysE</w:t>
            </w:r>
            <w:proofErr w:type="spellEnd"/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C22E1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 serine O-acetyltransferase [EC:2.3.1.30]</w:t>
            </w:r>
          </w:p>
        </w:tc>
      </w:tr>
      <w:tr w:rsidR="00C767B8" w:rsidRPr="00C767B8" w14:paraId="3113675C" w14:textId="77777777" w:rsidTr="00C767B8">
        <w:trPr>
          <w:trHeight w:val="34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C2040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K00656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DFD9C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E2.3.1.54, </w:t>
            </w:r>
            <w:proofErr w:type="spellStart"/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pflD</w:t>
            </w:r>
            <w:proofErr w:type="spellEnd"/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712A7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formate</w:t>
            </w:r>
            <w:proofErr w:type="spellEnd"/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 C-acetyltransferase [EC:2.3.1.54]</w:t>
            </w:r>
          </w:p>
        </w:tc>
      </w:tr>
      <w:tr w:rsidR="00C767B8" w:rsidRPr="00C767B8" w14:paraId="2BE53B56" w14:textId="77777777" w:rsidTr="00C767B8">
        <w:trPr>
          <w:trHeight w:val="34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11454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K00661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5C78A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maa</w:t>
            </w:r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4B79F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 maltose O-acetyltransferase [EC:2.3.1.79]</w:t>
            </w:r>
          </w:p>
        </w:tc>
      </w:tr>
      <w:tr w:rsidR="00C767B8" w:rsidRPr="00C767B8" w14:paraId="7312BCD2" w14:textId="77777777" w:rsidTr="00C767B8">
        <w:trPr>
          <w:trHeight w:val="34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20D4A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K00767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48873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nadC</w:t>
            </w:r>
            <w:proofErr w:type="spellEnd"/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, QPRT</w:t>
            </w:r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3A94D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 nicotinate-nucleotide </w:t>
            </w:r>
            <w:proofErr w:type="spellStart"/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pyrophosphorylase</w:t>
            </w:r>
            <w:proofErr w:type="spellEnd"/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 (</w:t>
            </w:r>
            <w:proofErr w:type="spellStart"/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carboxylating</w:t>
            </w:r>
            <w:proofErr w:type="spellEnd"/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) [EC:2.4.2.19]</w:t>
            </w:r>
          </w:p>
        </w:tc>
      </w:tr>
      <w:tr w:rsidR="00C767B8" w:rsidRPr="00C767B8" w14:paraId="5B7C2940" w14:textId="77777777" w:rsidTr="00C767B8">
        <w:trPr>
          <w:trHeight w:val="34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2B9EE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K00782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399D6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lldG</w:t>
            </w:r>
            <w:proofErr w:type="spellEnd"/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146F5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 L-lactate dehydrogenase complex protein </w:t>
            </w:r>
            <w:proofErr w:type="spellStart"/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LldG</w:t>
            </w:r>
            <w:proofErr w:type="spellEnd"/>
          </w:p>
        </w:tc>
      </w:tr>
      <w:tr w:rsidR="00C767B8" w:rsidRPr="00C767B8" w14:paraId="6600C018" w14:textId="77777777" w:rsidTr="00C767B8">
        <w:trPr>
          <w:trHeight w:val="34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76D04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K00820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E1A74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glmS</w:t>
            </w:r>
            <w:proofErr w:type="spellEnd"/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, GFPT</w:t>
            </w:r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9B279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 glucosamine---fructose-6-phosphate aminotransferase (isomerizing) [EC:2.6.1.16]</w:t>
            </w:r>
          </w:p>
        </w:tc>
      </w:tr>
      <w:tr w:rsidR="00C767B8" w:rsidRPr="00C767B8" w14:paraId="7F9808C2" w14:textId="77777777" w:rsidTr="00C767B8">
        <w:trPr>
          <w:trHeight w:val="34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64763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K00826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D85AB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E2.6.1.42, </w:t>
            </w:r>
            <w:proofErr w:type="spellStart"/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ilvE</w:t>
            </w:r>
            <w:proofErr w:type="spellEnd"/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DCFC2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 branched-chain amino acid aminotransferase [EC:2.6.1.42]</w:t>
            </w:r>
          </w:p>
        </w:tc>
      </w:tr>
      <w:tr w:rsidR="00C767B8" w:rsidRPr="00C767B8" w14:paraId="4DE8A6A6" w14:textId="77777777" w:rsidTr="00C767B8">
        <w:trPr>
          <w:trHeight w:val="34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4FF07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K00847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86F76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E2.7.1.4, </w:t>
            </w:r>
            <w:proofErr w:type="spellStart"/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scrK</w:t>
            </w:r>
            <w:proofErr w:type="spellEnd"/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8B305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 fructokinase [EC:2.7.1.4]</w:t>
            </w:r>
          </w:p>
        </w:tc>
      </w:tr>
      <w:tr w:rsidR="00C767B8" w:rsidRPr="00C767B8" w14:paraId="0F293D3F" w14:textId="77777777" w:rsidTr="00C767B8">
        <w:trPr>
          <w:trHeight w:val="34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E145B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K00865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FD008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glxK</w:t>
            </w:r>
            <w:proofErr w:type="spellEnd"/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, </w:t>
            </w:r>
            <w:proofErr w:type="spellStart"/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garK</w:t>
            </w:r>
            <w:proofErr w:type="spellEnd"/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CAF2D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 glycerate 2-kinase [EC:2.7.1.165]</w:t>
            </w:r>
          </w:p>
        </w:tc>
      </w:tr>
      <w:tr w:rsidR="00C767B8" w:rsidRPr="00C767B8" w14:paraId="4CBBA0D0" w14:textId="77777777" w:rsidTr="00C767B8">
        <w:trPr>
          <w:trHeight w:val="34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F62F1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K00868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39537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 w:rsidRPr="00C767B8"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pdxK</w:t>
            </w:r>
            <w:proofErr w:type="spellEnd"/>
            <w:r w:rsidRPr="00C767B8"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, </w:t>
            </w:r>
            <w:proofErr w:type="spellStart"/>
            <w:r w:rsidRPr="00C767B8"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pdxY</w:t>
            </w:r>
            <w:proofErr w:type="spellEnd"/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01468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pyridoxine kinase [EC:2.7.1.35]</w:t>
            </w:r>
          </w:p>
        </w:tc>
      </w:tr>
      <w:tr w:rsidR="00C767B8" w:rsidRPr="00C767B8" w14:paraId="7683C2E3" w14:textId="77777777" w:rsidTr="00C767B8">
        <w:trPr>
          <w:trHeight w:val="34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52CE5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K00949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82529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thiN</w:t>
            </w:r>
            <w:proofErr w:type="spellEnd"/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, TPK1, THI80</w:t>
            </w:r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652D0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 thiamine pyrophosphokinase [EC:2.7.6.2]</w:t>
            </w:r>
          </w:p>
        </w:tc>
      </w:tr>
      <w:tr w:rsidR="00C767B8" w:rsidRPr="00C767B8" w14:paraId="4E1CFE0E" w14:textId="77777777" w:rsidTr="00C767B8">
        <w:trPr>
          <w:trHeight w:val="34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869B0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K01079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B5C15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serB</w:t>
            </w:r>
            <w:proofErr w:type="spellEnd"/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, PSPH</w:t>
            </w:r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84E9F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 phosphoserine phosphatase [EC:3.1.3.3]</w:t>
            </w:r>
          </w:p>
        </w:tc>
      </w:tr>
      <w:tr w:rsidR="00C767B8" w:rsidRPr="00C767B8" w14:paraId="5838F41E" w14:textId="77777777" w:rsidTr="00C767B8">
        <w:trPr>
          <w:trHeight w:val="34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B4630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K01153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076E0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hsdR</w:t>
            </w:r>
            <w:proofErr w:type="spellEnd"/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D6E9A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 type I restriction enzyme, R subunit [EC:3.1.21.3]</w:t>
            </w:r>
          </w:p>
        </w:tc>
      </w:tr>
      <w:tr w:rsidR="00C767B8" w:rsidRPr="00C767B8" w14:paraId="65038B3C" w14:textId="77777777" w:rsidTr="00C767B8">
        <w:trPr>
          <w:trHeight w:val="34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A0B80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K01154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7F6DA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hsdS</w:t>
            </w:r>
            <w:proofErr w:type="spellEnd"/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602BA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 type I restriction enzyme, S subunit [EC:3.1.21.3]</w:t>
            </w:r>
          </w:p>
        </w:tc>
      </w:tr>
      <w:tr w:rsidR="00C767B8" w:rsidRPr="00C767B8" w14:paraId="344C9DF7" w14:textId="77777777" w:rsidTr="00C767B8">
        <w:trPr>
          <w:trHeight w:val="34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16BC4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K01246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0186A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tag</w:t>
            </w:r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58F06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 DNA-3-methyladenine glycosylase I [EC:3.2.2.20]</w:t>
            </w:r>
          </w:p>
        </w:tc>
      </w:tr>
      <w:tr w:rsidR="00C767B8" w:rsidRPr="00C767B8" w14:paraId="438D1218" w14:textId="77777777" w:rsidTr="00C767B8">
        <w:trPr>
          <w:trHeight w:val="34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4DCD3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K01322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89186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PREP</w:t>
            </w:r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399B8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 prolyl </w:t>
            </w:r>
            <w:proofErr w:type="spellStart"/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oligopeptidase</w:t>
            </w:r>
            <w:proofErr w:type="spellEnd"/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 [EC:3.4.21.26]</w:t>
            </w:r>
          </w:p>
        </w:tc>
      </w:tr>
      <w:tr w:rsidR="00C767B8" w:rsidRPr="00C767B8" w14:paraId="29B0F5DC" w14:textId="77777777" w:rsidTr="00C767B8">
        <w:trPr>
          <w:trHeight w:val="34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BEC14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K01579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C6812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panD</w:t>
            </w:r>
            <w:proofErr w:type="spellEnd"/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16C35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 aspartate 1-decarboxylase [EC:4.1.1.11]</w:t>
            </w:r>
          </w:p>
        </w:tc>
      </w:tr>
      <w:tr w:rsidR="00C767B8" w:rsidRPr="00C767B8" w14:paraId="1E344293" w14:textId="77777777" w:rsidTr="00C767B8">
        <w:trPr>
          <w:trHeight w:val="34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4D324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K01609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4B3DD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trpC</w:t>
            </w:r>
            <w:proofErr w:type="spellEnd"/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5106E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 indole-3-glycerol phosphate synthase [EC:4.1.1.48]</w:t>
            </w:r>
          </w:p>
        </w:tc>
      </w:tr>
      <w:tr w:rsidR="00C767B8" w:rsidRPr="00C767B8" w14:paraId="10CC03F6" w14:textId="77777777" w:rsidTr="00C767B8">
        <w:trPr>
          <w:trHeight w:val="34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AC98F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K01658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349B8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trpG</w:t>
            </w:r>
            <w:proofErr w:type="spellEnd"/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FD85B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 anthranilate synthase component II [EC:4.1.3.27]</w:t>
            </w:r>
          </w:p>
        </w:tc>
      </w:tr>
      <w:tr w:rsidR="00C767B8" w:rsidRPr="00C767B8" w14:paraId="3A6EA162" w14:textId="77777777" w:rsidTr="00C767B8">
        <w:trPr>
          <w:trHeight w:val="34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0B33B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K01665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8C77B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pabB</w:t>
            </w:r>
            <w:proofErr w:type="spellEnd"/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9AD00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 para-aminobenzoate synthetase component I [EC:2.6.1.85]</w:t>
            </w:r>
          </w:p>
        </w:tc>
      </w:tr>
      <w:tr w:rsidR="00C767B8" w:rsidRPr="00C767B8" w14:paraId="44A4CC40" w14:textId="77777777" w:rsidTr="00C767B8">
        <w:trPr>
          <w:trHeight w:val="34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1F1E9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K01744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A5229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aspA</w:t>
            </w:r>
            <w:proofErr w:type="spellEnd"/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EB28D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 aspartate ammonia-lyase [EC:4.3.1.1]</w:t>
            </w:r>
          </w:p>
        </w:tc>
      </w:tr>
      <w:tr w:rsidR="00C767B8" w:rsidRPr="00C767B8" w14:paraId="24592AA7" w14:textId="77777777" w:rsidTr="00C767B8">
        <w:trPr>
          <w:trHeight w:val="34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C8500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K01858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70B00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INO1, ISYNA1</w:t>
            </w:r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DA2BE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 myo-inositol-1-phosphate synthase [EC:5.5.1.4]</w:t>
            </w:r>
          </w:p>
        </w:tc>
      </w:tr>
      <w:tr w:rsidR="00C767B8" w:rsidRPr="00C767B8" w14:paraId="2CC608C7" w14:textId="77777777" w:rsidTr="00C767B8">
        <w:trPr>
          <w:trHeight w:val="34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61FC7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K01918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DBB9E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panC</w:t>
            </w:r>
            <w:proofErr w:type="spellEnd"/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385EF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 pantoate--beta-alanine ligase [EC:6.3.2.1]</w:t>
            </w:r>
          </w:p>
        </w:tc>
      </w:tr>
      <w:tr w:rsidR="00C767B8" w:rsidRPr="00C767B8" w14:paraId="1F040478" w14:textId="77777777" w:rsidTr="00C767B8">
        <w:trPr>
          <w:trHeight w:val="34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B83F3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K02217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1C9F6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 w:rsidRPr="00C767B8"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ftnA</w:t>
            </w:r>
            <w:proofErr w:type="spellEnd"/>
            <w:r w:rsidRPr="00C767B8"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, </w:t>
            </w:r>
            <w:proofErr w:type="spellStart"/>
            <w:r w:rsidRPr="00C767B8"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ftn</w:t>
            </w:r>
            <w:proofErr w:type="spellEnd"/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D9D2F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ferritin [EC:1.16.3.2]</w:t>
            </w:r>
          </w:p>
        </w:tc>
      </w:tr>
      <w:tr w:rsidR="00C767B8" w:rsidRPr="00C767B8" w14:paraId="74A5AA8B" w14:textId="77777777" w:rsidTr="00C767B8">
        <w:trPr>
          <w:trHeight w:val="34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C34C0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K02346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09CB0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dinB</w:t>
            </w:r>
            <w:proofErr w:type="spellEnd"/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7FE5A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 DNA polymerase IV [EC:2.7.7.7]</w:t>
            </w:r>
          </w:p>
        </w:tc>
      </w:tr>
      <w:tr w:rsidR="00C767B8" w:rsidRPr="00C767B8" w14:paraId="778095D7" w14:textId="77777777" w:rsidTr="00C767B8">
        <w:trPr>
          <w:trHeight w:val="34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C8D69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K02477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9B2D0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K02477</w:t>
            </w:r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D9BD9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 two-component system, </w:t>
            </w:r>
            <w:proofErr w:type="spellStart"/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LytTR</w:t>
            </w:r>
            <w:proofErr w:type="spellEnd"/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 family, response regulator</w:t>
            </w:r>
          </w:p>
        </w:tc>
      </w:tr>
      <w:tr w:rsidR="00C767B8" w:rsidRPr="00C767B8" w14:paraId="65F6C4C7" w14:textId="77777777" w:rsidTr="00C767B8">
        <w:trPr>
          <w:trHeight w:val="34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15A49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K02619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15BB1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pabC</w:t>
            </w:r>
            <w:proofErr w:type="spellEnd"/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75F7B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 4-amino-4-deoxychorismate lyase [EC:4.1.3.38]</w:t>
            </w:r>
          </w:p>
        </w:tc>
      </w:tr>
      <w:tr w:rsidR="00C767B8" w:rsidRPr="00C767B8" w14:paraId="19E7A9E4" w14:textId="77777777" w:rsidTr="00C767B8">
        <w:trPr>
          <w:trHeight w:val="34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7F0FE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K03147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50CED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thiC</w:t>
            </w:r>
            <w:proofErr w:type="spellEnd"/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DB2F9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 phosphomethylpyrimidine synthase [EC:4.1.99.17]</w:t>
            </w:r>
          </w:p>
        </w:tc>
      </w:tr>
      <w:tr w:rsidR="00C767B8" w:rsidRPr="00C767B8" w14:paraId="5420F80B" w14:textId="77777777" w:rsidTr="00C767B8">
        <w:trPr>
          <w:trHeight w:val="34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D427B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K03332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C45EE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fruA</w:t>
            </w:r>
            <w:proofErr w:type="spellEnd"/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3AA81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fructan</w:t>
            </w:r>
            <w:proofErr w:type="spellEnd"/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 beta-fructosidase [EC:3.2.1.80]</w:t>
            </w:r>
          </w:p>
        </w:tc>
      </w:tr>
      <w:tr w:rsidR="00C767B8" w:rsidRPr="00C767B8" w14:paraId="6A23AFCF" w14:textId="77777777" w:rsidTr="00C767B8">
        <w:trPr>
          <w:trHeight w:val="34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8AE64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K03427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6F77E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hsdM</w:t>
            </w:r>
            <w:proofErr w:type="spellEnd"/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142FC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 type I restriction enzyme M protein [EC:2.1.1.72]</w:t>
            </w:r>
          </w:p>
        </w:tc>
      </w:tr>
      <w:tr w:rsidR="00C767B8" w:rsidRPr="00C767B8" w14:paraId="7000DDAF" w14:textId="77777777" w:rsidTr="00C767B8">
        <w:trPr>
          <w:trHeight w:val="34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C9879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K03455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258F6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TC.KEF</w:t>
            </w:r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BAAB6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 monovalent </w:t>
            </w:r>
            <w:proofErr w:type="spellStart"/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cation:H</w:t>
            </w:r>
            <w:proofErr w:type="spellEnd"/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+ </w:t>
            </w:r>
            <w:proofErr w:type="gramStart"/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antiporter-2</w:t>
            </w:r>
            <w:proofErr w:type="gramEnd"/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, CPA2 family</w:t>
            </w:r>
          </w:p>
        </w:tc>
      </w:tr>
      <w:tr w:rsidR="00C767B8" w:rsidRPr="00C767B8" w14:paraId="118FB073" w14:textId="77777777" w:rsidTr="00C767B8">
        <w:trPr>
          <w:trHeight w:val="34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56D0C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K03517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5438B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nadA</w:t>
            </w:r>
            <w:proofErr w:type="spellEnd"/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D11C6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quinolinate</w:t>
            </w:r>
            <w:proofErr w:type="spellEnd"/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 synthase [EC:2.5.1.72]</w:t>
            </w:r>
          </w:p>
        </w:tc>
      </w:tr>
      <w:tr w:rsidR="00C767B8" w:rsidRPr="00C767B8" w14:paraId="2D387018" w14:textId="77777777" w:rsidTr="00C767B8">
        <w:trPr>
          <w:trHeight w:val="34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0E53F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K03612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787F1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rnfG</w:t>
            </w:r>
            <w:proofErr w:type="spellEnd"/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6EB2A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 electron transport complex protein </w:t>
            </w:r>
            <w:proofErr w:type="spellStart"/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RnfG</w:t>
            </w:r>
            <w:proofErr w:type="spellEnd"/>
          </w:p>
        </w:tc>
      </w:tr>
      <w:tr w:rsidR="00C767B8" w:rsidRPr="00C767B8" w14:paraId="467D9696" w14:textId="77777777" w:rsidTr="00C767B8">
        <w:trPr>
          <w:trHeight w:val="34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10748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K03768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148B3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PPIB, </w:t>
            </w:r>
            <w:proofErr w:type="spellStart"/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ppiB</w:t>
            </w:r>
            <w:proofErr w:type="spellEnd"/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EB1F2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 peptidyl-prolyl cis-trans isomerase B (cyclophilin B) [EC:5.2.1.8]</w:t>
            </w:r>
          </w:p>
        </w:tc>
      </w:tr>
      <w:tr w:rsidR="00C767B8" w:rsidRPr="00C767B8" w14:paraId="18D84421" w14:textId="77777777" w:rsidTr="00C767B8">
        <w:trPr>
          <w:trHeight w:val="34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6D421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K03885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4D573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ndh</w:t>
            </w:r>
            <w:proofErr w:type="spellEnd"/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D5FFD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 NADH dehydrogenase [EC:1.6.99.3]</w:t>
            </w:r>
          </w:p>
        </w:tc>
      </w:tr>
      <w:tr w:rsidR="00C767B8" w:rsidRPr="00C767B8" w14:paraId="3D5FDF9C" w14:textId="77777777" w:rsidTr="00C767B8">
        <w:trPr>
          <w:trHeight w:val="34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A69F3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K04069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F5F73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pflA</w:t>
            </w:r>
            <w:proofErr w:type="spellEnd"/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, </w:t>
            </w:r>
            <w:proofErr w:type="spellStart"/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pflC</w:t>
            </w:r>
            <w:proofErr w:type="spellEnd"/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, </w:t>
            </w:r>
            <w:proofErr w:type="spellStart"/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pflE</w:t>
            </w:r>
            <w:proofErr w:type="spellEnd"/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DA641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 pyruvate </w:t>
            </w:r>
            <w:proofErr w:type="spellStart"/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formate</w:t>
            </w:r>
            <w:proofErr w:type="spellEnd"/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 lyase activating enzyme [EC:1.97.1.4]</w:t>
            </w:r>
          </w:p>
        </w:tc>
      </w:tr>
      <w:tr w:rsidR="00C767B8" w:rsidRPr="00C767B8" w14:paraId="146EAF9F" w14:textId="77777777" w:rsidTr="00C767B8">
        <w:trPr>
          <w:trHeight w:val="34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22EE7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K04764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E157B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ihfA</w:t>
            </w:r>
            <w:proofErr w:type="spellEnd"/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, </w:t>
            </w:r>
            <w:proofErr w:type="spellStart"/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himA</w:t>
            </w:r>
            <w:proofErr w:type="spellEnd"/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AE70E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 integration host factor subunit alpha</w:t>
            </w:r>
          </w:p>
        </w:tc>
      </w:tr>
      <w:tr w:rsidR="00C767B8" w:rsidRPr="00C767B8" w14:paraId="1470AA53" w14:textId="77777777" w:rsidTr="00C767B8">
        <w:trPr>
          <w:trHeight w:val="34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42EB1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K05516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03B88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cbpA</w:t>
            </w:r>
            <w:proofErr w:type="spellEnd"/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8945D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 curved DNA-binding protein</w:t>
            </w:r>
          </w:p>
        </w:tc>
      </w:tr>
      <w:tr w:rsidR="00C767B8" w:rsidRPr="00C767B8" w14:paraId="0E6E250F" w14:textId="77777777" w:rsidTr="00C767B8">
        <w:trPr>
          <w:trHeight w:val="34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2F36A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K05601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10B5D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hcp</w:t>
            </w:r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DD12B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 hydroxylamine reductase [EC:1.7.99.1]</w:t>
            </w:r>
          </w:p>
        </w:tc>
      </w:tr>
      <w:tr w:rsidR="00C767B8" w:rsidRPr="00C767B8" w14:paraId="660DFC76" w14:textId="77777777" w:rsidTr="00C767B8">
        <w:trPr>
          <w:trHeight w:val="34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05A09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K06872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ADDD7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K06872</w:t>
            </w:r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D6163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 uncharacterized protein</w:t>
            </w:r>
          </w:p>
        </w:tc>
      </w:tr>
      <w:tr w:rsidR="00C767B8" w:rsidRPr="00C767B8" w14:paraId="46095913" w14:textId="77777777" w:rsidTr="00C767B8">
        <w:trPr>
          <w:trHeight w:val="34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B317B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K06889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603C3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K06889</w:t>
            </w:r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B4601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 uncharacterized protein</w:t>
            </w:r>
          </w:p>
        </w:tc>
      </w:tr>
      <w:tr w:rsidR="00C767B8" w:rsidRPr="00C767B8" w14:paraId="0CB3D4F8" w14:textId="77777777" w:rsidTr="00C767B8">
        <w:trPr>
          <w:trHeight w:val="34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AF708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K06926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3D28A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K06926</w:t>
            </w:r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0A983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 uncharacterized protein</w:t>
            </w:r>
          </w:p>
        </w:tc>
      </w:tr>
      <w:tr w:rsidR="00C767B8" w:rsidRPr="00C767B8" w14:paraId="7D1A130B" w14:textId="77777777" w:rsidTr="00C767B8">
        <w:trPr>
          <w:trHeight w:val="34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DE16B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K06959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DAFF8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tex</w:t>
            </w:r>
            <w:proofErr w:type="spellEnd"/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49EBA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  <w:proofErr w:type="spellStart"/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Tex</w:t>
            </w:r>
            <w:proofErr w:type="spellEnd"/>
          </w:p>
        </w:tc>
      </w:tr>
      <w:tr w:rsidR="00C767B8" w:rsidRPr="00C767B8" w14:paraId="6789AC4C" w14:textId="77777777" w:rsidTr="00C767B8">
        <w:trPr>
          <w:trHeight w:val="34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98627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K07005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C7B6E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K07005</w:t>
            </w:r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80F23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 uncharacterized protein</w:t>
            </w:r>
          </w:p>
        </w:tc>
      </w:tr>
      <w:tr w:rsidR="00C767B8" w:rsidRPr="00C767B8" w14:paraId="581503E1" w14:textId="77777777" w:rsidTr="00C767B8">
        <w:trPr>
          <w:trHeight w:val="34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3BFBF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K07024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FB796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SPP</w:t>
            </w:r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CDFC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 sucrose-6-phosphatase [EC:3.1.3.24]</w:t>
            </w:r>
          </w:p>
        </w:tc>
      </w:tr>
      <w:tr w:rsidR="00C767B8" w:rsidRPr="00C767B8" w14:paraId="663D9E61" w14:textId="77777777" w:rsidTr="00C767B8">
        <w:trPr>
          <w:trHeight w:val="34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2A595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K07139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70C9C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K07139</w:t>
            </w:r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BA173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 uncharacterized protein</w:t>
            </w:r>
          </w:p>
        </w:tc>
      </w:tr>
      <w:tr w:rsidR="00C767B8" w:rsidRPr="00C767B8" w14:paraId="61FAA89F" w14:textId="77777777" w:rsidTr="00C767B8">
        <w:trPr>
          <w:trHeight w:val="34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1D4C4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K07154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C41C4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hipA</w:t>
            </w:r>
            <w:proofErr w:type="spellEnd"/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3B885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 serine/threonine-protein kinase </w:t>
            </w:r>
            <w:proofErr w:type="spellStart"/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HipA</w:t>
            </w:r>
            <w:proofErr w:type="spellEnd"/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 [EC:2.7.11.1]</w:t>
            </w:r>
          </w:p>
        </w:tc>
      </w:tr>
      <w:tr w:rsidR="00C767B8" w:rsidRPr="00C767B8" w14:paraId="3A60380D" w14:textId="77777777" w:rsidTr="00C767B8">
        <w:trPr>
          <w:trHeight w:val="34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3C196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K07213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691ED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ATOX1, ATX1, </w:t>
            </w:r>
            <w:proofErr w:type="spellStart"/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copZ</w:t>
            </w:r>
            <w:proofErr w:type="spellEnd"/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, </w:t>
            </w:r>
            <w:proofErr w:type="spellStart"/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golB</w:t>
            </w:r>
            <w:proofErr w:type="spellEnd"/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9034B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 copper chaperone</w:t>
            </w:r>
          </w:p>
        </w:tc>
      </w:tr>
      <w:tr w:rsidR="00C767B8" w:rsidRPr="00C767B8" w14:paraId="4AB4ACBC" w14:textId="77777777" w:rsidTr="00C767B8">
        <w:trPr>
          <w:trHeight w:val="34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32277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K07240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DFD9B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chrA</w:t>
            </w:r>
            <w:proofErr w:type="spellEnd"/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6FCFF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 chromate transporter</w:t>
            </w:r>
          </w:p>
        </w:tc>
      </w:tr>
      <w:tr w:rsidR="00C767B8" w:rsidRPr="00C767B8" w14:paraId="2353B373" w14:textId="77777777" w:rsidTr="00C767B8">
        <w:trPr>
          <w:trHeight w:val="34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389EF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K07316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F3CEF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mod</w:t>
            </w:r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195FB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 adenine-specific DNA-methyltransferase [EC:2.1.1.72]</w:t>
            </w:r>
          </w:p>
        </w:tc>
      </w:tr>
      <w:tr w:rsidR="00C767B8" w:rsidRPr="00C767B8" w14:paraId="2771BECD" w14:textId="77777777" w:rsidTr="00C767B8">
        <w:trPr>
          <w:trHeight w:val="34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80084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K08307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8BB90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mltD</w:t>
            </w:r>
            <w:proofErr w:type="spellEnd"/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, </w:t>
            </w:r>
            <w:proofErr w:type="spellStart"/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dniR</w:t>
            </w:r>
            <w:proofErr w:type="spellEnd"/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08DEF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 membrane-bound lytic murein </w:t>
            </w:r>
            <w:proofErr w:type="spellStart"/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transglycosylase</w:t>
            </w:r>
            <w:proofErr w:type="spellEnd"/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 D [EC:4.2.2.-]</w:t>
            </w:r>
          </w:p>
        </w:tc>
      </w:tr>
      <w:tr w:rsidR="00C767B8" w:rsidRPr="00C767B8" w14:paraId="240AA8F1" w14:textId="77777777" w:rsidTr="00C767B8">
        <w:trPr>
          <w:trHeight w:val="34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1820F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K08641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74D25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vanX</w:t>
            </w:r>
            <w:proofErr w:type="spellEnd"/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75A28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 zinc D-Ala-D-Ala dipeptidase [EC:3.4.13.22]</w:t>
            </w:r>
          </w:p>
        </w:tc>
      </w:tr>
      <w:tr w:rsidR="00C767B8" w:rsidRPr="00C767B8" w14:paraId="3E52BDCF" w14:textId="77777777" w:rsidTr="00C767B8">
        <w:trPr>
          <w:trHeight w:val="34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FFB6B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K08998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D17DB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K08998</w:t>
            </w:r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8FA30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 uncharacterized protein</w:t>
            </w:r>
          </w:p>
        </w:tc>
      </w:tr>
      <w:tr w:rsidR="00C767B8" w:rsidRPr="00C767B8" w14:paraId="6D812FAF" w14:textId="77777777" w:rsidTr="00C767B8">
        <w:trPr>
          <w:trHeight w:val="34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874C9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K09607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4FA8C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ina</w:t>
            </w:r>
            <w:proofErr w:type="spellEnd"/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C70D4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 immune inhibitor A [EC:3.4.24.-]</w:t>
            </w:r>
          </w:p>
        </w:tc>
      </w:tr>
      <w:tr w:rsidR="00C767B8" w:rsidRPr="00C767B8" w14:paraId="7BEC6B20" w14:textId="77777777" w:rsidTr="00C767B8">
        <w:trPr>
          <w:trHeight w:val="34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F4609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K11921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E8BAE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cynR</w:t>
            </w:r>
            <w:proofErr w:type="spellEnd"/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165D5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LysR</w:t>
            </w:r>
            <w:proofErr w:type="spellEnd"/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 family transcriptional regulator, </w:t>
            </w:r>
            <w:proofErr w:type="spellStart"/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cyn</w:t>
            </w:r>
            <w:proofErr w:type="spellEnd"/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 operon transcriptional activator</w:t>
            </w:r>
          </w:p>
        </w:tc>
      </w:tr>
      <w:tr w:rsidR="00C767B8" w:rsidRPr="00C767B8" w14:paraId="1A81AB97" w14:textId="77777777" w:rsidTr="00C767B8">
        <w:trPr>
          <w:trHeight w:val="34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6A728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K13038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77F2D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coaBC</w:t>
            </w:r>
            <w:proofErr w:type="spellEnd"/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, </w:t>
            </w:r>
            <w:proofErr w:type="spellStart"/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dfp</w:t>
            </w:r>
            <w:proofErr w:type="spellEnd"/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6AC6D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phosphopantothenoylcysteine</w:t>
            </w:r>
            <w:proofErr w:type="spellEnd"/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 decarboxylase / [EC:4.1.1.36 6.3.2.5]</w:t>
            </w:r>
          </w:p>
        </w:tc>
      </w:tr>
      <w:tr w:rsidR="00C767B8" w:rsidRPr="00C767B8" w14:paraId="236FE3BF" w14:textId="77777777" w:rsidTr="00C767B8">
        <w:trPr>
          <w:trHeight w:val="34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07919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K13993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2AB97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HSP20</w:t>
            </w:r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DB545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 HSP20 family protein</w:t>
            </w:r>
          </w:p>
        </w:tc>
      </w:tr>
      <w:tr w:rsidR="00C767B8" w:rsidRPr="00C767B8" w14:paraId="254E245E" w14:textId="77777777" w:rsidTr="00C767B8">
        <w:trPr>
          <w:trHeight w:val="34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0DB66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K16053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D96B1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ybdG</w:t>
            </w:r>
            <w:proofErr w:type="spellEnd"/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, </w:t>
            </w:r>
            <w:proofErr w:type="spellStart"/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mscM</w:t>
            </w:r>
            <w:proofErr w:type="spellEnd"/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AFECF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miniconductance</w:t>
            </w:r>
            <w:proofErr w:type="spellEnd"/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 mechanosensitive channel</w:t>
            </w:r>
          </w:p>
        </w:tc>
      </w:tr>
      <w:tr w:rsidR="00C767B8" w:rsidRPr="00C767B8" w14:paraId="609FFF8A" w14:textId="77777777" w:rsidTr="00C767B8">
        <w:trPr>
          <w:trHeight w:val="340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5E378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K18928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44AB6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lldE</w:t>
            </w:r>
            <w:proofErr w:type="spellEnd"/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2F2F8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 L-lactate dehydrogenase complex protein </w:t>
            </w:r>
            <w:proofErr w:type="spellStart"/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LldE</w:t>
            </w:r>
            <w:proofErr w:type="spellEnd"/>
          </w:p>
        </w:tc>
      </w:tr>
      <w:tr w:rsidR="00C767B8" w:rsidRPr="00C767B8" w14:paraId="1544CBAF" w14:textId="77777777" w:rsidTr="00C767B8">
        <w:trPr>
          <w:trHeight w:val="340"/>
        </w:trPr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1B3D40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K18929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09C493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lldF</w:t>
            </w:r>
            <w:proofErr w:type="spellEnd"/>
          </w:p>
        </w:tc>
        <w:tc>
          <w:tcPr>
            <w:tcW w:w="6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C70CD9" w14:textId="77777777" w:rsidR="00C767B8" w:rsidRPr="00C767B8" w:rsidRDefault="00C767B8" w:rsidP="00C7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</w:pPr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 xml:space="preserve"> L-lactate dehydrogenase complex protein </w:t>
            </w:r>
            <w:proofErr w:type="spellStart"/>
            <w:r w:rsidRPr="00C767B8">
              <w:rPr>
                <w:rFonts w:ascii="Times New Roman" w:eastAsia="Malgun Gothic" w:hAnsi="Times New Roman" w:cs="Times New Roman"/>
                <w:color w:val="000000"/>
                <w:kern w:val="0"/>
                <w:sz w:val="18"/>
                <w:szCs w:val="18"/>
              </w:rPr>
              <w:t>LldF</w:t>
            </w:r>
            <w:proofErr w:type="spellEnd"/>
          </w:p>
        </w:tc>
      </w:tr>
    </w:tbl>
    <w:p w14:paraId="39BBD082" w14:textId="77777777" w:rsidR="000D6F6C" w:rsidRPr="00204F92" w:rsidRDefault="000D6F6C" w:rsidP="004E2CF8">
      <w:pPr>
        <w:jc w:val="center"/>
        <w:rPr>
          <w:sz w:val="17"/>
          <w:szCs w:val="17"/>
        </w:rPr>
      </w:pPr>
    </w:p>
    <w:sectPr w:rsidR="000D6F6C" w:rsidRPr="00204F92" w:rsidSect="0054012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8DFE94" w14:textId="77777777" w:rsidR="00C40F97" w:rsidRDefault="00C40F97" w:rsidP="00932C5B">
      <w:pPr>
        <w:spacing w:after="0" w:line="240" w:lineRule="auto"/>
      </w:pPr>
      <w:r>
        <w:separator/>
      </w:r>
    </w:p>
  </w:endnote>
  <w:endnote w:type="continuationSeparator" w:id="0">
    <w:p w14:paraId="35046659" w14:textId="77777777" w:rsidR="00C40F97" w:rsidRDefault="00C40F97" w:rsidP="00932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02229480"/>
      <w:docPartObj>
        <w:docPartGallery w:val="Page Numbers (Bottom of Page)"/>
        <w:docPartUnique/>
      </w:docPartObj>
    </w:sdtPr>
    <w:sdtEndPr/>
    <w:sdtContent>
      <w:p w14:paraId="227C17C6" w14:textId="221FDE9D" w:rsidR="004E2CF8" w:rsidRDefault="004E2CF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4BA90875" w14:textId="77777777" w:rsidR="004E2CF8" w:rsidRDefault="004E2C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AEE1FE" w14:textId="77777777" w:rsidR="00C40F97" w:rsidRDefault="00C40F97" w:rsidP="00932C5B">
      <w:pPr>
        <w:spacing w:after="0" w:line="240" w:lineRule="auto"/>
      </w:pPr>
      <w:r>
        <w:separator/>
      </w:r>
    </w:p>
  </w:footnote>
  <w:footnote w:type="continuationSeparator" w:id="0">
    <w:p w14:paraId="16B2C382" w14:textId="77777777" w:rsidR="00C40F97" w:rsidRDefault="00C40F97" w:rsidP="00932C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237"/>
    <w:rsid w:val="000D6F6C"/>
    <w:rsid w:val="001E5AC3"/>
    <w:rsid w:val="00202412"/>
    <w:rsid w:val="00204F92"/>
    <w:rsid w:val="00376553"/>
    <w:rsid w:val="004932E8"/>
    <w:rsid w:val="004E2CF8"/>
    <w:rsid w:val="0054012C"/>
    <w:rsid w:val="006316C0"/>
    <w:rsid w:val="006B7C43"/>
    <w:rsid w:val="006F5A5F"/>
    <w:rsid w:val="007909F0"/>
    <w:rsid w:val="00907601"/>
    <w:rsid w:val="00932C5B"/>
    <w:rsid w:val="00944762"/>
    <w:rsid w:val="009E24AD"/>
    <w:rsid w:val="00A03A1E"/>
    <w:rsid w:val="00A35B9A"/>
    <w:rsid w:val="00B2181F"/>
    <w:rsid w:val="00B35DCB"/>
    <w:rsid w:val="00C36549"/>
    <w:rsid w:val="00C40F97"/>
    <w:rsid w:val="00C767B8"/>
    <w:rsid w:val="00CA4083"/>
    <w:rsid w:val="00D806E1"/>
    <w:rsid w:val="00E878FA"/>
    <w:rsid w:val="00FE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2F7C55"/>
  <w15:chartTrackingRefBased/>
  <w15:docId w15:val="{62B35594-1846-4074-86D2-840610D52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2C5B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932C5B"/>
  </w:style>
  <w:style w:type="paragraph" w:styleId="Footer">
    <w:name w:val="footer"/>
    <w:basedOn w:val="Normal"/>
    <w:link w:val="FooterChar"/>
    <w:uiPriority w:val="99"/>
    <w:unhideWhenUsed/>
    <w:rsid w:val="00932C5B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932C5B"/>
  </w:style>
  <w:style w:type="character" w:styleId="LineNumber">
    <w:name w:val="line number"/>
    <w:basedOn w:val="DefaultParagraphFont"/>
    <w:uiPriority w:val="99"/>
    <w:semiHidden/>
    <w:unhideWhenUsed/>
    <w:rsid w:val="00C76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1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1530</Words>
  <Characters>8724</Characters>
  <Application>Microsoft Office Word</Application>
  <DocSecurity>0</DocSecurity>
  <Lines>72</Lines>
  <Paragraphs>20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조영재</dc:creator>
  <cp:keywords/>
  <dc:description/>
  <cp:lastModifiedBy>Olliver, Tania</cp:lastModifiedBy>
  <cp:revision>2</cp:revision>
  <cp:lastPrinted>2021-12-09T11:27:00Z</cp:lastPrinted>
  <dcterms:created xsi:type="dcterms:W3CDTF">2021-12-29T22:24:00Z</dcterms:created>
  <dcterms:modified xsi:type="dcterms:W3CDTF">2021-12-29T22:24:00Z</dcterms:modified>
</cp:coreProperties>
</file>