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5941" w14:textId="77777777" w:rsidR="000B0680" w:rsidRPr="002A5F87" w:rsidRDefault="002C47AA" w:rsidP="00897B2C">
      <w:pPr>
        <w:pStyle w:val="1"/>
        <w:tabs>
          <w:tab w:val="left" w:pos="426"/>
        </w:tabs>
        <w:spacing w:after="0" w:line="240" w:lineRule="auto"/>
        <w:ind w:rightChars="-100" w:right="-210" w:firstLineChars="0" w:firstLine="0"/>
        <w:contextualSpacing/>
        <w:rPr>
          <w:rFonts w:ascii="Arial" w:eastAsia="宋体" w:hAnsi="Arial" w:cs="Arial"/>
          <w:b/>
          <w:bCs/>
          <w:sz w:val="24"/>
          <w:szCs w:val="24"/>
        </w:rPr>
      </w:pPr>
      <w:bookmarkStart w:id="0" w:name="_Hlk77291316"/>
      <w:r w:rsidRPr="002A5F87">
        <w:rPr>
          <w:rFonts w:ascii="Arial" w:eastAsia="宋体" w:hAnsi="Arial" w:cs="Arial"/>
          <w:b/>
          <w:bCs/>
          <w:sz w:val="24"/>
          <w:szCs w:val="24"/>
        </w:rPr>
        <w:t>Supplemental Table 1. Clinical manifestations in 10 patients with disseminated nontuberculous mycobacterial disease with osteolytic lesions.</w:t>
      </w:r>
    </w:p>
    <w:tbl>
      <w:tblPr>
        <w:tblStyle w:val="af4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410"/>
        <w:gridCol w:w="1984"/>
      </w:tblGrid>
      <w:tr w:rsidR="004F747E" w:rsidRPr="002A5F87" w14:paraId="25E776B3" w14:textId="77777777" w:rsidTr="0076353F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5FE02EF" w14:textId="77777777" w:rsidR="000B0680" w:rsidRPr="0076353F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353F">
              <w:rPr>
                <w:rFonts w:ascii="Arial" w:hAnsi="Arial" w:cs="Arial"/>
                <w:b/>
                <w:bCs/>
                <w:sz w:val="24"/>
                <w:szCs w:val="24"/>
              </w:rPr>
              <w:t>Symptom/</w:t>
            </w:r>
            <w:bookmarkStart w:id="1" w:name="OLE_LINK32"/>
            <w:r w:rsidRPr="0076353F">
              <w:rPr>
                <w:rFonts w:ascii="Arial" w:hAnsi="Arial" w:cs="Arial"/>
                <w:b/>
                <w:bCs/>
                <w:sz w:val="24"/>
                <w:szCs w:val="24"/>
              </w:rPr>
              <w:t>Sign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C34904" w14:textId="77777777" w:rsidR="000B0680" w:rsidRPr="0076353F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353F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D4EF28" w14:textId="77777777" w:rsidR="000B0680" w:rsidRPr="0076353F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353F">
              <w:rPr>
                <w:rFonts w:ascii="Arial" w:hAnsi="Arial" w:cs="Arial"/>
                <w:b/>
                <w:bCs/>
                <w:sz w:val="24"/>
                <w:szCs w:val="24"/>
              </w:rPr>
              <w:t>Percentage (%)</w:t>
            </w:r>
          </w:p>
        </w:tc>
      </w:tr>
      <w:tr w:rsidR="004F747E" w:rsidRPr="002A5F87" w14:paraId="05C37455" w14:textId="77777777" w:rsidTr="0076353F">
        <w:tc>
          <w:tcPr>
            <w:tcW w:w="9072" w:type="dxa"/>
            <w:gridSpan w:val="3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BC1681A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General symptoms</w:t>
            </w:r>
          </w:p>
        </w:tc>
      </w:tr>
      <w:tr w:rsidR="004F747E" w:rsidRPr="002A5F87" w14:paraId="590F47F0" w14:textId="77777777" w:rsidTr="0076353F">
        <w:tc>
          <w:tcPr>
            <w:tcW w:w="4678" w:type="dxa"/>
            <w:tcBorders>
              <w:top w:val="nil"/>
              <w:bottom w:val="nil"/>
            </w:tcBorders>
          </w:tcPr>
          <w:p w14:paraId="36528DE9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Anemia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1B03DB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6FA4B9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F747E" w:rsidRPr="002A5F87" w14:paraId="53BA568F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3A47B042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Fever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6B41A74B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50BBE7D9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4F747E" w:rsidRPr="002A5F87" w14:paraId="0E9F5B97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E9786EA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Emaciation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61F861E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268EED7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4F747E" w:rsidRPr="002A5F87" w14:paraId="52039B41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12896D27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Night sweats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3D2D2B9D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08EEF397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F747E" w:rsidRPr="002A5F87" w14:paraId="037BD9BA" w14:textId="77777777" w:rsidTr="0076353F">
        <w:tc>
          <w:tcPr>
            <w:tcW w:w="90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F67FDAD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Respiratory symptoms</w:t>
            </w:r>
          </w:p>
        </w:tc>
      </w:tr>
      <w:tr w:rsidR="004F747E" w:rsidRPr="002A5F87" w14:paraId="10768365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415C5C0F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leftChars="100" w:left="210" w:firstLineChars="0" w:firstLine="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Cough and expectoration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0F447ABA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5124EBCA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4F747E" w:rsidRPr="002A5F87" w14:paraId="42D456B2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D9B7975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Dyspnea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08F4715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53A6D8B4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F747E" w:rsidRPr="002A5F87" w14:paraId="1CEB2E53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670EB451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Stethalgia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3A287678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3D55BAC7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F747E" w:rsidRPr="002A5F87" w14:paraId="71103398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55CEB51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Hemoptysis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8BC28A3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56FE77B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F747E" w:rsidRPr="002A5F87" w14:paraId="0ED7590E" w14:textId="77777777" w:rsidTr="0076353F">
        <w:tc>
          <w:tcPr>
            <w:tcW w:w="9072" w:type="dxa"/>
            <w:gridSpan w:val="3"/>
            <w:tcBorders>
              <w:top w:val="nil"/>
              <w:bottom w:val="nil"/>
            </w:tcBorders>
            <w:shd w:val="pct12" w:color="auto" w:fill="auto"/>
          </w:tcPr>
          <w:p w14:paraId="15984D3A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Digestive tract symptoms</w:t>
            </w:r>
          </w:p>
        </w:tc>
      </w:tr>
      <w:tr w:rsidR="004F747E" w:rsidRPr="002A5F87" w14:paraId="6E9B67B9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6801D4A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Anorexia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2BF08A5C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5F8A33E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F747E" w:rsidRPr="002A5F87" w14:paraId="74FD8A8C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5AE71B1E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Nausea and vomiting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6F0831ED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28703DBF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F747E" w:rsidRPr="002A5F87" w14:paraId="31EE1161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DB9059C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leftChars="100" w:left="210" w:firstLineChars="0" w:firstLine="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Abdominal pain and distension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E19091C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17F7667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F747E" w:rsidRPr="002A5F87" w14:paraId="5F5841D5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151D866A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Diarrhea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28BA519F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0EDA14AF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F747E" w:rsidRPr="002A5F87" w14:paraId="1FED07F8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7E2746D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Bloody stool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25995097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05B58647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F747E" w:rsidRPr="002A5F87" w14:paraId="2D33851D" w14:textId="77777777" w:rsidTr="0076353F">
        <w:tc>
          <w:tcPr>
            <w:tcW w:w="9072" w:type="dxa"/>
            <w:gridSpan w:val="3"/>
            <w:tcBorders>
              <w:top w:val="nil"/>
              <w:bottom w:val="nil"/>
            </w:tcBorders>
            <w:shd w:val="pct12" w:color="auto" w:fill="auto"/>
          </w:tcPr>
          <w:p w14:paraId="63577515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Bone and joint symptoms</w:t>
            </w:r>
          </w:p>
        </w:tc>
      </w:tr>
      <w:tr w:rsidR="004F747E" w:rsidRPr="002A5F87" w14:paraId="6604A18B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C868540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Ostealgia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FB2A850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43EFEA84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F747E" w:rsidRPr="002A5F87" w14:paraId="680B775B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5AB6384C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Joint pain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1B9A9D8B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159AA07C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96C60" w:rsidRPr="002A5F87" w14:paraId="1E7651A7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26F54FE3" w14:textId="2262B7E5" w:rsidR="00796C60" w:rsidRPr="002127D8" w:rsidRDefault="006113DB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hAnsi="Arial" w:cs="Arial"/>
                <w:color w:val="000000" w:themeColor="text1"/>
                <w:sz w:val="24"/>
                <w:szCs w:val="24"/>
              </w:rPr>
              <w:t>Joint d</w:t>
            </w:r>
            <w:r w:rsidR="00796C60" w:rsidRPr="002127D8">
              <w:rPr>
                <w:rFonts w:ascii="Arial" w:hAnsi="Arial" w:cs="Arial"/>
                <w:color w:val="000000" w:themeColor="text1"/>
                <w:sz w:val="24"/>
                <w:szCs w:val="24"/>
              </w:rPr>
              <w:t>ysfunction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2C067429" w14:textId="2005D2F5" w:rsidR="00796C60" w:rsidRPr="002127D8" w:rsidRDefault="00E24788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0EA30152" w14:textId="704825E8" w:rsidR="00796C60" w:rsidRPr="002127D8" w:rsidRDefault="00E24788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796C60" w:rsidRPr="002127D8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F747E" w:rsidRPr="002A5F87" w14:paraId="5764726F" w14:textId="77777777" w:rsidTr="0076353F">
        <w:tc>
          <w:tcPr>
            <w:tcW w:w="90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AEED4BF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Signs</w:t>
            </w:r>
          </w:p>
        </w:tc>
      </w:tr>
      <w:tr w:rsidR="004F747E" w:rsidRPr="002A5F87" w14:paraId="6187BBEA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4386FE5D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leftChars="50" w:left="105" w:firstLineChars="50" w:firstLine="12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Subcutaneous nodules or abscesses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2CD92129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20D9E089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4F747E" w:rsidRPr="002A5F87" w14:paraId="08CF3304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F40D92C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Lymphadenopathy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5D84CAA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3602143D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4F747E" w:rsidRPr="002A5F87" w14:paraId="476EEEE6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0FE4E58A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Rashes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5B46A4BD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402ADD0C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F747E" w:rsidRPr="002A5F87" w14:paraId="417FBEDC" w14:textId="77777777" w:rsidTr="0076353F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5CFC9B8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Sinus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F7A5B5C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40F7EC9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F747E" w:rsidRPr="002A5F87" w14:paraId="68E9A44E" w14:textId="77777777" w:rsidTr="0076353F">
        <w:tc>
          <w:tcPr>
            <w:tcW w:w="4678" w:type="dxa"/>
            <w:tcBorders>
              <w:top w:val="nil"/>
              <w:bottom w:val="nil"/>
            </w:tcBorders>
            <w:shd w:val="pct12" w:color="auto" w:fill="auto"/>
          </w:tcPr>
          <w:p w14:paraId="5CC9CF98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Pulmonary moist rales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pct12" w:color="auto" w:fill="auto"/>
          </w:tcPr>
          <w:p w14:paraId="452DD39C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pct12" w:color="auto" w:fill="auto"/>
          </w:tcPr>
          <w:p w14:paraId="0A1BD5E7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4F747E" w:rsidRPr="002A5F87" w14:paraId="66E76CC8" w14:textId="77777777" w:rsidTr="0076353F"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5136AD" w14:textId="77777777" w:rsidR="000B0680" w:rsidRPr="002A5F87" w:rsidRDefault="00063F2C" w:rsidP="00AB43D5">
            <w:pPr>
              <w:pStyle w:val="1"/>
              <w:tabs>
                <w:tab w:val="left" w:pos="426"/>
              </w:tabs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Hepatosplenomegaly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AB6BBB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50B974" w14:textId="77777777" w:rsidR="000B0680" w:rsidRPr="002A5F87" w:rsidRDefault="00063F2C" w:rsidP="004710AC">
            <w:pPr>
              <w:pStyle w:val="1"/>
              <w:tabs>
                <w:tab w:val="left" w:pos="426"/>
              </w:tabs>
              <w:spacing w:after="0" w:line="240" w:lineRule="auto"/>
              <w:ind w:firstLineChars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F8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bookmarkEnd w:id="0"/>
    </w:tbl>
    <w:p w14:paraId="57452619" w14:textId="0C3B757A" w:rsidR="00F85CA1" w:rsidRDefault="00F85CA1" w:rsidP="00AB43D5">
      <w:pP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167587" w14:textId="58A7B351" w:rsidR="0028034F" w:rsidRDefault="0028034F" w:rsidP="00AB43D5">
      <w:pP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E6B308" w14:textId="77777777" w:rsidR="00672518" w:rsidRDefault="00672518" w:rsidP="00AB43D5">
      <w:pP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  <w:sectPr w:rsidR="00672518" w:rsidSect="00FC46A7">
          <w:footerReference w:type="default" r:id="rId8"/>
          <w:pgSz w:w="12240" w:h="15840" w:code="1"/>
          <w:pgMar w:top="1699" w:right="1699" w:bottom="1699" w:left="1699" w:header="851" w:footer="992" w:gutter="0"/>
          <w:cols w:space="425"/>
          <w:docGrid w:type="lines" w:linePitch="312"/>
        </w:sectPr>
      </w:pPr>
    </w:p>
    <w:p w14:paraId="45F6781C" w14:textId="0DF3593C" w:rsidR="00672518" w:rsidRPr="0076353F" w:rsidRDefault="00672518" w:rsidP="0076353F">
      <w:pPr>
        <w:autoSpaceDE w:val="0"/>
        <w:autoSpaceDN w:val="0"/>
        <w:adjustRightInd w:val="0"/>
        <w:ind w:leftChars="-250" w:left="-525" w:rightChars="-350" w:right="-735"/>
        <w:contextualSpacing/>
        <w:rPr>
          <w:rFonts w:ascii="Arial" w:eastAsia="宋体" w:hAnsi="Arial" w:cs="Arial"/>
          <w:b/>
          <w:bCs/>
          <w:kern w:val="0"/>
          <w:sz w:val="22"/>
          <w:szCs w:val="22"/>
        </w:rPr>
      </w:pPr>
      <w:r w:rsidRPr="0076353F">
        <w:rPr>
          <w:rFonts w:ascii="Arial" w:eastAsia="宋体" w:hAnsi="Arial" w:cs="Arial"/>
          <w:b/>
          <w:bCs/>
          <w:kern w:val="0"/>
          <w:sz w:val="22"/>
          <w:szCs w:val="22"/>
        </w:rPr>
        <w:lastRenderedPageBreak/>
        <w:t>Supplemental Table 2</w:t>
      </w:r>
      <w:r w:rsidRPr="0076353F">
        <w:rPr>
          <w:rFonts w:ascii="Arial" w:eastAsia="宋体" w:hAnsi="Arial" w:cs="Arial"/>
          <w:kern w:val="0"/>
          <w:sz w:val="22"/>
          <w:szCs w:val="22"/>
        </w:rPr>
        <w:t>.</w:t>
      </w:r>
      <w:r w:rsidRPr="0076353F">
        <w:rPr>
          <w:rFonts w:ascii="Arial" w:eastAsia="宋体" w:hAnsi="Arial" w:cs="Arial"/>
          <w:b/>
          <w:bCs/>
          <w:kern w:val="0"/>
          <w:sz w:val="22"/>
          <w:szCs w:val="22"/>
        </w:rPr>
        <w:t xml:space="preserve"> Laboratory findings of 10 patients with disseminated nontuberculous mycobacterial disease with osteolytic lesions.</w:t>
      </w:r>
    </w:p>
    <w:tbl>
      <w:tblPr>
        <w:tblStyle w:val="41"/>
        <w:tblW w:w="5462" w:type="pct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41"/>
        <w:gridCol w:w="909"/>
        <w:gridCol w:w="939"/>
        <w:gridCol w:w="852"/>
        <w:gridCol w:w="969"/>
        <w:gridCol w:w="977"/>
        <w:gridCol w:w="856"/>
        <w:gridCol w:w="856"/>
        <w:gridCol w:w="856"/>
        <w:gridCol w:w="973"/>
        <w:gridCol w:w="889"/>
        <w:gridCol w:w="2675"/>
      </w:tblGrid>
      <w:tr w:rsidR="00967B80" w:rsidRPr="00F80331" w14:paraId="779F7F9A" w14:textId="77777777" w:rsidTr="0076353F">
        <w:trPr>
          <w:trHeight w:val="29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AA630" w14:textId="77777777" w:rsidR="00672518" w:rsidRPr="0076353F" w:rsidRDefault="00672518" w:rsidP="00672518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bookmarkStart w:id="2" w:name="_Hlk7541557"/>
            <w:bookmarkStart w:id="3" w:name="OLE_LINK15"/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63502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P1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C8910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P2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2DD8A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P3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9CFD9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P4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7AB13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AB978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9E199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08ADC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P8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BCDC6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P9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1F314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P10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7316A" w14:textId="77777777" w:rsidR="00672518" w:rsidRPr="0076353F" w:rsidRDefault="00672518" w:rsidP="0076353F">
            <w:pPr>
              <w:jc w:val="left"/>
              <w:rPr>
                <w:rFonts w:ascii="Arial" w:eastAsia="等线" w:hAnsi="Arial" w:cs="Arial"/>
                <w:b/>
                <w:bCs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b/>
                <w:bCs/>
                <w:sz w:val="22"/>
                <w:szCs w:val="22"/>
              </w:rPr>
              <w:t>Median (IQR)</w:t>
            </w:r>
          </w:p>
        </w:tc>
      </w:tr>
      <w:tr w:rsidR="005873F3" w:rsidRPr="00F80331" w14:paraId="210C9FC5" w14:textId="77777777" w:rsidTr="0076353F">
        <w:trPr>
          <w:trHeight w:val="290"/>
        </w:trPr>
        <w:tc>
          <w:tcPr>
            <w:tcW w:w="677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CEF3DD1" w14:textId="77777777" w:rsidR="00672518" w:rsidRPr="0076353F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bookmarkStart w:id="4" w:name="_Hlk6599012"/>
            <w:r w:rsidRPr="001C2E37">
              <w:rPr>
                <w:rFonts w:ascii="Arial" w:eastAsia="等线" w:hAnsi="Arial" w:cs="Arial"/>
                <w:sz w:val="22"/>
                <w:szCs w:val="22"/>
              </w:rPr>
              <w:t>WBCs (×10</w:t>
            </w:r>
            <w:r w:rsidRPr="00CC638A">
              <w:rPr>
                <w:rFonts w:ascii="Arial" w:eastAsia="等线" w:hAnsi="Arial" w:cs="Arial"/>
                <w:sz w:val="22"/>
                <w:szCs w:val="22"/>
                <w:vertAlign w:val="superscript"/>
              </w:rPr>
              <w:t>9</w:t>
            </w:r>
            <w:r w:rsidRPr="00CC638A">
              <w:rPr>
                <w:rFonts w:ascii="Arial" w:eastAsia="等线" w:hAnsi="Arial" w:cs="Arial"/>
                <w:sz w:val="22"/>
                <w:szCs w:val="22"/>
              </w:rPr>
              <w:t>/L)</w:t>
            </w:r>
          </w:p>
        </w:tc>
        <w:tc>
          <w:tcPr>
            <w:tcW w:w="334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412352F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26.99</w:t>
            </w:r>
          </w:p>
        </w:tc>
        <w:tc>
          <w:tcPr>
            <w:tcW w:w="345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0332B7F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11.54</w:t>
            </w:r>
          </w:p>
        </w:tc>
        <w:tc>
          <w:tcPr>
            <w:tcW w:w="313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4BC8E16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13.42</w:t>
            </w: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747B7E9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8.59</w:t>
            </w:r>
          </w:p>
        </w:tc>
        <w:tc>
          <w:tcPr>
            <w:tcW w:w="359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40B344D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20.47</w:t>
            </w:r>
          </w:p>
        </w:tc>
        <w:tc>
          <w:tcPr>
            <w:tcW w:w="315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3865912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34.91</w:t>
            </w:r>
          </w:p>
        </w:tc>
        <w:tc>
          <w:tcPr>
            <w:tcW w:w="315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2B7E47D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12.31</w:t>
            </w:r>
          </w:p>
        </w:tc>
        <w:tc>
          <w:tcPr>
            <w:tcW w:w="315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2697695D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18.15</w:t>
            </w:r>
          </w:p>
        </w:tc>
        <w:tc>
          <w:tcPr>
            <w:tcW w:w="358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19B1CF3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15.87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5567D7F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11.95</w:t>
            </w:r>
          </w:p>
        </w:tc>
        <w:tc>
          <w:tcPr>
            <w:tcW w:w="984" w:type="pct"/>
            <w:tcBorders>
              <w:top w:val="single" w:sz="4" w:space="0" w:color="auto"/>
              <w:bottom w:val="nil"/>
            </w:tcBorders>
            <w:shd w:val="pct12" w:color="auto" w:fill="auto"/>
          </w:tcPr>
          <w:p w14:paraId="0BD5B85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14.65 (11.85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22.1)</w:t>
            </w:r>
          </w:p>
        </w:tc>
      </w:tr>
      <w:tr w:rsidR="00967B80" w:rsidRPr="00F80331" w14:paraId="1303B55F" w14:textId="77777777" w:rsidTr="00967B80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7C59FFB6" w14:textId="77777777" w:rsidR="00672518" w:rsidRPr="00CC638A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Neu (×10</w:t>
            </w:r>
            <w:r w:rsidRPr="001C2E37">
              <w:rPr>
                <w:rFonts w:ascii="Arial" w:eastAsia="等线" w:hAnsi="Arial" w:cs="Arial"/>
                <w:sz w:val="22"/>
                <w:szCs w:val="22"/>
                <w:vertAlign w:val="superscript"/>
              </w:rPr>
              <w:t>9</w:t>
            </w:r>
            <w:r w:rsidRPr="00CC638A">
              <w:rPr>
                <w:rFonts w:ascii="Arial" w:eastAsia="等线" w:hAnsi="Arial" w:cs="Arial"/>
                <w:sz w:val="22"/>
                <w:szCs w:val="22"/>
              </w:rPr>
              <w:t>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23B3DD5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24.5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463ED53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9.92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7386F99E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10.97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1C2323A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6.25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0B1B7DE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16.8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38B9142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32.5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2F46055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8.32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2C479BC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13.84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523095A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12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2CE94E5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8.74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0D6FBF1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11.49 (8.64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18.7)</w:t>
            </w:r>
          </w:p>
        </w:tc>
      </w:tr>
      <w:tr w:rsidR="005873F3" w:rsidRPr="00F80331" w14:paraId="371FD50C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pct12" w:color="auto" w:fill="auto"/>
          </w:tcPr>
          <w:p w14:paraId="1051BE54" w14:textId="77777777" w:rsidR="00672518" w:rsidRPr="00CC638A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ALC (×10</w:t>
            </w:r>
            <w:r w:rsidRPr="001C2E37">
              <w:rPr>
                <w:rFonts w:ascii="Arial" w:eastAsia="等线" w:hAnsi="Arial" w:cs="Arial"/>
                <w:sz w:val="22"/>
                <w:szCs w:val="22"/>
                <w:vertAlign w:val="superscript"/>
              </w:rPr>
              <w:t>9</w:t>
            </w:r>
            <w:r w:rsidRPr="00CC638A">
              <w:rPr>
                <w:rFonts w:ascii="Arial" w:eastAsia="等线" w:hAnsi="Arial" w:cs="Arial"/>
                <w:sz w:val="22"/>
                <w:szCs w:val="22"/>
              </w:rPr>
              <w:t>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pct12" w:color="auto" w:fill="auto"/>
          </w:tcPr>
          <w:p w14:paraId="2AFF549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pct12" w:color="auto" w:fill="auto"/>
          </w:tcPr>
          <w:p w14:paraId="205BED0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1.53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pct12" w:color="auto" w:fill="auto"/>
          </w:tcPr>
          <w:p w14:paraId="01A21CA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1.95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pct12" w:color="auto" w:fill="auto"/>
          </w:tcPr>
          <w:p w14:paraId="433157EE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1.64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pct12" w:color="auto" w:fill="auto"/>
          </w:tcPr>
          <w:p w14:paraId="5707209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1.65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477987E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1.9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1C5FCDB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2.29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22629CD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2.4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pct12" w:color="auto" w:fill="auto"/>
          </w:tcPr>
          <w:p w14:paraId="3C2713D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pct12" w:color="auto" w:fill="auto"/>
          </w:tcPr>
          <w:p w14:paraId="4231A42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1.8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pct12" w:color="auto" w:fill="auto"/>
          </w:tcPr>
          <w:p w14:paraId="0573661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1.93 (1.65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2.07)</w:t>
            </w:r>
          </w:p>
        </w:tc>
      </w:tr>
      <w:bookmarkEnd w:id="4"/>
      <w:tr w:rsidR="00967B80" w:rsidRPr="00F80331" w14:paraId="316B292E" w14:textId="77777777" w:rsidTr="00967B80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5B3D07A6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HGB (g/L)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4F5B406C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64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7AC3564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124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32D118D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100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1AB1C0B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62.9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303A646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94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4B2A80E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70.2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38A12F8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95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1AA9650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71.2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6F95713E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84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53263E1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82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7D29388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83 (68.65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96.25)</w:t>
            </w:r>
          </w:p>
        </w:tc>
      </w:tr>
      <w:tr w:rsidR="005873F3" w:rsidRPr="00F80331" w14:paraId="1B54BB75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pct12" w:color="auto" w:fill="auto"/>
          </w:tcPr>
          <w:p w14:paraId="771786C6" w14:textId="77777777" w:rsidR="00672518" w:rsidRPr="00CC638A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PLTs (×10</w:t>
            </w:r>
            <w:r w:rsidRPr="001C2E37">
              <w:rPr>
                <w:rFonts w:ascii="Arial" w:eastAsia="等线" w:hAnsi="Arial" w:cs="Arial"/>
                <w:sz w:val="22"/>
                <w:szCs w:val="22"/>
                <w:vertAlign w:val="superscript"/>
              </w:rPr>
              <w:t>9</w:t>
            </w:r>
            <w:r w:rsidRPr="00CC638A">
              <w:rPr>
                <w:rFonts w:ascii="Arial" w:eastAsia="等线" w:hAnsi="Arial" w:cs="Arial"/>
                <w:sz w:val="22"/>
                <w:szCs w:val="22"/>
              </w:rPr>
              <w:t>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pct12" w:color="auto" w:fill="auto"/>
          </w:tcPr>
          <w:p w14:paraId="5C9A5B8E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739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pct12" w:color="auto" w:fill="auto"/>
          </w:tcPr>
          <w:p w14:paraId="28B739B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248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pct12" w:color="auto" w:fill="auto"/>
          </w:tcPr>
          <w:p w14:paraId="182E073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604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pct12" w:color="auto" w:fill="auto"/>
          </w:tcPr>
          <w:p w14:paraId="38D855E6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299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pct12" w:color="auto" w:fill="auto"/>
          </w:tcPr>
          <w:p w14:paraId="5E642ED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612.1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4467047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395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3F223E5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519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1FBD660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589.1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pct12" w:color="auto" w:fill="auto"/>
          </w:tcPr>
          <w:p w14:paraId="40008BD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765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pct12" w:color="auto" w:fill="auto"/>
          </w:tcPr>
          <w:p w14:paraId="70007FE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273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pct12" w:color="auto" w:fill="auto"/>
          </w:tcPr>
          <w:p w14:paraId="5E37BCD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596.5 (371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727)</w:t>
            </w:r>
          </w:p>
        </w:tc>
      </w:tr>
      <w:tr w:rsidR="00967B80" w:rsidRPr="00F80331" w14:paraId="34D9A48F" w14:textId="77777777" w:rsidTr="00967B80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1CA83D31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Albumin (g/L)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7D40316D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23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22B51E62" w14:textId="77777777" w:rsidR="00672518" w:rsidRPr="0076353F" w:rsidRDefault="00672518" w:rsidP="0076353F">
            <w:pPr>
              <w:widowControl/>
              <w:tabs>
                <w:tab w:val="center" w:pos="266"/>
              </w:tabs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40.8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195B4BC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23.5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5E76D14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24.8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0F4795A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27.8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4844904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09604D5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35.8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4E82B52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26.2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076C70C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32.9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662EA94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31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2720EAB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29.4 (24.5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33.6)</w:t>
            </w:r>
          </w:p>
        </w:tc>
      </w:tr>
      <w:tr w:rsidR="005873F3" w:rsidRPr="00F80331" w14:paraId="00B0DD54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pct12" w:color="auto" w:fill="auto"/>
          </w:tcPr>
          <w:p w14:paraId="1C8AC443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Globulin (g/L)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pct12" w:color="auto" w:fill="auto"/>
          </w:tcPr>
          <w:p w14:paraId="12980EAB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38.9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pct12" w:color="auto" w:fill="auto"/>
          </w:tcPr>
          <w:p w14:paraId="6E775ECE" w14:textId="77777777" w:rsidR="00672518" w:rsidRPr="0076353F" w:rsidRDefault="00672518" w:rsidP="0076353F">
            <w:pPr>
              <w:widowControl/>
              <w:tabs>
                <w:tab w:val="center" w:pos="266"/>
              </w:tabs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25.7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pct12" w:color="auto" w:fill="auto"/>
          </w:tcPr>
          <w:p w14:paraId="747CF6E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40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pct12" w:color="auto" w:fill="auto"/>
          </w:tcPr>
          <w:p w14:paraId="7917DAE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36.2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pct12" w:color="auto" w:fill="auto"/>
          </w:tcPr>
          <w:p w14:paraId="2335763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42.3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5504A23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61.9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2DCF5B4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35.4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06EDFAC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48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pct12" w:color="auto" w:fill="auto"/>
          </w:tcPr>
          <w:p w14:paraId="72BA766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34.9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pct12" w:color="auto" w:fill="auto"/>
          </w:tcPr>
          <w:p w14:paraId="765D9D5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45.7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pct12" w:color="auto" w:fill="auto"/>
          </w:tcPr>
          <w:p w14:paraId="006A14E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39.5 (35.2–46.2)</w:t>
            </w:r>
          </w:p>
        </w:tc>
      </w:tr>
      <w:tr w:rsidR="00967B80" w:rsidRPr="00F80331" w14:paraId="5EE03F36" w14:textId="77777777" w:rsidTr="00967B80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1C279937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ALT (U/L)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362D8CB6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54.4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0C7BF66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11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0AA7915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16.8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597FE05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67.2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19CD6D3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19.8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78E40FD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24.9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604015F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52.2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1597E94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16.9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7FDCC08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101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52D3BBC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23.2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1FD8E54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24.05 (16.88–57.6)</w:t>
            </w:r>
          </w:p>
        </w:tc>
      </w:tr>
      <w:tr w:rsidR="005873F3" w:rsidRPr="00F80331" w14:paraId="64B9D14B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pct12" w:color="auto" w:fill="auto"/>
          </w:tcPr>
          <w:p w14:paraId="5BE5EED4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AST (U/L)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pct12" w:color="auto" w:fill="auto"/>
          </w:tcPr>
          <w:p w14:paraId="1F0830A8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117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pct12" w:color="auto" w:fill="auto"/>
          </w:tcPr>
          <w:p w14:paraId="183F574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13.2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pct12" w:color="auto" w:fill="auto"/>
          </w:tcPr>
          <w:p w14:paraId="5103114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45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pct12" w:color="auto" w:fill="auto"/>
          </w:tcPr>
          <w:p w14:paraId="7DB9F71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46.9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pct12" w:color="auto" w:fill="auto"/>
          </w:tcPr>
          <w:p w14:paraId="6249906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22.6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3B350E3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25.5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7D6E3AA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33.2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08CDE6A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17.6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pct12" w:color="auto" w:fill="auto"/>
          </w:tcPr>
          <w:p w14:paraId="5E1551A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17.1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pct12" w:color="auto" w:fill="auto"/>
          </w:tcPr>
          <w:p w14:paraId="72E96E9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22.2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pct12" w:color="auto" w:fill="auto"/>
          </w:tcPr>
          <w:p w14:paraId="0044A6A6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24.05 (17.48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45.5)</w:t>
            </w:r>
          </w:p>
        </w:tc>
      </w:tr>
      <w:tr w:rsidR="00967B80" w:rsidRPr="00F80331" w14:paraId="211A0D26" w14:textId="77777777" w:rsidTr="00967B80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479F23C8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TBiL (mmol/L)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3F2C8959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18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2A9DDF1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7.4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058370D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7.1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1E8B82AD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118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6920F9A4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7.9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3115FDC4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44.9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33B5255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5.1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47664BF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15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3A7D99B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4.8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7F7E46B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3.8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2A6C8AE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7.65 (5.03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24.73)</w:t>
            </w:r>
          </w:p>
        </w:tc>
      </w:tr>
      <w:tr w:rsidR="005873F3" w:rsidRPr="00F80331" w14:paraId="7FD40E67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pct12" w:color="auto" w:fill="auto"/>
          </w:tcPr>
          <w:p w14:paraId="7F7731FC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DBiL (mmol/L)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pct12" w:color="auto" w:fill="auto"/>
          </w:tcPr>
          <w:p w14:paraId="1AC57FD1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6.2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pct12" w:color="auto" w:fill="auto"/>
          </w:tcPr>
          <w:p w14:paraId="25C544B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2.9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pct12" w:color="auto" w:fill="auto"/>
          </w:tcPr>
          <w:p w14:paraId="1BEA583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pct12" w:color="auto" w:fill="auto"/>
          </w:tcPr>
          <w:p w14:paraId="0846AB6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5.7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pct12" w:color="auto" w:fill="auto"/>
          </w:tcPr>
          <w:p w14:paraId="1A2AEA4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4.2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7B69BD44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34.7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228ECAF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5B0E64B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pct12" w:color="auto" w:fill="auto"/>
          </w:tcPr>
          <w:p w14:paraId="52399BC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4.1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pct12" w:color="auto" w:fill="auto"/>
          </w:tcPr>
          <w:p w14:paraId="071A64C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pct12" w:color="auto" w:fill="auto"/>
          </w:tcPr>
          <w:p w14:paraId="1A9922AD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4.05 (2</w:t>
            </w:r>
            <w:r w:rsidRPr="0076353F">
              <w:rPr>
                <w:rFonts w:ascii="Arial" w:eastAsia="等线" w:hAnsi="Arial" w:cs="Arial" w:hint="eastAsia"/>
                <w:sz w:val="22"/>
                <w:szCs w:val="22"/>
              </w:rPr>
              <w:t>－</w:t>
            </w:r>
            <w:r w:rsidRPr="0076353F">
              <w:rPr>
                <w:rFonts w:ascii="Arial" w:eastAsia="等线" w:hAnsi="Arial" w:cs="Arial"/>
                <w:sz w:val="22"/>
                <w:szCs w:val="22"/>
              </w:rPr>
              <w:t>5.83)</w:t>
            </w:r>
          </w:p>
        </w:tc>
      </w:tr>
      <w:tr w:rsidR="00967B80" w:rsidRPr="00F80331" w14:paraId="58BCEAC6" w14:textId="77777777" w:rsidTr="00967B80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0539712B" w14:textId="77777777" w:rsidR="00672518" w:rsidRPr="0076353F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CD4</w:t>
            </w:r>
            <w:r w:rsidRPr="001C2E37">
              <w:rPr>
                <w:rFonts w:ascii="Arial" w:eastAsia="等线" w:hAnsi="Arial" w:cs="Arial"/>
                <w:sz w:val="22"/>
                <w:szCs w:val="22"/>
                <w:vertAlign w:val="superscript"/>
              </w:rPr>
              <w:t xml:space="preserve">+ </w:t>
            </w:r>
            <w:r w:rsidRPr="00CC638A">
              <w:rPr>
                <w:rFonts w:ascii="Arial" w:eastAsia="等线" w:hAnsi="Arial" w:cs="Arial"/>
                <w:sz w:val="22"/>
                <w:szCs w:val="22"/>
              </w:rPr>
              <w:t>T cell count (cells/</w:t>
            </w:r>
            <w:bookmarkStart w:id="5" w:name="OLE_LINK10"/>
            <w:r w:rsidRPr="00CC638A">
              <w:rPr>
                <w:rFonts w:ascii="Arial" w:eastAsia="等线" w:hAnsi="Arial" w:cs="Arial"/>
                <w:sz w:val="22"/>
                <w:szCs w:val="22"/>
              </w:rPr>
              <w:t>µ</w:t>
            </w:r>
            <w:bookmarkEnd w:id="5"/>
            <w:r w:rsidRPr="00CC638A">
              <w:rPr>
                <w:rFonts w:ascii="Arial" w:eastAsia="等线" w:hAnsi="Arial" w:cs="Arial"/>
                <w:sz w:val="22"/>
                <w:szCs w:val="22"/>
              </w:rPr>
              <w:t>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07B739E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200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1B34AD4E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702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4EE95C2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354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6980532D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164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7B03C27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511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5A48E06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38D64CE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511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10510034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627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0E818CE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601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1B0754B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034A697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511 (182–614)</w:t>
            </w:r>
          </w:p>
        </w:tc>
      </w:tr>
      <w:tr w:rsidR="005873F3" w:rsidRPr="00F80331" w14:paraId="75B6683A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pct12" w:color="auto" w:fill="auto"/>
          </w:tcPr>
          <w:p w14:paraId="62878107" w14:textId="77777777" w:rsidR="00672518" w:rsidRPr="0076353F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CD8</w:t>
            </w:r>
            <w:r w:rsidRPr="001C2E37">
              <w:rPr>
                <w:rFonts w:ascii="Arial" w:eastAsia="等线" w:hAnsi="Arial" w:cs="Arial"/>
                <w:sz w:val="22"/>
                <w:szCs w:val="22"/>
                <w:vertAlign w:val="superscript"/>
              </w:rPr>
              <w:t xml:space="preserve">+ </w:t>
            </w:r>
            <w:r w:rsidRPr="00CC638A">
              <w:rPr>
                <w:rFonts w:ascii="Arial" w:eastAsia="等线" w:hAnsi="Arial" w:cs="Arial"/>
                <w:sz w:val="22"/>
                <w:szCs w:val="22"/>
              </w:rPr>
              <w:t>T cell count (cells/µL)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pct12" w:color="auto" w:fill="auto"/>
          </w:tcPr>
          <w:p w14:paraId="036DC4E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95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pct12" w:color="auto" w:fill="auto"/>
          </w:tcPr>
          <w:p w14:paraId="2526D5B0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496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pct12" w:color="auto" w:fill="auto"/>
          </w:tcPr>
          <w:p w14:paraId="5DE094A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268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pct12" w:color="auto" w:fill="auto"/>
          </w:tcPr>
          <w:p w14:paraId="0BB2E09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150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pct12" w:color="auto" w:fill="auto"/>
          </w:tcPr>
          <w:p w14:paraId="685E1315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413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7C0F08D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95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67D3BFE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446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4175F4F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331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pct12" w:color="auto" w:fill="auto"/>
          </w:tcPr>
          <w:p w14:paraId="654428E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402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pct12" w:color="auto" w:fill="auto"/>
          </w:tcPr>
          <w:p w14:paraId="02E14EEE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pct12" w:color="auto" w:fill="auto"/>
          </w:tcPr>
          <w:p w14:paraId="189DB85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331 (122.5–429.5)</w:t>
            </w:r>
          </w:p>
        </w:tc>
      </w:tr>
      <w:tr w:rsidR="00967B80" w:rsidRPr="00F80331" w14:paraId="413FADD4" w14:textId="77777777" w:rsidTr="00967B80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71C982DC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CRP (mg/L)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5AAE339F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115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67FF44C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13.6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46FEADA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66.8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3359E42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179.4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1A933E6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171.8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1DCDEE21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134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0035335F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134.5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14006CA6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198.4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6F54EB6E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72.4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27D8BBFA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40B029C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bookmarkStart w:id="6" w:name="_Hlk73546611"/>
            <w:r w:rsidRPr="0076353F">
              <w:rPr>
                <w:rFonts w:ascii="Arial" w:eastAsia="等线" w:hAnsi="Arial" w:cs="Arial"/>
                <w:sz w:val="22"/>
                <w:szCs w:val="22"/>
              </w:rPr>
              <w:t>134 (69.6–175.6)</w:t>
            </w:r>
            <w:bookmarkEnd w:id="6"/>
          </w:p>
        </w:tc>
      </w:tr>
      <w:tr w:rsidR="005873F3" w:rsidRPr="00F80331" w14:paraId="66E75740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pct12" w:color="auto" w:fill="auto"/>
          </w:tcPr>
          <w:p w14:paraId="42FC857E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ESR (</w:t>
            </w:r>
            <w:bookmarkStart w:id="7" w:name="_Hlk73546676"/>
            <w:r w:rsidRPr="001C2E37">
              <w:rPr>
                <w:rFonts w:ascii="Arial" w:eastAsia="等线" w:hAnsi="Arial" w:cs="Arial"/>
                <w:sz w:val="22"/>
                <w:szCs w:val="22"/>
              </w:rPr>
              <w:t>mm/h</w:t>
            </w:r>
            <w:bookmarkEnd w:id="7"/>
            <w:r w:rsidRPr="001C2E37">
              <w:rPr>
                <w:rFonts w:ascii="Arial" w:eastAsia="等线" w:hAnsi="Arial" w:cs="Arial"/>
                <w:sz w:val="22"/>
                <w:szCs w:val="22"/>
              </w:rPr>
              <w:t>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pct12" w:color="auto" w:fill="auto"/>
          </w:tcPr>
          <w:p w14:paraId="6C9A06B1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47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pct12" w:color="auto" w:fill="auto"/>
          </w:tcPr>
          <w:p w14:paraId="6BFF9EE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20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pct12" w:color="auto" w:fill="auto"/>
          </w:tcPr>
          <w:p w14:paraId="4880AFD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113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pct12" w:color="auto" w:fill="auto"/>
          </w:tcPr>
          <w:p w14:paraId="0BE7429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142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pct12" w:color="auto" w:fill="auto"/>
          </w:tcPr>
          <w:p w14:paraId="41F2997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130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12F702D7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99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2934AEF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103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pct12" w:color="auto" w:fill="auto"/>
          </w:tcPr>
          <w:p w14:paraId="652866A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200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pct12" w:color="auto" w:fill="auto"/>
          </w:tcPr>
          <w:p w14:paraId="59F6443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41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pct12" w:color="auto" w:fill="auto"/>
          </w:tcPr>
          <w:p w14:paraId="57A308D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54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pct12" w:color="auto" w:fill="auto"/>
          </w:tcPr>
          <w:p w14:paraId="2497997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bookmarkStart w:id="8" w:name="_Hlk73546630"/>
            <w:r w:rsidRPr="0076353F">
              <w:rPr>
                <w:rFonts w:ascii="Arial" w:eastAsia="等线" w:hAnsi="Arial" w:cs="Arial"/>
                <w:sz w:val="22"/>
                <w:szCs w:val="22"/>
              </w:rPr>
              <w:t>101 (45.5–133)</w:t>
            </w:r>
            <w:bookmarkEnd w:id="8"/>
          </w:p>
        </w:tc>
      </w:tr>
      <w:tr w:rsidR="00F80331" w:rsidRPr="00F80331" w14:paraId="145204B4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</w:tcPr>
          <w:p w14:paraId="540B171A" w14:textId="77777777" w:rsidR="00672518" w:rsidRPr="001C2E37" w:rsidRDefault="00672518" w:rsidP="00672518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1C2E37">
              <w:rPr>
                <w:rFonts w:ascii="Arial" w:eastAsia="等线" w:hAnsi="Arial" w:cs="Arial"/>
                <w:sz w:val="22"/>
                <w:szCs w:val="22"/>
              </w:rPr>
              <w:t>PCT (ng/L)</w:t>
            </w:r>
          </w:p>
        </w:tc>
        <w:tc>
          <w:tcPr>
            <w:tcW w:w="334" w:type="pct"/>
            <w:tcBorders>
              <w:top w:val="nil"/>
              <w:bottom w:val="nil"/>
            </w:tcBorders>
            <w:shd w:val="clear" w:color="auto" w:fill="auto"/>
          </w:tcPr>
          <w:p w14:paraId="48822D04" w14:textId="77777777" w:rsidR="00672518" w:rsidRPr="00CC638A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CC638A">
              <w:rPr>
                <w:rFonts w:ascii="Arial" w:eastAsia="等线" w:hAnsi="Arial" w:cs="Arial"/>
                <w:sz w:val="22"/>
                <w:szCs w:val="22"/>
              </w:rPr>
              <w:t>3</w:t>
            </w:r>
          </w:p>
        </w:tc>
        <w:tc>
          <w:tcPr>
            <w:tcW w:w="345" w:type="pct"/>
            <w:tcBorders>
              <w:top w:val="nil"/>
              <w:bottom w:val="nil"/>
            </w:tcBorders>
            <w:shd w:val="clear" w:color="auto" w:fill="auto"/>
          </w:tcPr>
          <w:p w14:paraId="4505D3D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313" w:type="pct"/>
            <w:tcBorders>
              <w:top w:val="nil"/>
              <w:bottom w:val="nil"/>
            </w:tcBorders>
            <w:shd w:val="clear" w:color="auto" w:fill="auto"/>
          </w:tcPr>
          <w:p w14:paraId="0B9D7DD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356" w:type="pct"/>
            <w:tcBorders>
              <w:top w:val="nil"/>
              <w:bottom w:val="nil"/>
            </w:tcBorders>
            <w:shd w:val="clear" w:color="auto" w:fill="auto"/>
          </w:tcPr>
          <w:p w14:paraId="33F219B8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69D1758B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0.12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23973D33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7C138FF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0.35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1587BB2C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0.49</w:t>
            </w:r>
          </w:p>
        </w:tc>
        <w:tc>
          <w:tcPr>
            <w:tcW w:w="358" w:type="pct"/>
            <w:tcBorders>
              <w:top w:val="nil"/>
              <w:bottom w:val="nil"/>
            </w:tcBorders>
            <w:shd w:val="clear" w:color="auto" w:fill="auto"/>
          </w:tcPr>
          <w:p w14:paraId="13244DF2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327" w:type="pct"/>
            <w:tcBorders>
              <w:top w:val="nil"/>
              <w:bottom w:val="nil"/>
            </w:tcBorders>
            <w:shd w:val="clear" w:color="auto" w:fill="auto"/>
          </w:tcPr>
          <w:p w14:paraId="72CEF0E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ND</w:t>
            </w:r>
          </w:p>
        </w:tc>
        <w:tc>
          <w:tcPr>
            <w:tcW w:w="984" w:type="pct"/>
            <w:tcBorders>
              <w:top w:val="nil"/>
              <w:bottom w:val="nil"/>
            </w:tcBorders>
            <w:shd w:val="clear" w:color="auto" w:fill="auto"/>
          </w:tcPr>
          <w:p w14:paraId="07FD1D19" w14:textId="77777777" w:rsidR="00672518" w:rsidRPr="0076353F" w:rsidRDefault="00672518" w:rsidP="0076353F">
            <w:pPr>
              <w:widowControl/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76353F">
              <w:rPr>
                <w:rFonts w:ascii="Arial" w:eastAsia="等线" w:hAnsi="Arial" w:cs="Arial"/>
                <w:sz w:val="22"/>
                <w:szCs w:val="22"/>
              </w:rPr>
              <w:t>-</w:t>
            </w:r>
          </w:p>
        </w:tc>
      </w:tr>
      <w:tr w:rsidR="005873F3" w:rsidRPr="00F80331" w14:paraId="19F82F26" w14:textId="77777777" w:rsidTr="0076353F">
        <w:trPr>
          <w:trHeight w:val="290"/>
        </w:trPr>
        <w:tc>
          <w:tcPr>
            <w:tcW w:w="677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640D2F6C" w14:textId="17D9C2B5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AIGAs (ng/mL)</w:t>
            </w:r>
          </w:p>
        </w:tc>
        <w:tc>
          <w:tcPr>
            <w:tcW w:w="334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68E120DE" w14:textId="1E210176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49166.2</w:t>
            </w:r>
          </w:p>
        </w:tc>
        <w:tc>
          <w:tcPr>
            <w:tcW w:w="345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1FB6CE4D" w14:textId="3EEE66C4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9068.4</w:t>
            </w:r>
          </w:p>
        </w:tc>
        <w:tc>
          <w:tcPr>
            <w:tcW w:w="313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431517CB" w14:textId="4359F707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3565.2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1B3EACF3" w14:textId="17216911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4499.9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4E7DB6D3" w14:textId="5FF21382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148468.9</w:t>
            </w: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47DBA09B" w14:textId="7EA09188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24128.7</w:t>
            </w: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4FAD3FFC" w14:textId="0F989621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38311.7</w:t>
            </w: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447C930B" w14:textId="61C778EA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75883.8</w:t>
            </w:r>
          </w:p>
        </w:tc>
        <w:tc>
          <w:tcPr>
            <w:tcW w:w="358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7A21E76E" w14:textId="2B0D7EEB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49489.6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01B87062" w14:textId="601CED6A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2706.2</w:t>
            </w:r>
          </w:p>
        </w:tc>
        <w:tc>
          <w:tcPr>
            <w:tcW w:w="984" w:type="pct"/>
            <w:tcBorders>
              <w:top w:val="nil"/>
              <w:bottom w:val="single" w:sz="4" w:space="0" w:color="auto"/>
            </w:tcBorders>
            <w:shd w:val="pct12" w:color="auto" w:fill="auto"/>
          </w:tcPr>
          <w:p w14:paraId="1BBC182D" w14:textId="5DFBFF2C" w:rsidR="005873F3" w:rsidRPr="00F80331" w:rsidRDefault="005873F3" w:rsidP="005873F3">
            <w:pPr>
              <w:jc w:val="left"/>
              <w:rPr>
                <w:rFonts w:ascii="Arial" w:eastAsia="等线" w:hAnsi="Arial" w:cs="Arial"/>
                <w:sz w:val="22"/>
                <w:szCs w:val="22"/>
              </w:rPr>
            </w:pPr>
            <w:r w:rsidRPr="00F80331">
              <w:rPr>
                <w:rFonts w:ascii="Arial" w:eastAsia="等线" w:hAnsi="Arial" w:cs="Arial"/>
                <w:sz w:val="22"/>
                <w:szCs w:val="22"/>
              </w:rPr>
              <w:t>31220.2(4266.2–56088.2)</w:t>
            </w:r>
          </w:p>
        </w:tc>
      </w:tr>
    </w:tbl>
    <w:bookmarkEnd w:id="2"/>
    <w:bookmarkEnd w:id="3"/>
    <w:p w14:paraId="39D7E63A" w14:textId="77777777" w:rsidR="00A44138" w:rsidRDefault="00672518" w:rsidP="00A44138">
      <w:pPr>
        <w:ind w:leftChars="-250" w:left="-525" w:rightChars="-350" w:right="-735"/>
        <w:contextualSpacing/>
        <w:rPr>
          <w:rFonts w:ascii="Arial" w:eastAsia="等线" w:hAnsi="Arial" w:cs="Arial"/>
          <w:kern w:val="0"/>
          <w:sz w:val="22"/>
          <w:szCs w:val="22"/>
        </w:rPr>
      </w:pPr>
      <w:r w:rsidRPr="0076353F">
        <w:rPr>
          <w:rFonts w:ascii="Arial" w:eastAsia="宋体" w:hAnsi="Arial" w:cs="Arial"/>
          <w:sz w:val="22"/>
          <w:szCs w:val="22"/>
        </w:rPr>
        <w:t>NOT</w:t>
      </w:r>
      <w:r w:rsidRPr="0076353F">
        <w:rPr>
          <w:rFonts w:ascii="Arial" w:eastAsia="等线" w:hAnsi="Arial" w:cs="Arial"/>
          <w:kern w:val="0"/>
          <w:sz w:val="22"/>
          <w:szCs w:val="22"/>
        </w:rPr>
        <w:t>ES: Data are presented as the numbers or medians (interquartile ranges); "-" indicates that the median was not calculated; Normal range: white blood cells: 3.5–9.5×10</w:t>
      </w:r>
      <w:r w:rsidRPr="0076353F">
        <w:rPr>
          <w:rFonts w:ascii="Arial" w:eastAsia="等线" w:hAnsi="Arial" w:cs="Arial"/>
          <w:kern w:val="0"/>
          <w:sz w:val="22"/>
          <w:szCs w:val="22"/>
          <w:vertAlign w:val="superscript"/>
        </w:rPr>
        <w:t>9</w:t>
      </w:r>
      <w:r w:rsidRPr="0076353F">
        <w:rPr>
          <w:rFonts w:ascii="Arial" w:eastAsia="等线" w:hAnsi="Arial" w:cs="Arial"/>
          <w:kern w:val="0"/>
          <w:sz w:val="22"/>
          <w:szCs w:val="22"/>
        </w:rPr>
        <w:t>/L; neutrophils: 1.8–6.3×10</w:t>
      </w:r>
      <w:r w:rsidRPr="0076353F">
        <w:rPr>
          <w:rFonts w:ascii="Arial" w:eastAsia="等线" w:hAnsi="Arial" w:cs="Arial"/>
          <w:kern w:val="0"/>
          <w:sz w:val="22"/>
          <w:szCs w:val="22"/>
          <w:vertAlign w:val="superscript"/>
        </w:rPr>
        <w:t>9</w:t>
      </w:r>
      <w:r w:rsidRPr="0076353F">
        <w:rPr>
          <w:rFonts w:ascii="Arial" w:eastAsia="等线" w:hAnsi="Arial" w:cs="Arial"/>
          <w:kern w:val="0"/>
          <w:sz w:val="22"/>
          <w:szCs w:val="22"/>
        </w:rPr>
        <w:t>/L; absolute lymphocyte count: 1.1–3.3×10</w:t>
      </w:r>
      <w:r w:rsidRPr="0076353F">
        <w:rPr>
          <w:rFonts w:ascii="Arial" w:eastAsia="等线" w:hAnsi="Arial" w:cs="Arial"/>
          <w:kern w:val="0"/>
          <w:sz w:val="22"/>
          <w:szCs w:val="22"/>
          <w:vertAlign w:val="superscript"/>
        </w:rPr>
        <w:t>9</w:t>
      </w:r>
      <w:r w:rsidRPr="0076353F">
        <w:rPr>
          <w:rFonts w:ascii="Arial" w:eastAsia="等线" w:hAnsi="Arial" w:cs="Arial"/>
          <w:kern w:val="0"/>
          <w:sz w:val="22"/>
          <w:szCs w:val="22"/>
        </w:rPr>
        <w:t>/L; hemoglobin: 130–175 g/L; platelets: 125–350×10</w:t>
      </w:r>
      <w:r w:rsidRPr="0076353F">
        <w:rPr>
          <w:rFonts w:ascii="Arial" w:eastAsia="等线" w:hAnsi="Arial" w:cs="Arial"/>
          <w:kern w:val="0"/>
          <w:sz w:val="22"/>
          <w:szCs w:val="22"/>
          <w:vertAlign w:val="superscript"/>
        </w:rPr>
        <w:t>9</w:t>
      </w:r>
      <w:r w:rsidRPr="0076353F">
        <w:rPr>
          <w:rFonts w:ascii="Arial" w:eastAsia="等线" w:hAnsi="Arial" w:cs="Arial"/>
          <w:kern w:val="0"/>
          <w:sz w:val="22"/>
          <w:szCs w:val="22"/>
        </w:rPr>
        <w:t xml:space="preserve">/L; albumin: 40.55 g/L; globulin: 20–40 g/L; alanine aminotransferase: 9–60 U/L; </w:t>
      </w:r>
      <w:r w:rsidRPr="0076353F">
        <w:rPr>
          <w:rFonts w:ascii="Arial" w:eastAsia="宋体" w:hAnsi="Arial" w:cs="Arial"/>
          <w:sz w:val="22"/>
          <w:szCs w:val="22"/>
        </w:rPr>
        <w:t xml:space="preserve">aspartate aminotransferase: </w:t>
      </w:r>
      <w:r w:rsidRPr="0076353F">
        <w:rPr>
          <w:rFonts w:ascii="Arial" w:eastAsia="等线" w:hAnsi="Arial" w:cs="Arial"/>
          <w:kern w:val="0"/>
          <w:sz w:val="22"/>
          <w:szCs w:val="22"/>
        </w:rPr>
        <w:t xml:space="preserve">15–45 U/L; total bilirubin: 3.4–20.5 mmoL/L; </w:t>
      </w:r>
      <w:r w:rsidRPr="0076353F">
        <w:rPr>
          <w:rFonts w:ascii="Arial" w:eastAsia="宋体" w:hAnsi="Arial" w:cs="Arial"/>
          <w:sz w:val="22"/>
          <w:szCs w:val="22"/>
        </w:rPr>
        <w:t xml:space="preserve">direct bilirubin: </w:t>
      </w:r>
      <w:r w:rsidRPr="0076353F">
        <w:rPr>
          <w:rFonts w:ascii="Arial" w:eastAsia="等线" w:hAnsi="Arial" w:cs="Arial"/>
          <w:kern w:val="0"/>
          <w:sz w:val="22"/>
          <w:szCs w:val="22"/>
        </w:rPr>
        <w:t>0–6.8 mmoL/L; CD4+ T cell count: 410–1590 cells/</w:t>
      </w:r>
      <w:r w:rsidRPr="0076353F">
        <w:rPr>
          <w:rFonts w:ascii="Arial" w:eastAsia="宋体" w:hAnsi="Arial" w:cs="Arial"/>
          <w:sz w:val="22"/>
          <w:szCs w:val="22"/>
        </w:rPr>
        <w:t>µ</w:t>
      </w:r>
      <w:r w:rsidRPr="0076353F">
        <w:rPr>
          <w:rFonts w:ascii="Arial" w:eastAsia="等线" w:hAnsi="Arial" w:cs="Arial"/>
          <w:kern w:val="0"/>
          <w:sz w:val="22"/>
          <w:szCs w:val="22"/>
        </w:rPr>
        <w:t>L; CD8+ T cell count: 190–1140 cells/</w:t>
      </w:r>
      <w:r w:rsidRPr="0076353F">
        <w:rPr>
          <w:rFonts w:ascii="Arial" w:eastAsia="宋体" w:hAnsi="Arial" w:cs="Arial"/>
          <w:sz w:val="22"/>
          <w:szCs w:val="22"/>
        </w:rPr>
        <w:t>µ</w:t>
      </w:r>
      <w:r w:rsidRPr="0076353F">
        <w:rPr>
          <w:rFonts w:ascii="Arial" w:eastAsia="等线" w:hAnsi="Arial" w:cs="Arial"/>
          <w:kern w:val="0"/>
          <w:sz w:val="22"/>
          <w:szCs w:val="22"/>
        </w:rPr>
        <w:t>L; C-reactive protein: 0–66.8 mmoL; erythrocyte sedimentation rate: 0–15 mm/L; CD8+ T cell count: 190–1140 cells/µL.</w:t>
      </w:r>
    </w:p>
    <w:p w14:paraId="7B3B64F2" w14:textId="2DD13C9E" w:rsidR="00124EBF" w:rsidRPr="0076353F" w:rsidRDefault="00CC638A" w:rsidP="0076353F">
      <w:pPr>
        <w:ind w:leftChars="-250" w:left="-525" w:rightChars="-350" w:right="-735"/>
        <w:contextualSpacing/>
        <w:rPr>
          <w:rFonts w:ascii="Arial" w:eastAsia="等线" w:hAnsi="Arial" w:cs="Arial"/>
          <w:kern w:val="0"/>
          <w:sz w:val="22"/>
          <w:szCs w:val="22"/>
        </w:rPr>
        <w:sectPr w:rsidR="00124EBF" w:rsidRPr="0076353F" w:rsidSect="00672518">
          <w:pgSz w:w="15840" w:h="12240" w:orient="landscape" w:code="1"/>
          <w:pgMar w:top="1699" w:right="1699" w:bottom="1699" w:left="1699" w:header="851" w:footer="992" w:gutter="0"/>
          <w:cols w:space="425"/>
          <w:docGrid w:type="lines" w:linePitch="312"/>
        </w:sectPr>
      </w:pPr>
      <w:r w:rsidRPr="00CC638A">
        <w:rPr>
          <w:rFonts w:ascii="Arial" w:eastAsia="等线" w:hAnsi="Arial" w:cs="Arial"/>
          <w:kern w:val="0"/>
          <w:sz w:val="22"/>
          <w:szCs w:val="22"/>
        </w:rPr>
        <w:t xml:space="preserve">Abbreviations: </w:t>
      </w:r>
      <w:r w:rsidRPr="002127D8">
        <w:rPr>
          <w:rFonts w:ascii="Arial" w:eastAsia="等线" w:hAnsi="Arial" w:cs="Arial"/>
          <w:color w:val="000000" w:themeColor="text1"/>
          <w:kern w:val="0"/>
          <w:sz w:val="22"/>
          <w:szCs w:val="22"/>
        </w:rPr>
        <w:t xml:space="preserve">ALC, absolute lymphocyte count;  ALT, alanine aminotransferase; AST, aspartate aminotransferase; AIGAs, anti-IFN-γ </w:t>
      </w:r>
      <w:r w:rsidRPr="002127D8">
        <w:rPr>
          <w:rFonts w:ascii="Arial" w:eastAsia="等线" w:hAnsi="Arial" w:cs="Arial"/>
          <w:color w:val="000000" w:themeColor="text1"/>
          <w:kern w:val="0"/>
          <w:sz w:val="22"/>
          <w:szCs w:val="22"/>
        </w:rPr>
        <w:lastRenderedPageBreak/>
        <w:t xml:space="preserve">autoantibodies; CRP, C-reactive protein; DBiL, direct bilirubin; ESR, erythrocyte sedimentation rate; HGB, hemoglobin; Neu, neutrophils; PLTs, platelets;  PCT, procalcitonin;  TBiL, total bilirubin; WBCs, white blood cells; ND, not done. </w:t>
      </w:r>
      <w:r w:rsidRPr="00CC638A">
        <w:rPr>
          <w:rFonts w:ascii="Arial" w:eastAsia="等线" w:hAnsi="Arial" w:cs="Arial"/>
          <w:kern w:val="0"/>
          <w:sz w:val="22"/>
          <w:szCs w:val="22"/>
        </w:rPr>
        <w:t xml:space="preserve"> </w:t>
      </w:r>
    </w:p>
    <w:p w14:paraId="3C5C02B7" w14:textId="77777777" w:rsidR="008E2ABC" w:rsidRPr="002127D8" w:rsidRDefault="008E2ABC" w:rsidP="0076353F">
      <w:pPr>
        <w:ind w:leftChars="-550" w:left="-1155" w:rightChars="150" w:right="315"/>
        <w:contextualSpacing/>
        <w:jc w:val="left"/>
        <w:rPr>
          <w:rFonts w:ascii="Arial" w:eastAsia="等线" w:hAnsi="Arial" w:cs="Arial"/>
          <w:b/>
          <w:bCs/>
          <w:color w:val="000000" w:themeColor="text1"/>
          <w:kern w:val="0"/>
          <w:sz w:val="24"/>
          <w:szCs w:val="24"/>
        </w:rPr>
      </w:pPr>
      <w:r w:rsidRPr="002127D8">
        <w:rPr>
          <w:rFonts w:ascii="Arial" w:eastAsia="等线" w:hAnsi="Arial" w:cs="Arial"/>
          <w:b/>
          <w:bCs/>
          <w:color w:val="000000" w:themeColor="text1"/>
          <w:kern w:val="0"/>
          <w:sz w:val="24"/>
          <w:szCs w:val="24"/>
        </w:rPr>
        <w:lastRenderedPageBreak/>
        <w:t xml:space="preserve">Supplemental table 3. </w:t>
      </w:r>
      <w:bookmarkStart w:id="9" w:name="_Hlk83900528"/>
      <w:r w:rsidRPr="002127D8">
        <w:rPr>
          <w:rFonts w:ascii="Arial" w:eastAsia="等线" w:hAnsi="Arial" w:cs="Arial"/>
          <w:b/>
          <w:bCs/>
          <w:color w:val="000000" w:themeColor="text1"/>
          <w:kern w:val="0"/>
          <w:sz w:val="24"/>
          <w:szCs w:val="24"/>
        </w:rPr>
        <w:t>Antimicrobial</w:t>
      </w:r>
      <w:bookmarkEnd w:id="9"/>
      <w:r w:rsidRPr="002127D8">
        <w:rPr>
          <w:rFonts w:ascii="Arial" w:eastAsia="等线" w:hAnsi="Arial" w:cs="Arial"/>
          <w:b/>
          <w:bCs/>
          <w:color w:val="000000" w:themeColor="text1"/>
          <w:kern w:val="0"/>
          <w:sz w:val="24"/>
          <w:szCs w:val="24"/>
        </w:rPr>
        <w:t xml:space="preserve"> susceptibility testing of nontuberculous mycobacteria isolates.</w:t>
      </w:r>
    </w:p>
    <w:tbl>
      <w:tblPr>
        <w:tblStyle w:val="af4"/>
        <w:tblW w:w="14620" w:type="dxa"/>
        <w:tblInd w:w="-11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452"/>
        <w:gridCol w:w="427"/>
        <w:gridCol w:w="471"/>
        <w:gridCol w:w="475"/>
        <w:gridCol w:w="438"/>
        <w:gridCol w:w="504"/>
        <w:gridCol w:w="494"/>
        <w:gridCol w:w="451"/>
        <w:gridCol w:w="512"/>
        <w:gridCol w:w="617"/>
        <w:gridCol w:w="569"/>
        <w:gridCol w:w="658"/>
        <w:gridCol w:w="477"/>
        <w:gridCol w:w="426"/>
        <w:gridCol w:w="499"/>
        <w:gridCol w:w="493"/>
        <w:gridCol w:w="425"/>
        <w:gridCol w:w="567"/>
        <w:gridCol w:w="546"/>
        <w:gridCol w:w="507"/>
        <w:gridCol w:w="564"/>
        <w:gridCol w:w="623"/>
        <w:gridCol w:w="562"/>
        <w:gridCol w:w="619"/>
      </w:tblGrid>
      <w:tr w:rsidR="002127D8" w:rsidRPr="002127D8" w14:paraId="12203268" w14:textId="77777777" w:rsidTr="00594438">
        <w:tc>
          <w:tcPr>
            <w:tcW w:w="2244" w:type="dxa"/>
            <w:tcBorders>
              <w:bottom w:val="single" w:sz="4" w:space="0" w:color="auto"/>
            </w:tcBorders>
          </w:tcPr>
          <w:p w14:paraId="30E1036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No*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434BF62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P1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542F4CC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P3</w:t>
            </w: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</w:tcPr>
          <w:p w14:paraId="35A1258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P4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02290DC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P5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</w:tcPr>
          <w:p w14:paraId="7C02301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P6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</w:tcPr>
          <w:p w14:paraId="7AFB769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P7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1C014B0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P8</w:t>
            </w:r>
          </w:p>
        </w:tc>
        <w:tc>
          <w:tcPr>
            <w:tcW w:w="1804" w:type="dxa"/>
            <w:gridSpan w:val="3"/>
            <w:tcBorders>
              <w:bottom w:val="single" w:sz="4" w:space="0" w:color="auto"/>
            </w:tcBorders>
          </w:tcPr>
          <w:p w14:paraId="78A94DF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b/>
                <w:bCs/>
                <w:color w:val="000000" w:themeColor="text1"/>
                <w:sz w:val="24"/>
                <w:szCs w:val="24"/>
              </w:rPr>
              <w:t>P9</w:t>
            </w:r>
          </w:p>
        </w:tc>
      </w:tr>
      <w:tr w:rsidR="002127D8" w:rsidRPr="002127D8" w14:paraId="0DBC4ED7" w14:textId="77777777" w:rsidTr="007629F3">
        <w:tc>
          <w:tcPr>
            <w:tcW w:w="224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3A6C1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NTM species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450891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M.kansasii</w:t>
            </w:r>
          </w:p>
          <w:p w14:paraId="50A71057" w14:textId="0ADED2F8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42AB83E" w14:textId="5C3C2831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M.fortuitum </w:t>
            </w: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5EAE5CF" w14:textId="2A3F5F6A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M.chelonae 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F7F1461" w14:textId="3F1881FB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M.intracellulare </w:t>
            </w: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93DD9CE" w14:textId="7A2B9D79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M.avium </w:t>
            </w:r>
            <w:r w:rsidR="00FF2360"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complex</w:t>
            </w: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4D98462" w14:textId="7E045B6D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M.avium </w:t>
            </w:r>
            <w:r w:rsidR="00FF2360"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complex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7B8878F" w14:textId="0834628E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M.abscessus </w:t>
            </w:r>
          </w:p>
        </w:tc>
        <w:tc>
          <w:tcPr>
            <w:tcW w:w="180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D353843" w14:textId="5CB5A219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 xml:space="preserve">M.intermedium </w:t>
            </w:r>
          </w:p>
        </w:tc>
      </w:tr>
      <w:tr w:rsidR="002127D8" w:rsidRPr="002127D8" w14:paraId="6AAB1F74" w14:textId="77777777" w:rsidTr="00594438"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0C29422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25DCC1C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21025AF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14:paraId="72696D2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14:paraId="518C874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172F2F4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083560E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02D35AE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14:paraId="015339B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70DA0D9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7848C1E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A43966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DEDE56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858CA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201B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B9A16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6C71BBE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42F57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D0E75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12471AF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4CE352D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47ED263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</w:tcPr>
          <w:p w14:paraId="6FE0FE3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584D70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7439DB9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</w:t>
            </w:r>
          </w:p>
        </w:tc>
      </w:tr>
      <w:tr w:rsidR="002127D8" w:rsidRPr="002127D8" w14:paraId="1D0727C1" w14:textId="77777777" w:rsidTr="007629F3">
        <w:tc>
          <w:tcPr>
            <w:tcW w:w="224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41E2841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bookmarkStart w:id="10" w:name="_Hlk83859326"/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Streptomycin</w:t>
            </w:r>
          </w:p>
        </w:tc>
        <w:tc>
          <w:tcPr>
            <w:tcW w:w="452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9F1AC1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762AF8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FF41C4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2EE2BB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60F9D0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007694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475DFBD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B93526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DCD177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009957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AB86F7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098212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73C027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36BB3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</w:tcBorders>
            <w:shd w:val="clear" w:color="auto" w:fill="E7E6E6" w:themeFill="background2"/>
          </w:tcPr>
          <w:p w14:paraId="42B9E0B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FEE7FE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BACCBC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F137B6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4972B30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04BEB3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B8C641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3E9AE6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6D3DD7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8E4CFD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27D8" w:rsidRPr="002127D8" w14:paraId="1CDFE6C0" w14:textId="77777777" w:rsidTr="001053A4">
        <w:tc>
          <w:tcPr>
            <w:tcW w:w="2244" w:type="dxa"/>
            <w:tcBorders>
              <w:top w:val="nil"/>
              <w:bottom w:val="nil"/>
            </w:tcBorders>
          </w:tcPr>
          <w:p w14:paraId="368CE21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bookmarkStart w:id="11" w:name="_Hlk83900588"/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Ethambutol</w:t>
            </w:r>
          </w:p>
        </w:tc>
        <w:tc>
          <w:tcPr>
            <w:tcW w:w="452" w:type="dxa"/>
            <w:tcBorders>
              <w:top w:val="nil"/>
              <w:bottom w:val="nil"/>
            </w:tcBorders>
          </w:tcPr>
          <w:p w14:paraId="55CB6BE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auto"/>
          </w:tcPr>
          <w:p w14:paraId="77F7FA1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7F42883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36709EF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bottom w:val="nil"/>
            </w:tcBorders>
          </w:tcPr>
          <w:p w14:paraId="1990373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4CA3E52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469A88F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318470D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14:paraId="40EA12D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6EE2A6E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082A37C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56AB706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14:paraId="0A0379A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5EE6E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4DCC8FE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3BB9209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823A62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AB197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0FBB8A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14:paraId="43E7A5C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8CF853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3C36FC4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479137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53EBEC9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127D8" w:rsidRPr="002127D8" w14:paraId="49F6E270" w14:textId="77777777" w:rsidTr="007629F3">
        <w:tc>
          <w:tcPr>
            <w:tcW w:w="224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4A4065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Isoniazid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3938F4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EED14B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840ED4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DDC729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D261AD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9DFDB0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BE3902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41E5A3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B77202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41A73D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5DA742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8A75B8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276F360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78077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47C3ACD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8CB502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ACEFF5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227CE7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C291EF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0960B9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746ED6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70F657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4B33BD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B0A6CA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127D8" w:rsidRPr="002127D8" w14:paraId="4C7489B5" w14:textId="77777777" w:rsidTr="001053A4">
        <w:tc>
          <w:tcPr>
            <w:tcW w:w="2244" w:type="dxa"/>
            <w:tcBorders>
              <w:top w:val="nil"/>
              <w:bottom w:val="nil"/>
            </w:tcBorders>
          </w:tcPr>
          <w:p w14:paraId="1F59BD2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Rifampicin</w:t>
            </w:r>
          </w:p>
        </w:tc>
        <w:tc>
          <w:tcPr>
            <w:tcW w:w="452" w:type="dxa"/>
            <w:tcBorders>
              <w:top w:val="nil"/>
              <w:bottom w:val="nil"/>
            </w:tcBorders>
          </w:tcPr>
          <w:p w14:paraId="50B957A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71658CF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5FDEE3D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04D844D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bottom w:val="nil"/>
            </w:tcBorders>
          </w:tcPr>
          <w:p w14:paraId="77D6B93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038D22A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5877B4F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03654B9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14:paraId="6011584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1474DB7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621409C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35C7A47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14:paraId="46FDDB5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D3D46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408901D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631836F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301CC3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703568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61C6ED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14:paraId="0BD5CFA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248B27E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987CA8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9705FB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27142FA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bookmarkEnd w:id="11"/>
      <w:tr w:rsidR="002127D8" w:rsidRPr="002127D8" w14:paraId="06156BB0" w14:textId="77777777" w:rsidTr="007629F3">
        <w:tc>
          <w:tcPr>
            <w:tcW w:w="224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DD3CA82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Para-aminosalicylic acid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10CAA54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DEF2ED5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BE484CE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8C7D476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52E95FF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73D3D64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368F26F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C293C47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4FA533A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2578CF8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3C7E913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74555B8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79F6492F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628C01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77A1ECFC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A0D6BAC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FE85D29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04A9FCC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9E12DE7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EAAB3C3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5BF0633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C5D9B81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E23A0EC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7E1375B" w14:textId="77777777" w:rsidR="008E2ABC" w:rsidRPr="002127D8" w:rsidRDefault="008E2ABC" w:rsidP="0076353F">
            <w:pPr>
              <w:spacing w:line="160" w:lineRule="atLeast"/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27D8" w:rsidRPr="002127D8" w14:paraId="2060BAF4" w14:textId="77777777" w:rsidTr="001053A4">
        <w:tc>
          <w:tcPr>
            <w:tcW w:w="2244" w:type="dxa"/>
            <w:tcBorders>
              <w:top w:val="nil"/>
              <w:bottom w:val="nil"/>
            </w:tcBorders>
          </w:tcPr>
          <w:p w14:paraId="7ED0F94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Levofloxacin</w:t>
            </w:r>
          </w:p>
        </w:tc>
        <w:tc>
          <w:tcPr>
            <w:tcW w:w="452" w:type="dxa"/>
            <w:tcBorders>
              <w:top w:val="nil"/>
              <w:bottom w:val="nil"/>
            </w:tcBorders>
          </w:tcPr>
          <w:p w14:paraId="31F9124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3B3F323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02755A1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6B0D16F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8" w:type="dxa"/>
            <w:tcBorders>
              <w:top w:val="nil"/>
              <w:bottom w:val="nil"/>
            </w:tcBorders>
          </w:tcPr>
          <w:p w14:paraId="7036E4E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04F9A8A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78C6C91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7D1D04F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14:paraId="5D55608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2F644C2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35C9F70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20162A8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14:paraId="0D6B0B6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A0963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51B010E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6A86367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E4D31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A83F5D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37B586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14:paraId="3DFB47B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6BFA878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052E164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41A036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5015D3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27D8" w:rsidRPr="002127D8" w14:paraId="4037824F" w14:textId="77777777" w:rsidTr="007629F3">
        <w:tc>
          <w:tcPr>
            <w:tcW w:w="224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9F0E52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Capreomycin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6994D49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DABF47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8CDD2F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B22485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5D3EBEF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B31303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913C56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6892AA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7363CE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6CA796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09F387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745BF8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39D0EAB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EC95E6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2E383D5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E94E50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122210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559857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6633A7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7C6E58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2461823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BCDDED6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3EA839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6C64AF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27D8" w:rsidRPr="002127D8" w14:paraId="3C7DD060" w14:textId="77777777" w:rsidTr="001053A4">
        <w:tc>
          <w:tcPr>
            <w:tcW w:w="2244" w:type="dxa"/>
            <w:tcBorders>
              <w:top w:val="nil"/>
              <w:bottom w:val="nil"/>
            </w:tcBorders>
          </w:tcPr>
          <w:p w14:paraId="2C8EE59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Propylthioisoamide</w:t>
            </w:r>
          </w:p>
        </w:tc>
        <w:tc>
          <w:tcPr>
            <w:tcW w:w="452" w:type="dxa"/>
            <w:tcBorders>
              <w:top w:val="nil"/>
              <w:bottom w:val="nil"/>
            </w:tcBorders>
          </w:tcPr>
          <w:p w14:paraId="010ACA5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nil"/>
            </w:tcBorders>
          </w:tcPr>
          <w:p w14:paraId="1601487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bottom w:val="nil"/>
            </w:tcBorders>
          </w:tcPr>
          <w:p w14:paraId="4A44F2EA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bottom w:val="nil"/>
            </w:tcBorders>
          </w:tcPr>
          <w:p w14:paraId="5227D48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8" w:type="dxa"/>
            <w:tcBorders>
              <w:top w:val="nil"/>
              <w:bottom w:val="nil"/>
            </w:tcBorders>
          </w:tcPr>
          <w:p w14:paraId="5D106B1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14:paraId="59EA73AE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1264B7E0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3CEEC1C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14:paraId="2E8D9C82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nil"/>
              <w:bottom w:val="nil"/>
            </w:tcBorders>
          </w:tcPr>
          <w:p w14:paraId="09B9E23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3B27702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73058544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7" w:type="dxa"/>
            <w:tcBorders>
              <w:top w:val="nil"/>
              <w:bottom w:val="nil"/>
              <w:right w:val="nil"/>
            </w:tcBorders>
          </w:tcPr>
          <w:p w14:paraId="35D6756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62688C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</w:tcBorders>
          </w:tcPr>
          <w:p w14:paraId="7D51C04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444AB36B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0D1F64D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E2A711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F2FE868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nil"/>
              <w:bottom w:val="nil"/>
            </w:tcBorders>
          </w:tcPr>
          <w:p w14:paraId="2BF3A9B9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14:paraId="3DC2E863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14:paraId="7959F10F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0A81B727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2D5BF975" w14:textId="77777777" w:rsidR="008E2ABC" w:rsidRPr="002127D8" w:rsidRDefault="008E2ABC" w:rsidP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27D8" w:rsidRPr="002127D8" w14:paraId="0B770BAE" w14:textId="77777777" w:rsidTr="007629F3">
        <w:tc>
          <w:tcPr>
            <w:tcW w:w="2244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1AFC8AB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Amikacin</w:t>
            </w:r>
          </w:p>
        </w:tc>
        <w:tc>
          <w:tcPr>
            <w:tcW w:w="45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0FB22124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FAE0D76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1347483A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0AAA32D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8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1D42C17A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25052DC7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52B9F792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35B726E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2641D05C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5E33090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7CAE7AB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E265F69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274C9D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BB2D41C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6803567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F8D7461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00B67D6A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3F60C9E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14F03AF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0F4D2060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4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1CDFC783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FF5AEC0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1F3DE481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2473D9CB" w14:textId="77777777" w:rsidR="008E2ABC" w:rsidRPr="002127D8" w:rsidRDefault="008E2ABC">
            <w:pPr>
              <w:contextualSpacing/>
              <w:jc w:val="left"/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</w:pPr>
            <w:r w:rsidRPr="002127D8">
              <w:rPr>
                <w:rFonts w:ascii="Arial" w:eastAsia="等线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</w:tbl>
    <w:bookmarkEnd w:id="10"/>
    <w:p w14:paraId="7107B7E6" w14:textId="77777777" w:rsidR="008E2ABC" w:rsidRPr="002127D8" w:rsidRDefault="008E2ABC" w:rsidP="0076353F">
      <w:pPr>
        <w:ind w:leftChars="-550" w:left="-1155" w:rightChars="150" w:right="315"/>
        <w:contextualSpacing/>
        <w:jc w:val="left"/>
        <w:rPr>
          <w:rFonts w:ascii="Arial" w:eastAsia="等线" w:hAnsi="Arial" w:cs="Arial"/>
          <w:color w:val="000000" w:themeColor="text1"/>
          <w:kern w:val="0"/>
          <w:sz w:val="24"/>
          <w:szCs w:val="24"/>
        </w:rPr>
      </w:pPr>
      <w:r w:rsidRPr="002127D8">
        <w:rPr>
          <w:rFonts w:ascii="Arial" w:eastAsia="等线" w:hAnsi="Arial" w:cs="Arial"/>
          <w:color w:val="000000" w:themeColor="text1"/>
          <w:kern w:val="0"/>
          <w:sz w:val="24"/>
          <w:szCs w:val="24"/>
        </w:rPr>
        <w:t>* Indicates the number of patients with drug susceptibility results (n=8). S: Susceptible; I: Intermediate; R: Resistant</w:t>
      </w:r>
    </w:p>
    <w:p w14:paraId="5026DA68" w14:textId="77777777" w:rsidR="008E2ABC" w:rsidRPr="008E2ABC" w:rsidRDefault="008E2ABC" w:rsidP="008E2ABC">
      <w:pPr>
        <w:contextualSpacing/>
        <w:jc w:val="left"/>
        <w:rPr>
          <w:rFonts w:ascii="Arial" w:eastAsia="等线" w:hAnsi="Arial" w:cs="Arial"/>
          <w:kern w:val="0"/>
          <w:sz w:val="24"/>
          <w:szCs w:val="24"/>
        </w:rPr>
      </w:pPr>
    </w:p>
    <w:p w14:paraId="2FEDD9BC" w14:textId="4D5CC697" w:rsidR="00287A4F" w:rsidRPr="0076353F" w:rsidRDefault="00287A4F" w:rsidP="0076353F">
      <w:pPr>
        <w:contextualSpacing/>
        <w:jc w:val="left"/>
        <w:rPr>
          <w:rFonts w:ascii="Arial" w:eastAsia="等线" w:hAnsi="Arial" w:cs="Arial"/>
          <w:kern w:val="0"/>
          <w:sz w:val="24"/>
          <w:szCs w:val="24"/>
        </w:rPr>
      </w:pPr>
    </w:p>
    <w:p w14:paraId="60B20A1D" w14:textId="5C9DE1D7" w:rsidR="0028034F" w:rsidRDefault="0028034F" w:rsidP="00AB43D5">
      <w:pP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66902D8E" w14:textId="77777777" w:rsidR="0028034F" w:rsidRPr="002A5F87" w:rsidRDefault="0028034F" w:rsidP="00AB43D5">
      <w:pP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28034F" w:rsidRPr="002A5F87" w:rsidSect="0076353F">
      <w:pgSz w:w="15840" w:h="12240" w:orient="landscape" w:code="1"/>
      <w:pgMar w:top="1699" w:right="1699" w:bottom="1699" w:left="169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04A9" w14:textId="77777777" w:rsidR="006147EF" w:rsidRPr="00035FBB" w:rsidRDefault="006147EF">
      <w:r w:rsidRPr="00035FBB">
        <w:separator/>
      </w:r>
    </w:p>
  </w:endnote>
  <w:endnote w:type="continuationSeparator" w:id="0">
    <w:p w14:paraId="0B5D75EA" w14:textId="77777777" w:rsidR="006147EF" w:rsidRPr="00035FBB" w:rsidRDefault="006147EF">
      <w:r w:rsidRPr="00035F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259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01C6E" w14:textId="00D05BC5" w:rsidR="000558C2" w:rsidRDefault="000558C2" w:rsidP="000558C2">
        <w:pPr>
          <w:pStyle w:val="a6"/>
          <w:spacing w:line="480" w:lineRule="auto"/>
          <w:contextualSpacing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D3A1" w14:textId="77777777" w:rsidR="006147EF" w:rsidRPr="00035FBB" w:rsidRDefault="006147EF">
      <w:r w:rsidRPr="00035FBB">
        <w:separator/>
      </w:r>
    </w:p>
  </w:footnote>
  <w:footnote w:type="continuationSeparator" w:id="0">
    <w:p w14:paraId="73D248F0" w14:textId="77777777" w:rsidR="006147EF" w:rsidRPr="00035FBB" w:rsidRDefault="006147EF">
      <w:r w:rsidRPr="00035F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BAF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FED5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608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64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B8E0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8A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76EF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A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AE7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265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Open Forum Infect Diseases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p0x0ttv9f9tp9se50eexr201afvxwe2fzxxp&quot;&gt;GPC623RP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  <w:docVar w:name="MachineID" w:val="207|207|197|185|203|197|199|187|197|187|186|197|206|204|197|204|200|"/>
    <w:docVar w:name="NE.Ref{09C0E9A3-B63E-4E41-8C30-F83029F051BE}" w:val=" ADDIN NE.Ref.{09C0E9A3-B63E-4E41-8C30-F83029F051BE}&lt;Citation&gt;&lt;Group&gt;&lt;References&gt;&lt;Item&gt;&lt;ID&gt;462&lt;/ID&gt;&lt;UID&gt;{6F576FFD-0565-49B2-BF51-38F3EDEEE4BA}&lt;/UID&gt;&lt;Title&gt;Musculoskeletal Tuberculosis&lt;/Title&gt;&lt;Template&gt;Journal Article&lt;/Template&gt;&lt;Star&gt;0&lt;/Star&gt;&lt;Tag&gt;0&lt;/Tag&gt;&lt;Author&gt;Leonard, M K; Blumberg, H M&lt;/Author&gt;&lt;Year&gt;2017&lt;/Year&gt;&lt;Details&gt;&lt;_accession_num&gt;28409551&lt;/_accession_num&gt;&lt;_author_adr&gt;Division of Infectious Diseases, Carolinas HealthCare System, Charlotte, NC 28209.; Division of Infectious Diseases, Emory University School of Medicine, Atlanta, GA 30303.&lt;/_author_adr&gt;&lt;_created&gt;63832916&lt;/_created&gt;&lt;_date&gt;2017-04-01&lt;/_date&gt;&lt;_date_display&gt;2017 Apr&lt;/_date_display&gt;&lt;_db_updated&gt;PubMed&lt;/_db_updated&gt;&lt;_doi&gt;10.1128/microbiolspec.TNMI7-0046-2017&lt;/_doi&gt;&lt;_impact_factor&gt;   5.465&lt;/_impact_factor&gt;&lt;_isbn&gt;2165-0497 (Electronic); 2165-0497 (Linking)&lt;/_isbn&gt;&lt;_issue&gt;2&lt;/_issue&gt;&lt;_journal&gt;Microbiol Spectr&lt;/_journal&gt;&lt;_language&gt;eng&lt;/_language&gt;&lt;_modified&gt;63832916&lt;/_modified&gt;&lt;_subject_headings&gt;Antitubercular Agents/administration &amp;amp; dosage; Bacteriological Techniques; Diagnostic Tests, Routine; Humans; Musculoskeletal Diseases/diagnosis/drug therapy/*epidemiology/*pathology; Mycobacterium tuberculosis/*isolation &amp;amp; purification; Optical Imaging; Rifampin/administration &amp;amp; dosage; Tuberculosis/diagnosis/drug therapy/*epidemiology/*pathology; United States/epidemiology&lt;/_subject_headings&gt;&lt;_tertiary_title&gt;Microbiology spectrum&lt;/_tertiary_title&gt;&lt;_type_work&gt;Journal Article; Review&lt;/_type_work&gt;&lt;_url&gt;http://www.ncbi.nlm.nih.gov/entrez/query.fcgi?cmd=Retrieve&amp;amp;db=pubmed&amp;amp;dopt=Abstract&amp;amp;list_uids=28409551&amp;amp;query_hl=1&lt;/_url&gt;&lt;_volume&gt;5&lt;/_volume&gt;&lt;/Details&gt;&lt;Extra&gt;&lt;DBUID&gt;{F96A950B-833F-4880-A151-76DA2D6A2879}&lt;/DBUID&gt;&lt;/Extra&gt;&lt;/Item&gt;&lt;/References&gt;&lt;/Group&gt;&lt;/Citation&gt;_x000a_"/>
    <w:docVar w:name="NE.Ref{0AA19A10-89F9-4149-9BFD-4D94FEACD68E}" w:val=" ADDIN NE.Ref.{0AA19A10-89F9-4149-9BFD-4D94FEACD68E}&lt;Citation&gt;&lt;Group&gt;&lt;References&gt;&lt;Item&gt;&lt;ID&gt;499&lt;/ID&gt;&lt;UID&gt;{9497297C-5CC6-428B-9A35-895F47D9794E}&lt;/UID&gt;&lt;Title&gt;Patient ethnicity and causative species determine the manifestations of anti-interferon-gamma autoantibody-associated nontuberculous mycobacterial disease: a review&lt;/Title&gt;&lt;Template&gt;Journal Article&lt;/Template&gt;&lt;Star&gt;0&lt;/Star&gt;&lt;Tag&gt;0&lt;/Tag&gt;&lt;Author&gt;Hase, I; Morimoto, K; Sakagami, T; Ishii, Y; van Ingen, J&lt;/Author&gt;&lt;Year&gt;2017&lt;/Year&gt;&lt;Details&gt;&lt;_accession_num&gt;28633901&lt;/_accession_num&gt;&lt;_author_adr&gt;Department of Respiratory Medicine, National Hospital Organization Utsunomiya Hospital, 2160 Shimo-Okamoto, Utsunomiya-shi, Tochigi, 329-1193, Japan; Department of Pulmonary Medicine and Clinical Immunology, Dokkyo Medical University, 880 Kitakobayashi, Mibu, Tochigi, 321-0293, Japan. Electronic address: isanotaki@gmail.com.; Respiratory Disease Center, Fukujuji Hospital, Japan Anti-Tuberculosis Association, 3-1-24 Matsuyama, Kiyose-shi, Tokyo, 204-0022, Japan.; Department of Respiratory Medicine and Infectious Disease, Niigata University Graduate School of Medical and Dental Sciences, 1-757 Asahimachi-dori, Niigata-shi, Niigata, 951-8510, Japan.; Department of Pulmonary Medicine and Clinical Immunology, Dokkyo Medical University, 880 Kitakobayashi, Mibu, Tochigi, 321-0293, Japan.; Department of Medical Microbiology, Radboud University Medical Center, P.O. Box 9101, 6500HB, Nijmegen, The Netherlands.&lt;/_author_adr&gt;&lt;_created&gt;63840753&lt;/_created&gt;&lt;_date&gt;2017-08-01&lt;/_date&gt;&lt;_date_display&gt;2017 Aug&lt;/_date_display&gt;&lt;_db_updated&gt;PubMed&lt;/_db_updated&gt;&lt;_doi&gt;10.1016/j.diagmicrobio.2017.05.011&lt;/_doi&gt;&lt;_impact_factor&gt;   2.499&lt;/_impact_factor&gt;&lt;_isbn&gt;1879-0070 (Electronic); 0732-8893 (Linking)&lt;/_isbn&gt;&lt;_issue&gt;4&lt;/_issue&gt;&lt;_journal&gt;Diagn Microbiol Infect Dis&lt;/_journal&gt;&lt;_keywords&gt;Adult-onset immunodeficiency; Anti-interferon-gamma autoantibody; Clinical manifestation; Ethnicity; Nontuberculous mycobacterium&lt;/_keywords&gt;&lt;_language&gt;eng&lt;/_language&gt;&lt;_modified&gt;63840753&lt;/_modified&gt;&lt;_ori_publication&gt;Copyright (c) 2017 Elsevier Inc. All rights reserved.&lt;/_ori_publication&gt;&lt;_pages&gt;308-315&lt;/_pages&gt;&lt;_subject_headings&gt;Autoantibodies/*immunology; Humans; Interferon-gamma/*immunology; Mycobacterium Infections, Nontuberculous/*immunology; Nontuberculous Mycobacteria/*immunology&lt;/_subject_headings&gt;&lt;_tertiary_title&gt;Diagnostic microbiology and infectious disease&lt;/_tertiary_title&gt;&lt;_type_work&gt;Journal Article; Review&lt;/_type_work&gt;&lt;_url&gt;http://www.ncbi.nlm.nih.gov/entrez/query.fcgi?cmd=Retrieve&amp;amp;db=pubmed&amp;amp;dopt=Abstract&amp;amp;list_uids=28633901&amp;amp;query_hl=1&lt;/_url&gt;&lt;_volume&gt;88&lt;/_volume&gt;&lt;/Details&gt;&lt;Extra&gt;&lt;DBUID&gt;{F96A950B-833F-4880-A151-76DA2D6A2879}&lt;/DBUID&gt;&lt;/Extra&gt;&lt;/Item&gt;&lt;/References&gt;&lt;/Group&gt;&lt;/Citation&gt;_x000a_"/>
    <w:docVar w:name="NE.Ref{0ED5D569-DA71-479F-8154-0F7DB557D188}" w:val=" ADDIN NE.Ref.{0ED5D569-DA71-479F-8154-0F7DB557D188}&lt;Citation&gt;&lt;Group&gt;&lt;References&gt;&lt;Item&gt;&lt;ID&gt;474&lt;/ID&gt;&lt;UID&gt;{1BA5C7F1-43A5-4696-B827-C3D980C4A0FA}&lt;/UID&gt;&lt;Title&gt;An official ATS/IDSA statement: diagnosis, treatment, and prevention of nontuberculous mycobacterial diseases&lt;/Title&gt;&lt;Template&gt;Journal Article&lt;/Template&gt;&lt;Star&gt;0&lt;/Star&gt;&lt;Tag&gt;0&lt;/Tag&gt;&lt;Author&gt;Griffith, D E; Aksamit, T; Brown-Elliott, B A; Catanzaro, A; Daley, C; Gordin, F; Holland, S M; Horsburgh, R; Huitt, G; Iademarco, M F; Iseman, M; Olivier, K; Ruoss, S; von Reyn, C F; Wallace, RJ Jr; Winthrop, K&lt;/Author&gt;&lt;Year&gt;2007&lt;/Year&gt;&lt;Details&gt;&lt;_accession_num&gt;17277290&lt;/_accession_num&gt;&lt;_created&gt;63833046&lt;/_created&gt;&lt;_date&gt;2007-02-15&lt;/_date&gt;&lt;_date_display&gt;2007 Feb 15&lt;/_date_display&gt;&lt;_db_updated&gt;PubMed&lt;/_db_updated&gt;&lt;_doi&gt;10.1164/rccm.200604-571ST&lt;/_doi&gt;&lt;_impact_factor&gt;  17.452&lt;/_impact_factor&gt;&lt;_isbn&gt;1073-449X (Print); 1073-449X (Linking)&lt;/_isbn&gt;&lt;_issue&gt;4&lt;/_issue&gt;&lt;_journal&gt;Am J Respir Crit Care Med&lt;/_journal&gt;&lt;_language&gt;eng&lt;/_language&gt;&lt;_modified&gt;63833047&lt;/_modified&gt;&lt;_pages&gt;367-416&lt;/_pages&gt;&lt;_subject_headings&gt;Anti-Infective Agents/pharmacology; Bone Diseases/diagnosis/epidemiology/microbiology/therapy; Clinical Laboratory Techniques; Disease Outbreaks/prevention &amp;amp; control; Drug Resistance, Bacterial; Genotype; Humans; Infection Control; Lung Diseases/*diagnosis/epidemiology/microbiology/*therapy; Lymphatic Diseases/diagnosis/epidemiology/microbiology/therapy; Mycobacterium Infections, Nontuberculous/*diagnosis/epidemiology/*therapy; Skin Diseases/diagnosis/epidemiology/microbiology/therapy&lt;/_subject_headings&gt;&lt;_tertiary_title&gt;American journal of respiratory and critical care medicine&lt;/_tertiary_title&gt;&lt;_type_work&gt;Journal Article; Practice Guideline; Review&lt;/_type_work&gt;&lt;_url&gt;http://www.ncbi.nlm.nih.gov/entrez/query.fcgi?cmd=Retrieve&amp;amp;db=pubmed&amp;amp;dopt=Abstract&amp;amp;list_uids=17277290&amp;amp;query_hl=1&lt;/_url&gt;&lt;_volume&gt;175&lt;/_volume&gt;&lt;/Details&gt;&lt;Extra&gt;&lt;DBUID&gt;{F96A950B-833F-4880-A151-76DA2D6A2879}&lt;/DBUID&gt;&lt;/Extra&gt;&lt;/Item&gt;&lt;/References&gt;&lt;/Group&gt;&lt;/Citation&gt;_x000a_"/>
    <w:docVar w:name="NE.Ref{18D91EE1-19BF-40E2-898A-E8AA14C6D4A2}" w:val=" ADDIN NE.Ref.{18D91EE1-19BF-40E2-898A-E8AA14C6D4A2}&lt;Citation&gt;&lt;Group&gt;&lt;References&gt;&lt;Item&gt;&lt;ID&gt;494&lt;/ID&gt;&lt;UID&gt;{DAEBFE1E-03D5-48CF-A36D-6D92C518E8D0}&lt;/UID&gt;&lt;Title&gt;British Thoracic Society guidelines for the management of non-tuberculous mycobacterial pulmonary disease (NTM-PD)&lt;/Title&gt;&lt;Template&gt;Journal Article&lt;/Template&gt;&lt;Star&gt;0&lt;/Star&gt;&lt;Tag&gt;0&lt;/Tag&gt;&lt;Author&gt;Haworth, C S; Banks, J; Capstick, T; Fisher, A J; Gorsuch, T; Laurenson, I F; Leitch, A; Loebinger, M R; Milburn, H J; Nightingale, M; Ormerod, P; Shingadia, D; Smith, D; Whitehead, N; Wilson, R; Floto, R A&lt;/Author&gt;&lt;Year&gt;2017&lt;/Year&gt;&lt;Details&gt;&lt;_accession_num&gt;29054853&lt;/_accession_num&gt;&lt;_author_adr&gt;Cambridge Centre for Lung Infection, Papworth Hospital, Cambridge, UK.; Abertawe Bro Morgannwg University Health Board, Princess of Wales Hospital, Bridgend, UK.; Pharmacy Department, St James&amp;apos;s University Hospital, Leeds, UK.; Institute of Cellular Medicine, Faculty of Medical Sciences, Newcastle University, Newcastle Upon Tyne, UK.; Manchester Royal Infirmary, Manchester, UK.; Scottish Mycobacteria Reference Laboratory, Royal Infirmary of Edinburgh, Edinburgh, UK.; Department of Respiratory Medicine, Western General Hospital. Edinburgh, UK.; Host Defence Unit, Royal Brompton Hospital, and National, Heart and Lung Institute, Imperial College, London, UK.; Department of Respiratory Medicine, Guys and St Thomas NHS Foundation Trust, London, UK.; British Thoracic Society, London UK.; Division of Infection, Immunity &amp;amp; Respiratory Medicine, University of Manchester, Wythenshawe Hospital, Manchester, UK.; Great Ormond Street Hospital for Children NHS Foundation Trust, London, UK.; North Bristol Lung Centre, Southmead Hospital, Bristol, UK.; Queen Alexandra Hospital, Portsmouth, UK.; Host Defence Unit, Royal Brompton Hospital, and National, Heart and Lung Institute, Imperial College, London, UK.; Cambridge Centre for Lung Infection, Papworth Hospital, Cambridge, UK.; Department of Medicine, University of Cambridge, UK.&lt;/_author_adr&gt;&lt;_collection_scope&gt;SCI;SCIE&lt;/_collection_scope&gt;&lt;_created&gt;63836645&lt;/_created&gt;&lt;_date&gt;2017-11-01&lt;/_date&gt;&lt;_date_display&gt;2017 Nov&lt;/_date_display&gt;&lt;_db_updated&gt;PubMed&lt;/_db_updated&gt;&lt;_doi&gt;10.1136/thoraxjnl-2017-210927&lt;/_doi&gt;&lt;_impact_factor&gt;   8.834&lt;/_impact_factor&gt;&lt;_isbn&gt;1468-3296 (Electronic); 0040-6376 (Linking)&lt;/_isbn&gt;&lt;_issue&gt;Suppl 2&lt;/_issue&gt;&lt;_journal&gt;Thorax&lt;/_journal&gt;&lt;_language&gt;eng&lt;/_language&gt;&lt;_modified&gt;63836645&lt;/_modified&gt;&lt;_pages&gt;ii1-ii64&lt;/_pages&gt;&lt;_subject_headings&gt;Anti-Infective Agents/*therapeutic use; *Disease Management; Humans; Lung Diseases/microbiology/*therapy; Mycobacterium Infections, Nontuberculous/*therapy; Nontuberculous Mycobacteria/isolation &amp;amp; purification; *Practice Guidelines as Topic; *Pulmonary Medicine; *Societies, Medical; United Kingdom&lt;/_subject_headings&gt;&lt;_tertiary_title&gt;Thorax&lt;/_tertiary_title&gt;&lt;_type_work&gt;Journal Article; Review&lt;/_type_work&gt;&lt;_url&gt;http://www.ncbi.nlm.nih.gov/entrez/query.fcgi?cmd=Retrieve&amp;amp;db=pubmed&amp;amp;dopt=Abstract&amp;amp;list_uids=29054853&amp;amp;query_hl=1&lt;/_url&gt;&lt;_volume&gt;72&lt;/_volume&gt;&lt;/Details&gt;&lt;Extra&gt;&lt;DBUID&gt;{F96A950B-833F-4880-A151-76DA2D6A2879}&lt;/DBUID&gt;&lt;/Extra&gt;&lt;/Item&gt;&lt;/References&gt;&lt;/Group&gt;&lt;Group&gt;&lt;References&gt;&lt;Item&gt;&lt;ID&gt;507&lt;/ID&gt;&lt;UID&gt;{FA22E0A3-70AC-4C55-8C76-B5FA5640A1FC}&lt;/UID&gt;&lt;Title&gt;Treatment of nontuberculous mycobacterial pulmonary disease: an official ATS/ERS/ESCMID/IDSA clinical practice guideline&lt;/Title&gt;&lt;Template&gt;Journal Article&lt;/Template&gt;&lt;Star&gt;0&lt;/Star&gt;&lt;Tag&gt;0&lt;/Tag&gt;&lt;Author&gt;Daley, C L; Iaccarino, J M; Lange, C G; Cambau, E; Winthrop, K L&lt;/Author&gt;&lt;Year&gt;2020&lt;/Year&gt;&lt;Details&gt;&lt;_collection_scope&gt;SCI;SCIE&lt;/_collection_scope&gt;&lt;_created&gt;63873404&lt;/_created&gt;&lt;_impact_factor&gt;  12.339&lt;/_impact_factor&gt;&lt;_issue&gt;1&lt;/_issue&gt;&lt;_journal&gt;European Respiratory Journal&lt;/_journal&gt;&lt;_modified&gt;63873404&lt;/_modified&gt;&lt;_pages&gt;2000535&lt;/_pages&gt;&lt;_volume&gt;56&lt;/_volume&gt;&lt;/Details&gt;&lt;Extra&gt;&lt;DBUID&gt;{F96A950B-833F-4880-A151-76DA2D6A2879}&lt;/DBUID&gt;&lt;/Extra&gt;&lt;/Item&gt;&lt;/References&gt;&lt;/Group&gt;&lt;/Citation&gt;_x000a_"/>
    <w:docVar w:name="NE.Ref{1B9F8D06-280F-48D4-9FED-901286FE4655}" w:val=" ADDIN NE.Ref.{1B9F8D06-280F-48D4-9FED-901286FE4655}&lt;Citation&gt;&lt;Group&gt;&lt;References&gt;&lt;Item&gt;&lt;ID&gt;462&lt;/ID&gt;&lt;UID&gt;{6F576FFD-0565-49B2-BF51-38F3EDEEE4BA}&lt;/UID&gt;&lt;Title&gt;Musculoskeletal Tuberculosis&lt;/Title&gt;&lt;Template&gt;Journal Article&lt;/Template&gt;&lt;Star&gt;0&lt;/Star&gt;&lt;Tag&gt;0&lt;/Tag&gt;&lt;Author&gt;Leonard, M K; Blumberg, H M&lt;/Author&gt;&lt;Year&gt;2017&lt;/Year&gt;&lt;Details&gt;&lt;_accession_num&gt;28409551&lt;/_accession_num&gt;&lt;_author_adr&gt;Division of Infectious Diseases, Carolinas HealthCare System, Charlotte, NC 28209.; Division of Infectious Diseases, Emory University School of Medicine, Atlanta, GA 30303.&lt;/_author_adr&gt;&lt;_created&gt;63832916&lt;/_created&gt;&lt;_date&gt;2017-04-01&lt;/_date&gt;&lt;_date_display&gt;2017 Apr&lt;/_date_display&gt;&lt;_db_updated&gt;PubMed&lt;/_db_updated&gt;&lt;_doi&gt;10.1128/microbiolspec.TNMI7-0046-2017&lt;/_doi&gt;&lt;_impact_factor&gt;   5.465&lt;/_impact_factor&gt;&lt;_isbn&gt;2165-0497 (Electronic); 2165-0497 (Linking)&lt;/_isbn&gt;&lt;_issue&gt;2&lt;/_issue&gt;&lt;_journal&gt;Microbiol Spectr&lt;/_journal&gt;&lt;_language&gt;eng&lt;/_language&gt;&lt;_modified&gt;63832916&lt;/_modified&gt;&lt;_subject_headings&gt;Antitubercular Agents/administration &amp;amp; dosage; Bacteriological Techniques; Diagnostic Tests, Routine; Humans; Musculoskeletal Diseases/diagnosis/drug therapy/*epidemiology/*pathology; Mycobacterium tuberculosis/*isolation &amp;amp; purification; Optical Imaging; Rifampin/administration &amp;amp; dosage; Tuberculosis/diagnosis/drug therapy/*epidemiology/*pathology; United States/epidemiology&lt;/_subject_headings&gt;&lt;_tertiary_title&gt;Microbiology spectrum&lt;/_tertiary_title&gt;&lt;_type_work&gt;Journal Article; Review&lt;/_type_work&gt;&lt;_url&gt;http://www.ncbi.nlm.nih.gov/entrez/query.fcgi?cmd=Retrieve&amp;amp;db=pubmed&amp;amp;dopt=Abstract&amp;amp;list_uids=28409551&amp;amp;query_hl=1&lt;/_url&gt;&lt;_volume&gt;5&lt;/_volume&gt;&lt;/Details&gt;&lt;Extra&gt;&lt;DBUID&gt;{F96A950B-833F-4880-A151-76DA2D6A2879}&lt;/DBUID&gt;&lt;/Extra&gt;&lt;/Item&gt;&lt;/References&gt;&lt;/Group&gt;&lt;/Citation&gt;_x000a_"/>
    <w:docVar w:name="NE.Ref{3315DC8C-97DA-4E8B-B032-32F365F3B451}" w:val=" ADDIN NE.Ref.{3315DC8C-97DA-4E8B-B032-32F365F3B451}&lt;Citation&gt;&lt;Group&gt;&lt;References&gt;&lt;Item&gt;&lt;ID&gt;464&lt;/ID&gt;&lt;UID&gt;{207E1527-A254-4516-9F64-FAE3BDE96F17}&lt;/UID&gt;&lt;Title&gt;Nontuberculous mycobacterial osteomyelitis&lt;/Title&gt;&lt;Template&gt;Journal Article&lt;/Template&gt;&lt;Star&gt;0&lt;/Star&gt;&lt;Tag&gt;0&lt;/Tag&gt;&lt;Author&gt;Bi, S; Hu, F S; Yu, H Y; Xu, K J; Zheng, B W; Ji, Z K; Li, J J; Deng, M; Hu, H Y; Sheng, J F&lt;/Author&gt;&lt;Year&gt;2015&lt;/Year&gt;&lt;Details&gt;&lt;_accession_num&gt;25915177&lt;/_accession_num&gt;&lt;_author_adr&gt;From the State Key Laboratory for Diagnosis and Treatment of Infectious Diseases, First Affiliated Hospital, Zhejiang University , Hangzhou , China.&lt;/_author_adr&gt;&lt;_created&gt;63832932&lt;/_created&gt;&lt;_date&gt;2015-01-20&lt;/_date&gt;&lt;_date_display&gt;2015&lt;/_date_display&gt;&lt;_db_updated&gt;PubMed&lt;/_db_updated&gt;&lt;_doi&gt;10.3109/23744235.2015.1040445&lt;/_doi&gt;&lt;_isbn&gt;2374-4243 (Electronic); 2374-4243 (Linking)&lt;/_isbn&gt;&lt;_issue&gt;10&lt;/_issue&gt;&lt;_journal&gt;Infect Dis (Lond)&lt;/_journal&gt;&lt;_keywords&gt;Osteomyelitis; diabetes mellitus; nontuberculous mycobacteria&lt;/_keywords&gt;&lt;_language&gt;eng&lt;/_language&gt;&lt;_modified&gt;63832932&lt;/_modified&gt;&lt;_pages&gt;673-85&lt;/_pages&gt;&lt;_subject_headings&gt;Adult; Diabetes Complications; Diabetes Mellitus; Disease Susceptibility; HIV/pathogenicity; Humans; Immunocompromised Host; Interferon-gamma/immunology; Interleukin-12/immunology; Mycobacterium Infections, Nontuberculous/etiology/*microbiology/*therapy; Nontuberculous Mycobacteria/*pathogenicity; Osteomyelitis/etiology/*microbiology/*therapy; Tumor Necrosis Factor-alpha/immunology&lt;/_subject_headings&gt;&lt;_tertiary_title&gt;Infectious diseases (London, England)&lt;/_tertiary_title&gt;&lt;_type_work&gt;Journal Article; Research Support, Non-U.S. Gov&amp;apos;t; Review&lt;/_type_work&gt;&lt;_url&gt;http://www.ncbi.nlm.nih.gov/entrez/query.fcgi?cmd=Retrieve&amp;amp;db=pubmed&amp;amp;dopt=Abstract&amp;amp;list_uids=25915177&amp;amp;query_hl=1&lt;/_url&gt;&lt;_volume&gt;47&lt;/_volume&gt;&lt;/Details&gt;&lt;Extra&gt;&lt;DBUID&gt;{F96A950B-833F-4880-A151-76DA2D6A2879}&lt;/DBUID&gt;&lt;/Extra&gt;&lt;/Item&gt;&lt;/References&gt;&lt;/Group&gt;&lt;Group&gt;&lt;References&gt;&lt;Item&gt;&lt;ID&gt;460&lt;/ID&gt;&lt;UID&gt;{12C2B2CE-FBD6-481C-899E-B711EFA841B9}&lt;/UID&gt;&lt;Title&gt;Anticytokine autoantibody-associated immunodeficiency&lt;/Title&gt;&lt;Template&gt;Journal Article&lt;/Template&gt;&lt;Star&gt;0&lt;/Star&gt;&lt;Tag&gt;0&lt;/Tag&gt;&lt;Author&gt;Browne, S K&lt;/Author&gt;&lt;Year&gt;2014&lt;/Year&gt;&lt;Details&gt;&lt;_accession_num&gt;24499273&lt;/_accession_num&gt;&lt;_author_adr&gt;Laboratory of Clinical Infectious Diseases, National Institute of Allergy and Infectious Diseases, National Institutes of Health, Bethesda, Maryland 20892; email: brownesa@niaid.nih.gov.&lt;/_author_adr&gt;&lt;_collection_scope&gt;SCI;SCIE&lt;/_collection_scope&gt;&lt;_created&gt;63825143&lt;/_created&gt;&lt;_date&gt;2014-01-20&lt;/_date&gt;&lt;_date_display&gt;2014&lt;/_date_display&gt;&lt;_db_updated&gt;PubMed&lt;/_db_updated&gt;&lt;_doi&gt;10.1146/annurev-immunol-032713-120222&lt;/_doi&gt;&lt;_impact_factor&gt;  19.900&lt;/_impact_factor&gt;&lt;_isbn&gt;1545-3278 (Electronic); 0732-0582 (Linking)&lt;/_isbn&gt;&lt;_journal&gt;Annu Rev Immunol&lt;/_journal&gt;&lt;_language&gt;eng&lt;/_language&gt;&lt;_modified&gt;63825144&lt;/_modified&gt;&lt;_pages&gt;635-57&lt;/_pages&gt;&lt;_subject_headings&gt;Animals; Autoantibodies/*immunology; Candidiasis/diagnosis/immunology/therapy; Cytokines/*immunology; Humans; Immunologic Deficiency Syndromes/diagnosis/*immunology/therapy; Polyendocrinopathies, Autoimmune/diagnosis/immunology/therapy; Thymoma/diagnosis/immunology/therapy&lt;/_subject_headings&gt;&lt;_tertiary_title&gt;Annual review of immunology&lt;/_tertiary_title&gt;&lt;_type_work&gt;Journal Article; Research Support, N.I.H., Intramural; Review&lt;/_type_work&gt;&lt;_url&gt;http://www.ncbi.nlm.nih.gov/entrez/query.fcgi?cmd=Retrieve&amp;amp;db=pubmed&amp;amp;dopt=Abstract&amp;amp;list_uids=24499273&amp;amp;query_hl=1&lt;/_url&gt;&lt;_volume&gt;32&lt;/_volume&gt;&lt;/Details&gt;&lt;Extra&gt;&lt;DBUID&gt;{F96A950B-833F-4880-A151-76DA2D6A2879}&lt;/DBUID&gt;&lt;/Extra&gt;&lt;/Item&gt;&lt;/References&gt;&lt;/Group&gt;&lt;/Citation&gt;_x000a_"/>
    <w:docVar w:name="NE.Ref{354FA70D-406F-4A27-951E-1134648A03D0}" w:val=" ADDIN NE.Ref.{354FA70D-406F-4A27-951E-1134648A03D0}&lt;Citation&gt;&lt;Group&gt;&lt;References&gt;&lt;Item&gt;&lt;ID&gt;464&lt;/ID&gt;&lt;UID&gt;{207E1527-A254-4516-9F64-FAE3BDE96F17}&lt;/UID&gt;&lt;Title&gt;Nontuberculous mycobacterial osteomyelitis&lt;/Title&gt;&lt;Template&gt;Journal Article&lt;/Template&gt;&lt;Star&gt;0&lt;/Star&gt;&lt;Tag&gt;0&lt;/Tag&gt;&lt;Author&gt;Bi, S; Hu, F S; Yu, H Y; Xu, K J; Zheng, B W; Ji, Z K; Li, J J; Deng, M; Hu, H Y; Sheng, J F&lt;/Author&gt;&lt;Year&gt;2015&lt;/Year&gt;&lt;Details&gt;&lt;_accession_num&gt;25915177&lt;/_accession_num&gt;&lt;_author_adr&gt;From the State Key Laboratory for Diagnosis and Treatment of Infectious Diseases, First Affiliated Hospital, Zhejiang University , Hangzhou , China.&lt;/_author_adr&gt;&lt;_created&gt;63832932&lt;/_created&gt;&lt;_date&gt;2015-01-20&lt;/_date&gt;&lt;_date_display&gt;2015&lt;/_date_display&gt;&lt;_db_updated&gt;PubMed&lt;/_db_updated&gt;&lt;_doi&gt;10.3109/23744235.2015.1040445&lt;/_doi&gt;&lt;_isbn&gt;2374-4243 (Electronic); 2374-4243 (Linking)&lt;/_isbn&gt;&lt;_issue&gt;10&lt;/_issue&gt;&lt;_journal&gt;Infect Dis (Lond)&lt;/_journal&gt;&lt;_keywords&gt;Osteomyelitis; diabetes mellitus; nontuberculous mycobacteria&lt;/_keywords&gt;&lt;_language&gt;eng&lt;/_language&gt;&lt;_modified&gt;63832932&lt;/_modified&gt;&lt;_pages&gt;673-85&lt;/_pages&gt;&lt;_subject_headings&gt;Adult; Diabetes Complications; Diabetes Mellitus; Disease Susceptibility; HIV/pathogenicity; Humans; Immunocompromised Host; Interferon-gamma/immunology; Interleukin-12/immunology; Mycobacterium Infections, Nontuberculous/etiology/*microbiology/*therapy; Nontuberculous Mycobacteria/*pathogenicity; Osteomyelitis/etiology/*microbiology/*therapy; Tumor Necrosis Factor-alpha/immunology&lt;/_subject_headings&gt;&lt;_tertiary_title&gt;Infectious diseases (London, England)&lt;/_tertiary_title&gt;&lt;_type_work&gt;Journal Article; Research Support, Non-U.S. Gov&amp;apos;t; Review&lt;/_type_work&gt;&lt;_url&gt;http://www.ncbi.nlm.nih.gov/entrez/query.fcgi?cmd=Retrieve&amp;amp;db=pubmed&amp;amp;dopt=Abstract&amp;amp;list_uids=25915177&amp;amp;query_hl=1&lt;/_url&gt;&lt;_volume&gt;47&lt;/_volume&gt;&lt;/Details&gt;&lt;Extra&gt;&lt;DBUID&gt;{F96A950B-833F-4880-A151-76DA2D6A2879}&lt;/DBUID&gt;&lt;/Extra&gt;&lt;/Item&gt;&lt;/References&gt;&lt;/Group&gt;&lt;Group&gt;&lt;References&gt;&lt;Item&gt;&lt;ID&gt;508&lt;/ID&gt;&lt;UID&gt;{A0BEA5A9-90F9-457A-82FC-8BAEF4A46814}&lt;/UID&gt;&lt;Title&gt;Profiles of Extrapulmonary Nontuberculous Mycobacteria Infections and Predictors for Species: A Multicenter Retrospective Study&lt;/Title&gt;&lt;Template&gt;Journal Article&lt;/Template&gt;&lt;Star&gt;0&lt;/Star&gt;&lt;Tag&gt;0&lt;/Tag&gt;&lt;Author&gt;Kim, J H; Jung, I Y; Song, J E; Kim, E J; Song, Y G&lt;/Author&gt;&lt;Year&gt;2020&lt;/Year&gt;&lt;Details&gt;&lt;_created&gt;63873404&lt;/_created&gt;&lt;_impact_factor&gt;   3.018&lt;/_impact_factor&gt;&lt;_issue&gt;11&lt;/_issue&gt;&lt;_journal&gt;Pathogens&lt;/_journal&gt;&lt;_modified&gt;63873404&lt;/_modified&gt;&lt;_pages&gt;949&lt;/_pages&gt;&lt;_volume&gt;9&lt;/_volume&gt;&lt;/Details&gt;&lt;Extra&gt;&lt;DBUID&gt;{F96A950B-833F-4880-A151-76DA2D6A2879}&lt;/DBUID&gt;&lt;/Extra&gt;&lt;/Item&gt;&lt;/References&gt;&lt;/Group&gt;&lt;Group&gt;&lt;References&gt;&lt;Item&gt;&lt;ID&gt;501&lt;/ID&gt;&lt;UID&gt;{6A0B79F5-363F-4A33-A301-C97E346809B8}&lt;/UID&gt;&lt;Title&gt;Vertebral osteomyelitis caused by non-tuberculous mycobacteria: Predisposing conditions and clinical characteristics of six cases and a review of 63 cases in  the literature&lt;/Title&gt;&lt;Template&gt;Journal Article&lt;/Template&gt;&lt;Star&gt;0&lt;/Star&gt;&lt;Tag&gt;0&lt;/Tag&gt;&lt;Author&gt;Kim, C J; Kim, U J; Kim, H B; Park, S W; Oh, M D; Park, K H; Kim, N J&lt;/Author&gt;&lt;Year&gt;2016&lt;/Year&gt;&lt;Details&gt;&lt;_accession_num&gt;27002256&lt;/_accession_num&gt;&lt;_author_adr&gt;a Department of Internal Medicine , Seoul National University College of Medicine , Seoul , Republic of Korea ;; b Department of Infectious Diseases , Chonnam National University Medical School  , Gwang-ju , Republic of Korea.; a Department of Internal Medicine , Seoul National University College of Medicine , Seoul , Republic of Korea ;; a Department of Internal Medicine , Seoul National University College of Medicine , Seoul , Republic of Korea ;; a Department of Internal Medicine , Seoul National University College of Medicine , Seoul , Republic of Korea ;; b Department of Infectious Diseases , Chonnam National University Medical School  , Gwang-ju , Republic of Korea.; a Department of Internal Medicine , Seoul National University College of Medicine , Seoul , Republic of Korea ;&lt;/_author_adr&gt;&lt;_created&gt;63866842&lt;/_created&gt;&lt;_date&gt;2016-07-01&lt;/_date&gt;&lt;_date_display&gt;2016 Jul&lt;/_date_display&gt;&lt;_db_updated&gt;PubMed&lt;/_db_updated&gt;&lt;_doi&gt;10.3109/23744235.2016.1158418&lt;/_doi&gt;&lt;_isbn&gt;2374-4243 (Electronic); 2374-4243 (Linking)&lt;/_isbn&gt;&lt;_issue&gt;7&lt;/_issue&gt;&lt;_journal&gt;Infect Dis (Lond)&lt;/_journal&gt;&lt;_keywords&gt;HIV; Non-tuberculous mycobacteria; immunocompromised host; mycobacterium avium complex&lt;/_keywords&gt;&lt;_language&gt;eng&lt;/_language&gt;&lt;_modified&gt;63866847&lt;/_modified&gt;&lt;_pages&gt;509-16&lt;/_pages&gt;&lt;_subject_headings&gt;Aged; Female; Humans; Male; Middle Aged; *Mycobacterium Infections, Nontuberculous; *Nontuberculous Mycobacteria; *Osteomyelitis; *Tuberculosis, Spinal&lt;/_subject_headings&gt;&lt;_tertiary_title&gt;Infectious diseases (London, England)&lt;/_tertiary_title&gt;&lt;_type_work&gt;Journal Article; Review; Systematic Review&lt;/_type_work&gt;&lt;_url&gt;http://www.ncbi.nlm.nih.gov/entrez/query.fcgi?cmd=Retrieve&amp;amp;db=pubmed&amp;amp;dopt=Abstract&amp;amp;list_uids=27002256&amp;amp;query_hl=1&lt;/_url&gt;&lt;_volume&gt;48&lt;/_volume&gt;&lt;/Details&gt;&lt;Extra&gt;&lt;DBUID&gt;{F96A950B-833F-4880-A151-76DA2D6A2879}&lt;/DBUID&gt;&lt;/Extra&gt;&lt;/Item&gt;&lt;/References&gt;&lt;/Group&gt;&lt;/Citation&gt;_x000a_"/>
    <w:docVar w:name="NE.Ref{38D76576-A0E5-4B27-9270-6EBDC941008B}" w:val=" ADDIN NE.Ref.{38D76576-A0E5-4B27-9270-6EBDC941008B}&lt;Citation&gt;&lt;Group&gt;&lt;References&gt;&lt;Item&gt;&lt;ID&gt;491&lt;/ID&gt;&lt;UID&gt;{766FF7AB-423F-411E-90D5-1B6B1CF35590}&lt;/UID&gt;&lt;Title&gt;The looming tide of nontuberculous mycobacterial infections in Portugal and Brazil&lt;/Title&gt;&lt;Template&gt;Journal Article&lt;/Template&gt;&lt;Star&gt;0&lt;/Star&gt;&lt;Tag&gt;0&lt;/Tag&gt;&lt;Author&gt;Nunes-Costa, D; Alarico, S; Dalcolmo, M P; Correia-Neves, M; Empadinhas, N&lt;/Author&gt;&lt;Year&gt;2016&lt;/Year&gt;&lt;Details&gt;&lt;_accession_num&gt;26560840&lt;/_accession_num&gt;&lt;_author_adr&gt;CNC - Center for Neuroscience and Cell Biology, University of Coimbra, Coimbra, Portugal.; CNC - Center for Neuroscience and Cell Biology, University of Coimbra, Coimbra, Portugal.; Reference Center Helio Fraga, Fundacao Oswaldo Cruz, FIOCRUZ, MoH, Rio de Janeiro, Brazil.; ICVS - Health and Life Sciences Research Institute, University of Minho, Braga, Portugal; ICVS/3B&amp;apos;s, PT Government Associate Laboratory, Braga/Guimaraes, Portugal.; CNC - Center for Neuroscience and Cell Biology, University of Coimbra, Coimbra, Portugal; IIIUC - Institute for Interdisciplinary Research, University of Coimbra, Coimbra, Portugal. Electronic address: numenius@cnc.uc.pt.&lt;/_author_adr&gt;&lt;_created&gt;63836379&lt;/_created&gt;&lt;_date&gt;2016-01-01&lt;/_date&gt;&lt;_date_display&gt;2016 Jan&lt;/_date_display&gt;&lt;_db_updated&gt;PubMed&lt;/_db_updated&gt;&lt;_doi&gt;10.1016/j.tube.2015.09.006&lt;/_doi&gt;&lt;_impact_factor&gt;   2.576&lt;/_impact_factor&gt;&lt;_isbn&gt;1873-281X (Electronic); 1472-9792 (Linking)&lt;/_isbn&gt;&lt;_journal&gt;Tuberculosis (Edinb)&lt;/_journal&gt;&lt;_keywords&gt;Brazil; Emerging infections; Mycobacterioses; Nontuberculous mycobacteria; Opportunistic pathogens; Portugal&lt;/_keywords&gt;&lt;_language&gt;eng&lt;/_language&gt;&lt;_modified&gt;63836379&lt;/_modified&gt;&lt;_ori_publication&gt;Copyright (c) 2015 Elsevier Ltd. All rights reserved.&lt;/_ori_publication&gt;&lt;_pages&gt;107-19&lt;/_pages&gt;&lt;_subject_headings&gt;Brazil/epidemiology; Coinfection; Communicable Diseases,_x000d__x000a_      Emerging/diagnosis/*epidemiology/*microbiology/transmission; HIV Infections/epidemiology; Humans; Immunocompromised Host; Mycobacterium Infections,_x000d__x000a_      Nontuberculous/diagnosis/*epidemiology/*microbiology/transmission; Nontuberculous Mycobacteria/*pathogenicity; Opportunistic Infections/diagnosis/*epidemiology/*microbiology/transmission; Portugal/epidemiology; Postoperative Complications/epidemiology/microbiology; Prognosis; Respiratory Tract Infections/diagnosis/*epidemiology/*microbiology/transmission; Risk Factors&lt;/_subject_headings&gt;&lt;_tertiary_title&gt;Tuberculosis (Edinburgh, Scotland)&lt;/_tertiary_title&gt;&lt;_type_work&gt;Journal Article; Research Support, Non-U.S. Gov&amp;apos;t; Review&lt;/_type_work&gt;&lt;_url&gt;http://www.ncbi.nlm.nih.gov/entrez/query.fcgi?cmd=Retrieve&amp;amp;db=pubmed&amp;amp;dopt=Abstract&amp;amp;list_uids=26560840&amp;amp;query_hl=1&lt;/_url&gt;&lt;_volume&gt;96&lt;/_volume&gt;&lt;/Details&gt;&lt;Extra&gt;&lt;DBUID&gt;{F96A950B-833F-4880-A151-76DA2D6A2879}&lt;/DBUID&gt;&lt;/Extra&gt;&lt;/Item&gt;&lt;/References&gt;&lt;/Group&gt;&lt;Group&gt;&lt;References&gt;&lt;Item&gt;&lt;ID&gt;500&lt;/ID&gt;&lt;UID&gt;{424D5070-073D-41F7-ACCC-63A689695243}&lt;/UID&gt;&lt;Title&gt;Nontuberculous mycobacteria infections in immunosuppressed hosts&lt;/Title&gt;&lt;Template&gt;Journal Article&lt;/Template&gt;&lt;Star&gt;0&lt;/Star&gt;&lt;Tag&gt;0&lt;/Tag&gt;&lt;Author&gt;Henkle, E; Winthrop, K L&lt;/Author&gt;&lt;Year&gt;2015&lt;/Year&gt;&lt;Details&gt;&lt;_accession_num&gt;25676522&lt;/_accession_num&gt;&lt;_author_adr&gt;HIV, STD, and TB Section, Public Health Division, Oregon Health Authority, 800 NE Oregon Street, Suite 1105, Portland, OR 97232, USA. Electronic address: emhenkle@gmail.com.; Division of Infectious Diseases, Oregon Health and Science University, 3375 Southwest Terwilliger Boulevard, Mailstop CEI, Portland, OR 97239, USA; Division  of Public Health and Preventative Medicine, Oregon Health and Science University, 3375 Southwest Terwilliger Boulevard, Mailstop CEI, Portland, OR 97239, USA.&lt;/_author_adr&gt;&lt;_collection_scope&gt;SCI;SCIE&lt;/_collection_scope&gt;&lt;_created&gt;63866750&lt;/_created&gt;&lt;_date&gt;2015-03-01&lt;/_date&gt;&lt;_date_display&gt;2015 Mar&lt;/_date_display&gt;&lt;_db_updated&gt;PubMed&lt;/_db_updated&gt;&lt;_doi&gt;10.1016/j.ccm.2014.11.002&lt;/_doi&gt;&lt;_impact_factor&gt;   2.667&lt;/_impact_factor&gt;&lt;_isbn&gt;1557-8216 (Electronic); 0272-5231 (Linking)&lt;/_isbn&gt;&lt;_issue&gt;1&lt;/_issue&gt;&lt;_journal&gt;Clin Chest Med&lt;/_journal&gt;&lt;_keywords&gt;Extrapulmonary nontuberculous mycobacteria; Immunosuppressive therapy; Mycobacterium avium; Transplant&lt;/_keywords&gt;&lt;_language&gt;eng&lt;/_language&gt;&lt;_modified&gt;63866751&lt;/_modified&gt;&lt;_ori_publication&gt;Copyright (c) 2015 Elsevier Inc. All rights reserved.&lt;/_ori_publication&gt;&lt;_pages&gt;91-9&lt;/_pages&gt;&lt;_subject_headings&gt;Anti-Bacterial Agents/*therapeutic use; Drug Administration Schedule; Humans; *Immunocompromised Host; Immunosuppressive Agents/*therapeutic use; Lung Diseases/*drug therapy/microbiology; Mycobacterium Infections, Nontuberculous/*drug therapy/microbiology; Nontuberculous Mycobacteria/*drug effects/pathogenicity&lt;/_subject_headings&gt;&lt;_tertiary_title&gt;Clinics in chest medicine&lt;/_tertiary_title&gt;&lt;_type_work&gt;Journal Article; Review&lt;/_type_work&gt;&lt;_url&gt;http://www.ncbi.nlm.nih.gov/entrez/query.fcgi?cmd=Retrieve&amp;amp;db=pubmed&amp;amp;dopt=Abstract&amp;amp;list_uids=25676522&amp;amp;query_hl=1&lt;/_url&gt;&lt;_volume&gt;36&lt;/_volume&gt;&lt;/Details&gt;&lt;Extra&gt;&lt;DBUID&gt;{F96A950B-833F-4880-A151-76DA2D6A2879}&lt;/DBUID&gt;&lt;/Extra&gt;&lt;/Item&gt;&lt;/References&gt;&lt;/Group&gt;&lt;/Citation&gt;_x000a_"/>
    <w:docVar w:name="NE.Ref{446D50C1-C06A-49DB-8956-8F28F2CCFC12}" w:val=" ADDIN NE.Ref.{446D50C1-C06A-49DB-8956-8F28F2CCFC12}&lt;Citation&gt;&lt;Group&gt;&lt;References&gt;&lt;Item&gt;&lt;ID&gt;502&lt;/ID&gt;&lt;UID&gt;{625A52C9-3EB8-4B57-838E-0F5B24D4E3D4}&lt;/UID&gt;&lt;Title&gt;Nontuberculous Mycobacteria-Overview&lt;/Title&gt;&lt;Template&gt;Journal Article&lt;/Template&gt;&lt;Star&gt;0&lt;/Star&gt;&lt;Tag&gt;0&lt;/Tag&gt;&lt;Author&gt;Koh, W J&lt;/Author&gt;&lt;Year&gt;2017&lt;/Year&gt;&lt;Details&gt;&lt;_accession_num&gt;28128073&lt;/_accession_num&gt;&lt;_author_adr&gt;Division of Pulmonary and Critical Care Medicine, Department of Medicine, Samsung Medical Center, Sungkyunkwan University School of Medicine, Seoul 06351, South Korea.&lt;/_author_adr&gt;&lt;_created&gt;63866862&lt;/_created&gt;&lt;_date&gt;2017-01-01&lt;/_date&gt;&lt;_date_display&gt;2017 Jan&lt;/_date_display&gt;&lt;_db_updated&gt;PubMed&lt;/_db_updated&gt;&lt;_doi&gt;10.1128/microbiolspec.TNMI7-0024-2016&lt;/_doi&gt;&lt;_impact_factor&gt;   5.465&lt;/_impact_factor&gt;&lt;_isbn&gt;2165-0497 (Electronic); 2165-0497 (Linking)&lt;/_isbn&gt;&lt;_issue&gt;1&lt;/_issue&gt;&lt;_journal&gt;Microbiol Spectr&lt;/_journal&gt;&lt;_language&gt;eng&lt;/_language&gt;&lt;_modified&gt;63866862&lt;/_modified&gt;&lt;_subject_headings&gt;Antitubercular Agents/therapeutic use; Communicable Diseases, Emerging/diagnosis/drug therapy/epidemiology/*microbiology; Humans; Mycobacterium Infections, Nontuberculous/diagnosis/drug_x000d__x000a_      therapy/epidemiology/*microbiology; Nontuberculous Mycobacteria/*classification/*isolation &amp;amp; purification; Pneumonia/diagnosis/drug therapy/epidemiology/microbiology&lt;/_subject_headings&gt;&lt;_tertiary_title&gt;Microbiology spectrum&lt;/_tertiary_title&gt;&lt;_type_work&gt;Journal Article; Review&lt;/_type_work&gt;&lt;_url&gt;http://www.ncbi.nlm.nih.gov/entrez/query.fcgi?cmd=Retrieve&amp;amp;db=pubmed&amp;amp;dopt=Abstract&amp;amp;list_uids=28128073&amp;amp;query_hl=1&lt;/_url&gt;&lt;_volume&gt;5&lt;/_volume&gt;&lt;/Details&gt;&lt;Extra&gt;&lt;DBUID&gt;{F96A950B-833F-4880-A151-76DA2D6A2879}&lt;/DBUID&gt;&lt;/Extra&gt;&lt;/Item&gt;&lt;/References&gt;&lt;/Group&gt;&lt;/Citation&gt;_x000a_"/>
    <w:docVar w:name="NE.Ref{49A846A6-BBB8-4078-9A1C-245EFA27D283}" w:val=" ADDIN NE.Ref.{49A846A6-BBB8-4078-9A1C-245EFA27D283}&lt;Citation&gt;&lt;Group&gt;&lt;References&gt;&lt;Item&gt;&lt;ID&gt;462&lt;/ID&gt;&lt;UID&gt;{6F576FFD-0565-49B2-BF51-38F3EDEEE4BA}&lt;/UID&gt;&lt;Title&gt;Musculoskeletal Tuberculosis&lt;/Title&gt;&lt;Template&gt;Journal Article&lt;/Template&gt;&lt;Star&gt;0&lt;/Star&gt;&lt;Tag&gt;0&lt;/Tag&gt;&lt;Author&gt;Leonard, M K; Blumberg, H M&lt;/Author&gt;&lt;Year&gt;2017&lt;/Year&gt;&lt;Details&gt;&lt;_accession_num&gt;28409551&lt;/_accession_num&gt;&lt;_author_adr&gt;Division of Infectious Diseases, Carolinas HealthCare System, Charlotte, NC 28209.; Division of Infectious Diseases, Emory University School of Medicine, Atlanta, GA 30303.&lt;/_author_adr&gt;&lt;_created&gt;63832916&lt;/_created&gt;&lt;_date&gt;2017-04-01&lt;/_date&gt;&lt;_date_display&gt;2017 Apr&lt;/_date_display&gt;&lt;_db_updated&gt;PubMed&lt;/_db_updated&gt;&lt;_doi&gt;10.1128/microbiolspec.TNMI7-0046-2017&lt;/_doi&gt;&lt;_impact_factor&gt;   5.465&lt;/_impact_factor&gt;&lt;_isbn&gt;2165-0497 (Electronic); 2165-0497 (Linking)&lt;/_isbn&gt;&lt;_issue&gt;2&lt;/_issue&gt;&lt;_journal&gt;Microbiol Spectr&lt;/_journal&gt;&lt;_language&gt;eng&lt;/_language&gt;&lt;_modified&gt;63832916&lt;/_modified&gt;&lt;_subject_headings&gt;Antitubercular Agents/administration &amp;amp; dosage; Bacteriological Techniques; Diagnostic Tests, Routine; Humans; Musculoskeletal Diseases/diagnosis/drug therapy/*epidemiology/*pathology; Mycobacterium tuberculosis/*isolation &amp;amp; purification; Optical Imaging; Rifampin/administration &amp;amp; dosage; Tuberculosis/diagnosis/drug therapy/*epidemiology/*pathology; United States/epidemiology&lt;/_subject_headings&gt;&lt;_tertiary_title&gt;Microbiology spectrum&lt;/_tertiary_title&gt;&lt;_type_work&gt;Journal Article; Review&lt;/_type_work&gt;&lt;_url&gt;http://www.ncbi.nlm.nih.gov/entrez/query.fcgi?cmd=Retrieve&amp;amp;db=pubmed&amp;amp;dopt=Abstract&amp;amp;list_uids=28409551&amp;amp;query_hl=1&lt;/_url&gt;&lt;_volume&gt;5&lt;/_volume&gt;&lt;/Details&gt;&lt;Extra&gt;&lt;DBUID&gt;{F96A950B-833F-4880-A151-76DA2D6A2879}&lt;/DBUID&gt;&lt;/Extra&gt;&lt;/Item&gt;&lt;/References&gt;&lt;/Group&gt;&lt;Group&gt;&lt;References&gt;&lt;Item&gt;&lt;ID&gt;463&lt;/ID&gt;&lt;UID&gt;{98764A91-06ED-4907-88B9-D5179D2EBEE0}&lt;/UID&gt;&lt;Title&gt;Retrospective analysis of 14 cases of disseminated Penicillium marneffei infection with osteolytic lesions&lt;/Title&gt;&lt;Template&gt;Journal Article&lt;/Template&gt;&lt;Star&gt;0&lt;/Star&gt;&lt;Tag&gt;0&lt;/Tag&gt;&lt;Author&gt;Qiu, Y; Zhang, J; Liu, G; Zhong, X; Deng, J; He, Z; Jing, B&lt;/Author&gt;&lt;Year&gt;2015&lt;/Year&gt;&lt;Details&gt;&lt;_accession_num&gt;25656710&lt;/_accession_num&gt;&lt;_author_adr&gt;Department of Integrated Medicine, The Affiliated Tumor Hospital of Guangxi Medical University, Nanning, Guangxi, China. yeqiu2013graduated@163.com.; Department of Respiratory Medicine, The First Affiliated Hospital of Guangxi Medical University, Nanning, Guangxi, 530021, China. jqzhang2002@sina.com.; Department of Respiratory Medicine, The First Affiliated Hospital of Guangxi Medical University, Nanning, Guangxi, 530021, China. gnliu63@yahoo.com.cn.; Department of Respiratory Medicine, The First Affiliated Hospital of Guangxi Medical University, Nanning, Guangxi, 530021, China. liguoqiuye@gmail.com.; Department of Respiratory Medicine, The First Affiliated Hospital of Guangxi Medical University, Nanning, Guangxi, 530021, China. ldyyy666@163.com.; Department of Respiratory Medicine, The First Affiliated Hospital of Guangxi Medical University, Nanning, Guangxi, 530021, China. zhiyi-river@163.com.; Department of Respiratory Medicine, The First Affiliated Hospital of Guangxi Medical University, Nanning, Guangxi, 530021, China. 287063367@qq.com.&lt;/_author_adr&gt;&lt;_collection_scope&gt;SCIE&lt;/_collection_scope&gt;&lt;_created&gt;63832922&lt;/_created&gt;&lt;_date&gt;2015-02-06&lt;/_date&gt;&lt;_date_display&gt;2015 Feb 6&lt;/_date_display&gt;&lt;_db_updated&gt;PubMed&lt;/_db_updated&gt;&lt;_doi&gt;10.1186/s12879-015-0782-6&lt;/_doi&gt;&lt;_impact_factor&gt;   2.688&lt;/_impact_factor&gt;&lt;_isbn&gt;1471-2334 (Electronic); 1471-2334 (Linking)&lt;/_isbn&gt;&lt;_journal&gt;BMC Infect Dis&lt;/_journal&gt;&lt;_language&gt;eng&lt;/_language&gt;&lt;_modified&gt;63832922&lt;/_modified&gt;&lt;_pages&gt;47&lt;/_pages&gt;&lt;_subject_headings&gt;AIDS-Related Opportunistic Infections/complications/diagnosis/epidemiology; Adult; Aged; Antifungal Agents/therapeutic use; China/epidemiology; Female; HIV Infections/complications/diagnostic imaging/drug therapy/epidemiology; Humans; Leukocyte Count; Male; Middle Aged; Mycoses/*complications/diagnostic imaging/drug therapy/epidemiology; Osteolysis/diagnostic imaging/epidemiology/*microbiology; Penicillium/growth &amp;amp; development/*physiology; Radiography; Retrospective Studies; Treatment Outcome; Young Adult&lt;/_subject_headings&gt;&lt;_tertiary_title&gt;BMC infectious diseases&lt;/_tertiary_title&gt;&lt;_type_work&gt;Journal Article&lt;/_type_work&gt;&lt;_url&gt;http://www.ncbi.nlm.nih.gov/entrez/query.fcgi?cmd=Retrieve&amp;amp;db=pubmed&amp;amp;dopt=Abstract&amp;amp;list_uids=25656710&amp;amp;query_hl=1&lt;/_url&gt;&lt;_volume&gt;15&lt;/_volume&gt;&lt;/Details&gt;&lt;Extra&gt;&lt;DBUID&gt;{F96A950B-833F-4880-A151-76DA2D6A2879}&lt;/DBUID&gt;&lt;/Extra&gt;&lt;/Item&gt;&lt;/References&gt;&lt;/Group&gt;&lt;Group&gt;&lt;References&gt;&lt;Item&gt;&lt;ID&gt;464&lt;/ID&gt;&lt;UID&gt;{207E1527-A254-4516-9F64-FAE3BDE96F17}&lt;/UID&gt;&lt;Title&gt;Nontuberculous mycobacterial osteomyelitis&lt;/Title&gt;&lt;Template&gt;Journal Article&lt;/Template&gt;&lt;Star&gt;0&lt;/Star&gt;&lt;Tag&gt;0&lt;/Tag&gt;&lt;Author&gt;Bi, S; Hu, F S; Yu, H Y; Xu, K J; Zheng, B W; Ji, Z K; Li, J J; Deng, M; Hu, H Y; Sheng, J F&lt;/Author&gt;&lt;Year&gt;2015&lt;/Year&gt;&lt;Details&gt;&lt;_accession_num&gt;25915177&lt;/_accession_num&gt;&lt;_author_adr&gt;From the State Key Laboratory for Diagnosis and Treatment of Infectious Diseases, First Affiliated Hospital, Zhejiang University , Hangzhou , China.&lt;/_author_adr&gt;&lt;_created&gt;63832932&lt;/_created&gt;&lt;_date&gt;2015-01-20&lt;/_date&gt;&lt;_date_display&gt;2015&lt;/_date_display&gt;&lt;_db_updated&gt;PubMed&lt;/_db_updated&gt;&lt;_doi&gt;10.3109/23744235.2015.1040445&lt;/_doi&gt;&lt;_isbn&gt;2374-4243 (Electronic); 2374-4243 (Linking)&lt;/_isbn&gt;&lt;_issue&gt;10&lt;/_issue&gt;&lt;_journal&gt;Infect Dis (Lond)&lt;/_journal&gt;&lt;_keywords&gt;Osteomyelitis; diabetes mellitus; nontuberculous mycobacteria&lt;/_keywords&gt;&lt;_language&gt;eng&lt;/_language&gt;&lt;_modified&gt;63832932&lt;/_modified&gt;&lt;_pages&gt;673-85&lt;/_pages&gt;&lt;_subject_headings&gt;Adult; Diabetes Complications; Diabetes Mellitus; Disease Susceptibility; HIV/pathogenicity; Humans; Immunocompromised Host; Interferon-gamma/immunology; Interleukin-12/immunology; Mycobacterium Infections, Nontuberculous/etiology/*microbiology/*therapy; Nontuberculous Mycobacteria/*pathogenicity; Osteomyelitis/etiology/*microbiology/*therapy; Tumor Necrosis Factor-alpha/immunology&lt;/_subject_headings&gt;&lt;_tertiary_title&gt;Infectious diseases (London, England)&lt;/_tertiary_title&gt;&lt;_type_work&gt;Journal Article; Research Support, Non-U.S. Gov&amp;apos;t; Review&lt;/_type_work&gt;&lt;_url&gt;http://www.ncbi.nlm.nih.gov/entrez/query.fcgi?cmd=Retrieve&amp;amp;db=pubmed&amp;amp;dopt=Abstract&amp;amp;list_uids=25915177&amp;amp;query_hl=1&lt;/_url&gt;&lt;_volume&gt;47&lt;/_volume&gt;&lt;/Details&gt;&lt;Extra&gt;&lt;DBUID&gt;{F96A950B-833F-4880-A151-76DA2D6A2879}&lt;/DBUID&gt;&lt;/Extra&gt;&lt;/Item&gt;&lt;/References&gt;&lt;/Group&gt;&lt;/Citation&gt;_x000a_"/>
    <w:docVar w:name="NE.Ref{534ECD10-CEBD-4435-B438-CAEE908AA7DD}" w:val=" ADDIN NE.Ref.{534ECD10-CEBD-4435-B438-CAEE908AA7DD}&lt;Citation&gt;&lt;Group&gt;&lt;References&gt;&lt;Item&gt;&lt;ID&gt;463&lt;/ID&gt;&lt;UID&gt;{98764A91-06ED-4907-88B9-D5179D2EBEE0}&lt;/UID&gt;&lt;Title&gt;Retrospective analysis of 14 cases of disseminated Penicillium marneffei infection with osteolytic lesions&lt;/Title&gt;&lt;Template&gt;Journal Article&lt;/Template&gt;&lt;Star&gt;0&lt;/Star&gt;&lt;Tag&gt;0&lt;/Tag&gt;&lt;Author&gt;Qiu, Y; Zhang, J; Liu, G; Zhong, X; Deng, J; He, Z; Jing, B&lt;/Author&gt;&lt;Year&gt;2015&lt;/Year&gt;&lt;Details&gt;&lt;_accession_num&gt;25656710&lt;/_accession_num&gt;&lt;_author_adr&gt;Department of Integrated Medicine, The Affiliated Tumor Hospital of Guangxi Medical University, Nanning, Guangxi, China. yeqiu2013graduated@163.com.; Department of Respiratory Medicine, The First Affiliated Hospital of Guangxi Medical University, Nanning, Guangxi, 530021, China. jqzhang2002@sina.com.; Department of Respiratory Medicine, The First Affiliated Hospital of Guangxi Medical University, Nanning, Guangxi, 530021, China. gnliu63@yahoo.com.cn.; Department of Respiratory Medicine, The First Affiliated Hospital of Guangxi Medical University, Nanning, Guangxi, 530021, China. liguoqiuye@gmail.com.; Department of Respiratory Medicine, The First Affiliated Hospital of Guangxi Medical University, Nanning, Guangxi, 530021, China. ldyyy666@163.com.; Department of Respiratory Medicine, The First Affiliated Hospital of Guangxi Medical University, Nanning, Guangxi, 530021, China. zhiyi-river@163.com.; Department of Respiratory Medicine, The First Affiliated Hospital of Guangxi Medical University, Nanning, Guangxi, 530021, China. 287063367@qq.com.&lt;/_author_adr&gt;&lt;_collection_scope&gt;SCIE&lt;/_collection_scope&gt;&lt;_created&gt;63832922&lt;/_created&gt;&lt;_date&gt;2015-02-06&lt;/_date&gt;&lt;_date_display&gt;2015 Feb 6&lt;/_date_display&gt;&lt;_db_updated&gt;PubMed&lt;/_db_updated&gt;&lt;_doi&gt;10.1186/s12879-015-0782-6&lt;/_doi&gt;&lt;_impact_factor&gt;   2.688&lt;/_impact_factor&gt;&lt;_isbn&gt;1471-2334 (Electronic); 1471-2334 (Linking)&lt;/_isbn&gt;&lt;_journal&gt;BMC Infect Dis&lt;/_journal&gt;&lt;_language&gt;eng&lt;/_language&gt;&lt;_modified&gt;63832922&lt;/_modified&gt;&lt;_pages&gt;47&lt;/_pages&gt;&lt;_subject_headings&gt;AIDS-Related Opportunistic Infections/complications/diagnosis/epidemiology; Adult; Aged; Antifungal Agents/therapeutic use; China/epidemiology; Female; HIV Infections/complications/diagnostic imaging/drug therapy/epidemiology; Humans; Leukocyte Count; Male; Middle Aged; Mycoses/*complications/diagnostic imaging/drug therapy/epidemiology; Osteolysis/diagnostic imaging/epidemiology/*microbiology; Penicillium/growth &amp;amp; development/*physiology; Radiography; Retrospective Studies; Treatment Outcome; Young Adult&lt;/_subject_headings&gt;&lt;_tertiary_title&gt;BMC infectious diseases&lt;/_tertiary_title&gt;&lt;_type_work&gt;Journal Article&lt;/_type_work&gt;&lt;_url&gt;http://www.ncbi.nlm.nih.gov/entrez/query.fcgi?cmd=Retrieve&amp;amp;db=pubmed&amp;amp;dopt=Abstract&amp;amp;list_uids=25656710&amp;amp;query_hl=1&lt;/_url&gt;&lt;_volume&gt;15&lt;/_volume&gt;&lt;/Details&gt;&lt;Extra&gt;&lt;DBUID&gt;{F96A950B-833F-4880-A151-76DA2D6A2879}&lt;/DBUID&gt;&lt;/Extra&gt;&lt;/Item&gt;&lt;/References&gt;&lt;/Group&gt;&lt;/Citation&gt;_x000a_"/>
    <w:docVar w:name="NE.Ref{58BC8452-8A84-4A81-B5FA-7EECC5ADE78C}" w:val=" ADDIN NE.Ref.{58BC8452-8A84-4A81-B5FA-7EECC5ADE78C}&lt;Citation&gt;&lt;Group&gt;&lt;References&gt;&lt;Item&gt;&lt;ID&gt;502&lt;/ID&gt;&lt;UID&gt;{625A52C9-3EB8-4B57-838E-0F5B24D4E3D4}&lt;/UID&gt;&lt;Title&gt;Nontuberculous Mycobacteria-Overview&lt;/Title&gt;&lt;Template&gt;Journal Article&lt;/Template&gt;&lt;Star&gt;0&lt;/Star&gt;&lt;Tag&gt;0&lt;/Tag&gt;&lt;Author&gt;Koh, W J&lt;/Author&gt;&lt;Year&gt;2017&lt;/Year&gt;&lt;Details&gt;&lt;_accession_num&gt;28128073&lt;/_accession_num&gt;&lt;_author_adr&gt;Division of Pulmonary and Critical Care Medicine, Department of Medicine, Samsung Medical Center, Sungkyunkwan University School of Medicine, Seoul 06351, South Korea.&lt;/_author_adr&gt;&lt;_created&gt;63866862&lt;/_created&gt;&lt;_date&gt;2017-01-01&lt;/_date&gt;&lt;_date_display&gt;2017 Jan&lt;/_date_display&gt;&lt;_db_updated&gt;PubMed&lt;/_db_updated&gt;&lt;_doi&gt;10.1128/microbiolspec.TNMI7-0024-2016&lt;/_doi&gt;&lt;_impact_factor&gt;   5.465&lt;/_impact_factor&gt;&lt;_isbn&gt;2165-0497 (Electronic); 2165-0497 (Linking)&lt;/_isbn&gt;&lt;_issue&gt;1&lt;/_issue&gt;&lt;_journal&gt;Microbiol Spectr&lt;/_journal&gt;&lt;_language&gt;eng&lt;/_language&gt;&lt;_modified&gt;63866862&lt;/_modified&gt;&lt;_subject_headings&gt;Antitubercular Agents/therapeutic use; Communicable Diseases, Emerging/diagnosis/drug therapy/epidemiology/*microbiology; Humans; Mycobacterium Infections, Nontuberculous/diagnosis/drug_x000d__x000a_      therapy/epidemiology/*microbiology; Nontuberculous Mycobacteria/*classification/*isolation &amp;amp; purification; Pneumonia/diagnosis/drug therapy/epidemiology/microbiology&lt;/_subject_headings&gt;&lt;_tertiary_title&gt;Microbiology spectrum&lt;/_tertiary_title&gt;&lt;_type_work&gt;Journal Article; Review&lt;/_type_work&gt;&lt;_url&gt;http://www.ncbi.nlm.nih.gov/entrez/query.fcgi?cmd=Retrieve&amp;amp;db=pubmed&amp;amp;dopt=Abstract&amp;amp;list_uids=28128073&amp;amp;query_hl=1&lt;/_url&gt;&lt;_volume&gt;5&lt;/_volume&gt;&lt;/Details&gt;&lt;Extra&gt;&lt;DBUID&gt;{F96A950B-833F-4880-A151-76DA2D6A2879}&lt;/DBUID&gt;&lt;/Extra&gt;&lt;/Item&gt;&lt;/References&gt;&lt;/Group&gt;&lt;/Citation&gt;_x000a_"/>
    <w:docVar w:name="NE.Ref{5CAC4292-DABF-4153-AC6A-FA0E8A02AD62}" w:val=" ADDIN NE.Ref.{5CAC4292-DABF-4153-AC6A-FA0E8A02AD62}&lt;Citation&gt;&lt;Group&gt;&lt;References&gt;&lt;Item&gt;&lt;ID&gt;494&lt;/ID&gt;&lt;UID&gt;{DAEBFE1E-03D5-48CF-A36D-6D92C518E8D0}&lt;/UID&gt;&lt;Title&gt;British Thoracic Society guidelines for the management of non-tuberculous mycobacterial pulmonary disease (NTM-PD)&lt;/Title&gt;&lt;Template&gt;Journal Article&lt;/Template&gt;&lt;Star&gt;0&lt;/Star&gt;&lt;Tag&gt;0&lt;/Tag&gt;&lt;Author&gt;Haworth, C S; Banks, J; Capstick, T; Fisher, A J; Gorsuch, T; Laurenson, I F; Leitch, A; Loebinger, M R; Milburn, H J; Nightingale, M; Ormerod, P; Shingadia, D; Smith, D; Whitehead, N; Wilson, R; Floto, R A&lt;/Author&gt;&lt;Year&gt;2017&lt;/Year&gt;&lt;Details&gt;&lt;_accession_num&gt;29054853&lt;/_accession_num&gt;&lt;_author_adr&gt;Cambridge Centre for Lung Infection, Papworth Hospital, Cambridge, UK.; Abertawe Bro Morgannwg University Health Board, Princess of Wales Hospital, Bridgend, UK.; Pharmacy Department, St James&amp;apos;s University Hospital, Leeds, UK.; Institute of Cellular Medicine, Faculty of Medical Sciences, Newcastle University, Newcastle Upon Tyne, UK.; Manchester Royal Infirmary, Manchester, UK.; Scottish Mycobacteria Reference Laboratory, Royal Infirmary of Edinburgh, Edinburgh, UK.; Department of Respiratory Medicine, Western General Hospital. Edinburgh, UK.; Host Defence Unit, Royal Brompton Hospital, and National, Heart and Lung Institute, Imperial College, London, UK.; Department of Respiratory Medicine, Guys and St Thomas NHS Foundation Trust, London, UK.; British Thoracic Society, London UK.; Division of Infection, Immunity &amp;amp; Respiratory Medicine, University of Manchester, Wythenshawe Hospital, Manchester, UK.; Great Ormond Street Hospital for Children NHS Foundation Trust, London, UK.; North Bristol Lung Centre, Southmead Hospital, Bristol, UK.; Queen Alexandra Hospital, Portsmouth, UK.; Host Defence Unit, Royal Brompton Hospital, and National, Heart and Lung Institute, Imperial College, London, UK.; Cambridge Centre for Lung Infection, Papworth Hospital, Cambridge, UK.; Department of Medicine, University of Cambridge, UK.&lt;/_author_adr&gt;&lt;_collection_scope&gt;SCI;SCIE&lt;/_collection_scope&gt;&lt;_created&gt;63836645&lt;/_created&gt;&lt;_date&gt;2017-11-01&lt;/_date&gt;&lt;_date_display&gt;2017 Nov&lt;/_date_display&gt;&lt;_db_updated&gt;PubMed&lt;/_db_updated&gt;&lt;_doi&gt;10.1136/thoraxjnl-2017-210927&lt;/_doi&gt;&lt;_impact_factor&gt;   8.834&lt;/_impact_factor&gt;&lt;_isbn&gt;1468-3296 (Electronic); 0040-6376 (Linking)&lt;/_isbn&gt;&lt;_issue&gt;Suppl 2&lt;/_issue&gt;&lt;_journal&gt;Thorax&lt;/_journal&gt;&lt;_language&gt;eng&lt;/_language&gt;&lt;_modified&gt;63836645&lt;/_modified&gt;&lt;_pages&gt;ii1-ii64&lt;/_pages&gt;&lt;_subject_headings&gt;Anti-Infective Agents/*therapeutic use; *Disease Management; Humans; Lung Diseases/microbiology/*therapy; Mycobacterium Infections, Nontuberculous/*therapy; Nontuberculous Mycobacteria/isolation &amp;amp; purification; *Practice Guidelines as Topic; *Pulmonary Medicine; *Societies, Medical; United Kingdom&lt;/_subject_headings&gt;&lt;_tertiary_title&gt;Thorax&lt;/_tertiary_title&gt;&lt;_type_work&gt;Journal Article; Review&lt;/_type_work&gt;&lt;_url&gt;http://www.ncbi.nlm.nih.gov/entrez/query.fcgi?cmd=Retrieve&amp;amp;db=pubmed&amp;amp;dopt=Abstract&amp;amp;list_uids=29054853&amp;amp;query_hl=1&lt;/_url&gt;&lt;_volume&gt;72&lt;/_volume&gt;&lt;/Details&gt;&lt;Extra&gt;&lt;DBUID&gt;{F96A950B-833F-4880-A151-76DA2D6A2879}&lt;/DBUID&gt;&lt;/Extra&gt;&lt;/Item&gt;&lt;/References&gt;&lt;/Group&gt;&lt;Group&gt;&lt;References&gt;&lt;Item&gt;&lt;ID&gt;474&lt;/ID&gt;&lt;UID&gt;{1BA5C7F1-43A5-4696-B827-C3D980C4A0FA}&lt;/UID&gt;&lt;Title&gt;An official ATS/IDSA statement: diagnosis, treatment, and prevention of nontuberculous mycobacterial diseases&lt;/Title&gt;&lt;Template&gt;Journal Article&lt;/Template&gt;&lt;Star&gt;0&lt;/Star&gt;&lt;Tag&gt;0&lt;/Tag&gt;&lt;Author&gt;Griffith, D E; Aksamit, T; Brown-Elliott, B A; Catanzaro, A; Daley, C; Gordin, F; Holland, S M; Horsburgh, R; Huitt, G; Iademarco, M F; Iseman, M; Olivier, K; Ruoss, S; von Reyn, C F; Wallace, RJ Jr; Winthrop, K&lt;/Author&gt;&lt;Year&gt;2007&lt;/Year&gt;&lt;Details&gt;&lt;_accession_num&gt;17277290&lt;/_accession_num&gt;&lt;_created&gt;63833046&lt;/_created&gt;&lt;_date&gt;2007-02-15&lt;/_date&gt;&lt;_date_display&gt;2007 Feb 15&lt;/_date_display&gt;&lt;_db_updated&gt;PubMed&lt;/_db_updated&gt;&lt;_doi&gt;10.1164/rccm.200604-571ST&lt;/_doi&gt;&lt;_impact_factor&gt;  17.452&lt;/_impact_factor&gt;&lt;_isbn&gt;1073-449X (Print); 1073-449X (Linking)&lt;/_isbn&gt;&lt;_issue&gt;4&lt;/_issue&gt;&lt;_journal&gt;Am J Respir Crit Care Med&lt;/_journal&gt;&lt;_language&gt;eng&lt;/_language&gt;&lt;_modified&gt;63833047&lt;/_modified&gt;&lt;_pages&gt;367-416&lt;/_pages&gt;&lt;_subject_headings&gt;Anti-Infective Agents/pharmacology; Bone Diseases/diagnosis/epidemiology/microbiology/therapy; Clinical Laboratory Techniques; Disease Outbreaks/prevention &amp;amp; control; Drug Resistance, Bacterial; Genotype; Humans; Infection Control; Lung Diseases/*diagnosis/epidemiology/microbiology/*therapy; Lymphatic Diseases/diagnosis/epidemiology/microbiology/therapy; Mycobacterium Infections, Nontuberculous/*diagnosis/epidemiology/*therapy; Skin Diseases/diagnosis/epidemiology/microbiology/therapy&lt;/_subject_headings&gt;&lt;_tertiary_title&gt;American journal of respiratory and critical care medicine&lt;/_tertiary_title&gt;&lt;_type_work&gt;Journal Article; Practice Guideline; Review&lt;/_type_work&gt;&lt;_url&gt;http://www.ncbi.nlm.nih.gov/entrez/query.fcgi?cmd=Retrieve&amp;amp;db=pubmed&amp;amp;dopt=Abstract&amp;amp;list_uids=17277290&amp;amp;query_hl=1&lt;/_url&gt;&lt;_volume&gt;175&lt;/_volume&gt;&lt;/Details&gt;&lt;Extra&gt;&lt;DBUID&gt;{F96A950B-833F-4880-A151-76DA2D6A2879}&lt;/DBUID&gt;&lt;/Extra&gt;&lt;/Item&gt;&lt;/References&gt;&lt;/Group&gt;&lt;/Citation&gt;_x000a_"/>
    <w:docVar w:name="NE.Ref{75599229-DE96-4891-A91D-7E2E45722B71}" w:val=" ADDIN NE.Ref.{75599229-DE96-4891-A91D-7E2E45722B71}&lt;Citation&gt;&lt;Group&gt;&lt;References&gt;&lt;Item&gt;&lt;ID&gt;462&lt;/ID&gt;&lt;UID&gt;{6F576FFD-0565-49B2-BF51-38F3EDEEE4BA}&lt;/UID&gt;&lt;Title&gt;Musculoskeletal Tuberculosis&lt;/Title&gt;&lt;Template&gt;Journal Article&lt;/Template&gt;&lt;Star&gt;0&lt;/Star&gt;&lt;Tag&gt;0&lt;/Tag&gt;&lt;Author&gt;Leonard, M K; Blumberg, H M&lt;/Author&gt;&lt;Year&gt;2017&lt;/Year&gt;&lt;Details&gt;&lt;_accession_num&gt;28409551&lt;/_accession_num&gt;&lt;_author_adr&gt;Division of Infectious Diseases, Carolinas HealthCare System, Charlotte, NC 28209.; Division of Infectious Diseases, Emory University School of Medicine, Atlanta, GA 30303.&lt;/_author_adr&gt;&lt;_created&gt;63832916&lt;/_created&gt;&lt;_date&gt;2017-04-01&lt;/_date&gt;&lt;_date_display&gt;2017 Apr&lt;/_date_display&gt;&lt;_db_updated&gt;PubMed&lt;/_db_updated&gt;&lt;_doi&gt;10.1128/microbiolspec.TNMI7-0046-2017&lt;/_doi&gt;&lt;_impact_factor&gt;   5.465&lt;/_impact_factor&gt;&lt;_isbn&gt;2165-0497 (Electronic); 2165-0497 (Linking)&lt;/_isbn&gt;&lt;_issue&gt;2&lt;/_issue&gt;&lt;_journal&gt;Microbiol Spectr&lt;/_journal&gt;&lt;_language&gt;eng&lt;/_language&gt;&lt;_modified&gt;63832916&lt;/_modified&gt;&lt;_subject_headings&gt;Antitubercular Agents/administration &amp;amp; dosage; Bacteriological Techniques; Diagnostic Tests, Routine; Humans; Musculoskeletal Diseases/diagnosis/drug therapy/*epidemiology/*pathology; Mycobacterium tuberculosis/*isolation &amp;amp; purification; Optical Imaging; Rifampin/administration &amp;amp; dosage; Tuberculosis/diagnosis/drug therapy/*epidemiology/*pathology; United States/epidemiology&lt;/_subject_headings&gt;&lt;_tertiary_title&gt;Microbiology spectrum&lt;/_tertiary_title&gt;&lt;_type_work&gt;Journal Article; Review&lt;/_type_work&gt;&lt;_url&gt;http://www.ncbi.nlm.nih.gov/entrez/query.fcgi?cmd=Retrieve&amp;amp;db=pubmed&amp;amp;dopt=Abstract&amp;amp;list_uids=28409551&amp;amp;query_hl=1&lt;/_url&gt;&lt;_volume&gt;5&lt;/_volume&gt;&lt;/Details&gt;&lt;Extra&gt;&lt;DBUID&gt;{F96A950B-833F-4880-A151-76DA2D6A2879}&lt;/DBUID&gt;&lt;/Extra&gt;&lt;/Item&gt;&lt;/References&gt;&lt;/Group&gt;&lt;Group&gt;&lt;References&gt;&lt;Item&gt;&lt;ID&gt;463&lt;/ID&gt;&lt;UID&gt;{98764A91-06ED-4907-88B9-D5179D2EBEE0}&lt;/UID&gt;&lt;Title&gt;Retrospective analysis of 14 cases of disseminated Penicillium marneffei infection with osteolytic lesions&lt;/Title&gt;&lt;Template&gt;Journal Article&lt;/Template&gt;&lt;Star&gt;0&lt;/Star&gt;&lt;Tag&gt;0&lt;/Tag&gt;&lt;Author&gt;Qiu, Y; Zhang, J; Liu, G; Zhong, X; Deng, J; He, Z; Jing, B&lt;/Author&gt;&lt;Year&gt;2015&lt;/Year&gt;&lt;Details&gt;&lt;_accession_num&gt;25656710&lt;/_accession_num&gt;&lt;_author_adr&gt;Department of Integrated Medicine, The Affiliated Tumor Hospital of Guangxi Medical University, Nanning, Guangxi, China. yeqiu2013graduated@163.com.; Department of Respiratory Medicine, The First Affiliated Hospital of Guangxi Medical University, Nanning, Guangxi, 530021, China. jqzhang2002@sina.com.; Department of Respiratory Medicine, The First Affiliated Hospital of Guangxi Medical University, Nanning, Guangxi, 530021, China. gnliu63@yahoo.com.cn.; Department of Respiratory Medicine, The First Affiliated Hospital of Guangxi Medical University, Nanning, Guangxi, 530021, China. liguoqiuye@gmail.com.; Department of Respiratory Medicine, The First Affiliated Hospital of Guangxi Medical University, Nanning, Guangxi, 530021, China. ldyyy666@163.com.; Department of Respiratory Medicine, The First Affiliated Hospital of Guangxi Medical University, Nanning, Guangxi, 530021, China. zhiyi-river@163.com.; Department of Respiratory Medicine, The First Affiliated Hospital of Guangxi Medical University, Nanning, Guangxi, 530021, China. 287063367@qq.com.&lt;/_author_adr&gt;&lt;_collection_scope&gt;SCIE&lt;/_collection_scope&gt;&lt;_created&gt;63832922&lt;/_created&gt;&lt;_date&gt;2015-02-06&lt;/_date&gt;&lt;_date_display&gt;2015 Feb 6&lt;/_date_display&gt;&lt;_db_updated&gt;PubMed&lt;/_db_updated&gt;&lt;_doi&gt;10.1186/s12879-015-0782-6&lt;/_doi&gt;&lt;_impact_factor&gt;   2.688&lt;/_impact_factor&gt;&lt;_isbn&gt;1471-2334 (Electronic); 1471-2334 (Linking)&lt;/_isbn&gt;&lt;_journal&gt;BMC Infect Dis&lt;/_journal&gt;&lt;_language&gt;eng&lt;/_language&gt;&lt;_modified&gt;63832922&lt;/_modified&gt;&lt;_pages&gt;47&lt;/_pages&gt;&lt;_subject_headings&gt;AIDS-Related Opportunistic Infections/complications/diagnosis/epidemiology; Adult; Aged; Antifungal Agents/therapeutic use; China/epidemiology; Female; HIV Infections/complications/diagnostic imaging/drug therapy/epidemiology; Humans; Leukocyte Count; Male; Middle Aged; Mycoses/*complications/diagnostic imaging/drug therapy/epidemiology; Osteolysis/diagnostic imaging/epidemiology/*microbiology; Penicillium/growth &amp;amp; development/*physiology; Radiography; Retrospective Studies; Treatment Outcome; Young Adult&lt;/_subject_headings&gt;&lt;_tertiary_title&gt;BMC infectious diseases&lt;/_tertiary_title&gt;&lt;_type_work&gt;Journal Article&lt;/_type_work&gt;&lt;_url&gt;http://www.ncbi.nlm.nih.gov/entrez/query.fcgi?cmd=Retrieve&amp;amp;db=pubmed&amp;amp;dopt=Abstract&amp;amp;list_uids=25656710&amp;amp;query_hl=1&lt;/_url&gt;&lt;_volume&gt;15&lt;/_volume&gt;&lt;/Details&gt;&lt;Extra&gt;&lt;DBUID&gt;{F96A950B-833F-4880-A151-76DA2D6A2879}&lt;/DBUID&gt;&lt;/Extra&gt;&lt;/Item&gt;&lt;/References&gt;&lt;/Group&gt;&lt;Group&gt;&lt;References&gt;&lt;Item&gt;&lt;ID&gt;464&lt;/ID&gt;&lt;UID&gt;{207E1527-A254-4516-9F64-FAE3BDE96F17}&lt;/UID&gt;&lt;Title&gt;Nontuberculous mycobacterial osteomyelitis&lt;/Title&gt;&lt;Template&gt;Journal Article&lt;/Template&gt;&lt;Star&gt;0&lt;/Star&gt;&lt;Tag&gt;0&lt;/Tag&gt;&lt;Author&gt;Bi, S; Hu, F S; Yu, H Y; Xu, K J; Zheng, B W; Ji, Z K; Li, J J; Deng, M; Hu, H Y; Sheng, J F&lt;/Author&gt;&lt;Year&gt;2015&lt;/Year&gt;&lt;Details&gt;&lt;_accession_num&gt;25915177&lt;/_accession_num&gt;&lt;_author_adr&gt;From the State Key Laboratory for Diagnosis and Treatment of Infectious Diseases, First Affiliated Hospital, Zhejiang University , Hangzhou , China.&lt;/_author_adr&gt;&lt;_created&gt;63832932&lt;/_created&gt;&lt;_date&gt;2015-01-20&lt;/_date&gt;&lt;_date_display&gt;2015&lt;/_date_display&gt;&lt;_db_updated&gt;PubMed&lt;/_db_updated&gt;&lt;_doi&gt;10.3109/23744235.2015.1040445&lt;/_doi&gt;&lt;_isbn&gt;2374-4243 (Electronic); 2374-4243 (Linking)&lt;/_isbn&gt;&lt;_issue&gt;10&lt;/_issue&gt;&lt;_journal&gt;Infect Dis (Lond)&lt;/_journal&gt;&lt;_keywords&gt;Osteomyelitis; diabetes mellitus; nontuberculous mycobacteria&lt;/_keywords&gt;&lt;_language&gt;eng&lt;/_language&gt;&lt;_modified&gt;63832932&lt;/_modified&gt;&lt;_pages&gt;673-85&lt;/_pages&gt;&lt;_subject_headings&gt;Adult; Diabetes Complications; Diabetes Mellitus; Disease Susceptibility; HIV/pathogenicity; Humans; Immunocompromised Host; Interferon-gamma/immunology; Interleukin-12/immunology; Mycobacterium Infections, Nontuberculous/etiology/*microbiology/*therapy; Nontuberculous Mycobacteria/*pathogenicity; Osteomyelitis/etiology/*microbiology/*therapy; Tumor Necrosis Factor-alpha/immunology&lt;/_subject_headings&gt;&lt;_tertiary_title&gt;Infectious diseases (London, England)&lt;/_tertiary_title&gt;&lt;_type_work&gt;Journal Article; Research Support, Non-U.S. Gov&amp;apos;t; Review&lt;/_type_work&gt;&lt;_url&gt;http://www.ncbi.nlm.nih.gov/entrez/query.fcgi?cmd=Retrieve&amp;amp;db=pubmed&amp;amp;dopt=Abstract&amp;amp;list_uids=25915177&amp;amp;query_hl=1&lt;/_url&gt;&lt;_volume&gt;47&lt;/_volume&gt;&lt;/Details&gt;&lt;Extra&gt;&lt;DBUID&gt;{F96A950B-833F-4880-A151-76DA2D6A2879}&lt;/DBUID&gt;&lt;/Extra&gt;&lt;/Item&gt;&lt;/References&gt;&lt;/Group&gt;&lt;/Citation&gt;_x000a_"/>
    <w:docVar w:name="NE.Ref{7CA798FF-3F56-4804-AD7A-80815DC44C35}" w:val=" ADDIN NE.Ref.{7CA798FF-3F56-4804-AD7A-80815DC44C35}&lt;Citation&gt;&lt;Group&gt;&lt;References&gt;&lt;Item&gt;&lt;ID&gt;499&lt;/ID&gt;&lt;UID&gt;{9497297C-5CC6-428B-9A35-895F47D9794E}&lt;/UID&gt;&lt;Title&gt;Patient ethnicity and causative species determine the manifestations of anti-interferon-gamma autoantibody-associated nontuberculous mycobacterial disease: a review&lt;/Title&gt;&lt;Template&gt;Journal Article&lt;/Template&gt;&lt;Star&gt;0&lt;/Star&gt;&lt;Tag&gt;0&lt;/Tag&gt;&lt;Author&gt;Hase, I; Morimoto, K; Sakagami, T; Ishii, Y; van Ingen, J&lt;/Author&gt;&lt;Year&gt;2017&lt;/Year&gt;&lt;Details&gt;&lt;_accession_num&gt;28633901&lt;/_accession_num&gt;&lt;_author_adr&gt;Department of Respiratory Medicine, National Hospital Organization Utsunomiya Hospital, 2160 Shimo-Okamoto, Utsunomiya-shi, Tochigi, 329-1193, Japan; Department of Pulmonary Medicine and Clinical Immunology, Dokkyo Medical University, 880 Kitakobayashi, Mibu, Tochigi, 321-0293, Japan. Electronic address: isanotaki@gmail.com.; Respiratory Disease Center, Fukujuji Hospital, Japan Anti-Tuberculosis Association, 3-1-24 Matsuyama, Kiyose-shi, Tokyo, 204-0022, Japan.; Department of Respiratory Medicine and Infectious Disease, Niigata University Graduate School of Medical and Dental Sciences, 1-757 Asahimachi-dori, Niigata-shi, Niigata, 951-8510, Japan.; Department of Pulmonary Medicine and Clinical Immunology, Dokkyo Medical University, 880 Kitakobayashi, Mibu, Tochigi, 321-0293, Japan.; Department of Medical Microbiology, Radboud University Medical Center, P.O. Box 9101, 6500HB, Nijmegen, The Netherlands.&lt;/_author_adr&gt;&lt;_created&gt;63840753&lt;/_created&gt;&lt;_date&gt;2017-08-01&lt;/_date&gt;&lt;_date_display&gt;2017 Aug&lt;/_date_display&gt;&lt;_db_updated&gt;PubMed&lt;/_db_updated&gt;&lt;_doi&gt;10.1016/j.diagmicrobio.2017.05.011&lt;/_doi&gt;&lt;_impact_factor&gt;   2.499&lt;/_impact_factor&gt;&lt;_isbn&gt;1879-0070 (Electronic); 0732-8893 (Linking)&lt;/_isbn&gt;&lt;_issue&gt;4&lt;/_issue&gt;&lt;_journal&gt;Diagn Microbiol Infect Dis&lt;/_journal&gt;&lt;_keywords&gt;Adult-onset immunodeficiency; Anti-interferon-gamma autoantibody; Clinical manifestation; Ethnicity; Nontuberculous mycobacterium&lt;/_keywords&gt;&lt;_language&gt;eng&lt;/_language&gt;&lt;_modified&gt;63840753&lt;/_modified&gt;&lt;_ori_publication&gt;Copyright (c) 2017 Elsevier Inc. All rights reserved.&lt;/_ori_publication&gt;&lt;_pages&gt;308-315&lt;/_pages&gt;&lt;_subject_headings&gt;Autoantibodies/*immunology; Humans; Interferon-gamma/*immunology; Mycobacterium Infections, Nontuberculous/*immunology; Nontuberculous Mycobacteria/*immunology&lt;/_subject_headings&gt;&lt;_tertiary_title&gt;Diagnostic microbiology and infectious disease&lt;/_tertiary_title&gt;&lt;_type_work&gt;Journal Article; Review&lt;/_type_work&gt;&lt;_url&gt;http://www.ncbi.nlm.nih.gov/entrez/query.fcgi?cmd=Retrieve&amp;amp;db=pubmed&amp;amp;dopt=Abstract&amp;amp;list_uids=28633901&amp;amp;query_hl=1&lt;/_url&gt;&lt;_volume&gt;88&lt;/_volume&gt;&lt;/Details&gt;&lt;Extra&gt;&lt;DBUID&gt;{F96A950B-833F-4880-A151-76DA2D6A2879}&lt;/DBUID&gt;&lt;/Extra&gt;&lt;/Item&gt;&lt;/References&gt;&lt;/Group&gt;&lt;/Citation&gt;_x000a_"/>
    <w:docVar w:name="NE.Ref{AF8555C0-BA50-4BE9-9D78-4F6531386DEC}" w:val=" ADDIN NE.Ref.{AF8555C0-BA50-4BE9-9D78-4F6531386DEC}&lt;Citation&gt;&lt;Group&gt;&lt;References&gt;&lt;Item&gt;&lt;ID&gt;496&lt;/ID&gt;&lt;UID&gt;{F7F31436-8121-4972-B4F4-399ADEBD71C6}&lt;/UID&gt;&lt;Title&gt;Molecular Detection and Differentiation of Mycobacterium Tuberculosis Complex and Non-tuberculous Mycobacterium in the Clinical Specimens by Real Time PCR&lt;/Title&gt;&lt;Template&gt;Journal Article&lt;/Template&gt;&lt;Star&gt;0&lt;/Star&gt;&lt;Tag&gt;0&lt;/Tag&gt;&lt;Author&gt;Rahman, M M; Rahim, M R; Khaled, A; Nasir, T A; Nasrin, F; Hasan, M A&lt;/Author&gt;&lt;Year&gt;2017&lt;/Year&gt;&lt;Details&gt;&lt;_accession_num&gt;28919618&lt;/_accession_num&gt;&lt;_author_adr&gt;Dr Md Mizanur Rahman, Consultant, Molecular Diagnostics, Apollo Hospitals, Dhaka, Bangladesh.&lt;/_author_adr&gt;&lt;_created&gt;63836709&lt;/_created&gt;&lt;_date&gt;2017-07-01&lt;/_date&gt;&lt;_date_display&gt;2017 Jul&lt;/_date_display&gt;&lt;_db_updated&gt;PubMed&lt;/_db_updated&gt;&lt;_isbn&gt;1022-4742 (Print); 1022-4742 (Linking)&lt;/_isbn&gt;&lt;_issue&gt;3&lt;/_issue&gt;&lt;_journal&gt;Mymensingh Med J&lt;/_journal&gt;&lt;_language&gt;eng&lt;/_language&gt;&lt;_modified&gt;63836709&lt;/_modified&gt;&lt;_pages&gt;614-620&lt;/_pages&gt;&lt;_subject_headings&gt;Bangladesh; Humans; *Mycobacterium tuberculosis/genetics/isolation &amp;amp; purification; *Nontuberculous Mycobacteria/genetics/isolation &amp;amp; purification; *Real-Time Polymerase Chain Reaction/methods; Sensitivity and Specificity; Tuberculosis/diagnosis&lt;/_subject_headings&gt;&lt;_tertiary_title&gt;Mymensingh medical journal : MMJ&lt;/_tertiary_title&gt;&lt;_type_work&gt;Journal Article&lt;/_type_work&gt;&lt;_url&gt;http://www.ncbi.nlm.nih.gov/entrez/query.fcgi?cmd=Retrieve&amp;amp;db=pubmed&amp;amp;dopt=Abstract&amp;amp;list_uids=28919618&amp;amp;query_hl=1&lt;/_url&gt;&lt;_volume&gt;26&lt;/_volume&gt;&lt;/Details&gt;&lt;Extra&gt;&lt;DBUID&gt;{F96A950B-833F-4880-A151-76DA2D6A2879}&lt;/DBUID&gt;&lt;/Extra&gt;&lt;/Item&gt;&lt;/References&gt;&lt;/Group&gt;&lt;Group&gt;&lt;References&gt;&lt;Item&gt;&lt;ID&gt;497&lt;/ID&gt;&lt;UID&gt;{C68AEEC3-EAAF-4DD8-B3E9-72040CBCE9EE}&lt;/UID&gt;&lt;Title&gt;Clinical Evaluation of Diagnosis Efficacy of Active Mycobacterium tuberculosis Complex Infection via Metagenomic Next-Generation Sequencing of Direct Clinical Samples&lt;/Title&gt;&lt;Template&gt;Journal Article&lt;/Template&gt;&lt;Star&gt;0&lt;/Star&gt;&lt;Tag&gt;0&lt;/Tag&gt;&lt;Author&gt;Zhou, X; Wu, H; Ruan, Q; Jiang, N; Chen, X; Shen, Y; Zhu, Y M; Ying, Y; Qian, Y Y; Wang, X; Ai, J W; Zhang, W H&lt;/Author&gt;&lt;Year&gt;2019&lt;/Year&gt;&lt;Details&gt;&lt;_accession_num&gt;31681628&lt;/_accession_num&gt;&lt;_author_adr&gt;Department of Infectious Diseases, Huashan Hospital, Fudan University, Shanghai,  China.; Tianjin Translational Genomics Center, BGI-Tianjin, Binhai Genomics Institute, BGI-Shenzhen, Tianjin, China.; Department of Infectious Diseases, Huashan Hospital, Fudan University, Shanghai,  China.; School of Life Sciences, Fudan University, Shanghai, China.; Department of Infectious Diseases, Huashan Hospital, Fudan University, Shanghai,  China.; Department of Infectious Diseases, Huashan Hospital, Fudan University, Shanghai,  China.; Department of Infectious Diseases, Huashan Hospital, Fudan University, Shanghai,  China.; Department of Infectious Diseases, Huashan Hospital, Fudan University, Shanghai,  China.; Department of Infectious Diseases, Huashan Hospital, Fudan University, Shanghai,  China.; Department of Infectious Diseases, Huashan Hospital, Fudan University, Shanghai,  China.; Department of Infectious Diseases, Huashan Hospital, Fudan University, Shanghai,  China.; Department of Infectious Diseases, Huashan Hospital, Fudan University, Shanghai,  China.&lt;/_author_adr&gt;&lt;_created&gt;63836726&lt;/_created&gt;&lt;_date&gt;2019-01-20&lt;/_date&gt;&lt;_date_display&gt;2019&lt;/_date_display&gt;&lt;_db_updated&gt;PubMed&lt;/_db_updated&gt;&lt;_doi&gt;10.3389/fcimb.2019.00351&lt;/_doi&gt;&lt;_impact_factor&gt;   4.123&lt;/_impact_factor&gt;&lt;_isbn&gt;2235-2988 (Electronic); 2235-2988 (Linking)&lt;/_isbn&gt;&lt;_journal&gt;Front Cell Infect Microbiol&lt;/_journal&gt;&lt;_keywords&gt;*Mycobacterium tuberculosis; *Xpert MTB/RIF; *diagnosis; *metagenomic next-generation sequencing; *tuberculosis&lt;/_keywords&gt;&lt;_language&gt;eng&lt;/_language&gt;&lt;_modified&gt;63836726&lt;/_modified&gt;&lt;_ori_publication&gt;Copyright (c) 2019 Zhou, Wu, Ruan, Jiang, Chen, Shen, Zhu, Ying, Qian, Wang, Ai_x000d__x000a_      and Zhang.&lt;/_ori_publication&gt;&lt;_pages&gt;351&lt;/_pages&gt;&lt;_subject_headings&gt;Computational Biology; *High-Throughput Nucleotide Sequencing/methods/standards; Humans; *Metagenomics/methods/standards; Molecular Diagnostic Techniques; Mycobacterium tuberculosis/*genetics; Sensitivity and Specificity; Tuberculosis/*diagnosis/*microbiology; Tuberculosis, Pulmonary/diagnosis/microbiology&lt;/_subject_headings&gt;&lt;_tertiary_title&gt;Frontiers in cellular and infection microbiology&lt;/_tertiary_title&gt;&lt;_type_work&gt;Journal Article; Research Support, Non-U.S. Gov&amp;apos;t&lt;/_type_work&gt;&lt;_url&gt;http://www.ncbi.nlm.nih.gov/entrez/query.fcgi?cmd=Retrieve&amp;amp;db=pubmed&amp;amp;dopt=Abstract&amp;amp;list_uids=31681628&amp;amp;query_hl=1&lt;/_url&gt;&lt;_volume&gt;9&lt;/_volume&gt;&lt;/Details&gt;&lt;Extra&gt;&lt;DBUID&gt;{F96A950B-833F-4880-A151-76DA2D6A2879}&lt;/DBUID&gt;&lt;/Extra&gt;&lt;/Item&gt;&lt;/References&gt;&lt;/Group&gt;&lt;Group&gt;&lt;References&gt;&lt;Item&gt;&lt;ID&gt;498&lt;/ID&gt;&lt;UID&gt;{16B3A777-7AB8-4A9B-91E4-85FFF5F4BF5C}&lt;/UID&gt;&lt;Title&gt;Identification of musculoskeletal infection with non-tuberculous mycobacterium using metagenomic sequencing&lt;/Title&gt;&lt;Template&gt;Journal Article&lt;/Template&gt;&lt;Star&gt;0&lt;/Star&gt;&lt;Tag&gt;0&lt;/Tag&gt;&lt;Author&gt;Huang, Z; Zhang, C; Fang, X; Li, W; Zhang, C; Zhang, W; Yang, B&lt;/Author&gt;&lt;Year&gt;2019&lt;/Year&gt;&lt;Details&gt;&lt;_accession_num&gt;30312646&lt;/_accession_num&gt;&lt;_author_adr&gt;Department of Orthopaedic Surgery, The First Affiliated Hospital of Fujian Medical University, No.20 Chazhong Road, Fuzhou 350005, China.; Department of Orthopaedic Surgery, The First Affiliated Hospital of Fujian Medical University, No.20 Chazhong Road, Fuzhou 350005, China.; Department of Orthopaedic Surgery, The First Affiliated Hospital of Fujian Medical University, No.20 Chazhong Road, Fuzhou 350005, China.; Department of Orthopaedic Surgery, The First Affiliated Hospital of Fujian Medical University, No.20 Chazhong Road, Fuzhou 350005, China.; Department of Orthopaedic Surgery, The First Affiliated Hospital of Fujian Medical University, No.20 Chazhong Road, Fuzhou 350005, China.; Department of Orthopaedic Surgery, The First Affiliated Hospital of Fujian Medical University, No.20 Chazhong Road, Fuzhou 350005, China. Electronic address: zhangwm0591@163.com.; Department of Laboratory Medicine, The First Affiliated Hospital of Fujian Medical University, No.20 Chazhong Road, Fuzhou 350005, China. Electronic address: yangbin2864@163.com.&lt;/_author_adr&gt;&lt;_created&gt;63836727&lt;/_created&gt;&lt;_date&gt;2019-02-01&lt;/_date&gt;&lt;_date_display&gt;2019 Feb&lt;/_date_display&gt;&lt;_db_updated&gt;PubMed&lt;/_db_updated&gt;&lt;_doi&gt;10.1016/j.jinf.2018.10.002&lt;/_doi&gt;&lt;_impact_factor&gt;   4.842&lt;/_impact_factor&gt;&lt;_isbn&gt;1532-2742 (Electronic); 0163-4453 (Linking)&lt;/_isbn&gt;&lt;_issue&gt;2&lt;/_issue&gt;&lt;_journal&gt;J Infect&lt;/_journal&gt;&lt;_keywords&gt;*Metagenomic Next-Generation Sequencing; *Musculoskeletal infection; *Non-tuberculous mycobacterium&lt;/_keywords&gt;&lt;_language&gt;eng&lt;/_language&gt;&lt;_modified&gt;63836727&lt;/_modified&gt;&lt;_pages&gt;158-169&lt;/_pages&gt;&lt;_subject_headings&gt;Abscess; High-Throughput Nucleotide Sequencing; Humans; Mycobacterium/*genetics; *Mycobacterium Infections; Nontuberculous Mycobacteria&lt;/_subject_headings&gt;&lt;_tertiary_title&gt;The Journal of infection&lt;/_tertiary_title&gt;&lt;_type_work&gt;Letter; Research Support, Non-U.S. Gov&amp;apos;t; Comment&lt;/_type_work&gt;&lt;_url&gt;http://www.ncbi.nlm.nih.gov/entrez/query.fcgi?cmd=Retrieve&amp;amp;db=pubmed&amp;amp;dopt=Abstract&amp;amp;list_uids=30312646&amp;amp;query_hl=1&lt;/_url&gt;&lt;_volume&gt;78&lt;/_volume&gt;&lt;/Details&gt;&lt;Extra&gt;&lt;DBUID&gt;{F96A950B-833F-4880-A151-76DA2D6A2879}&lt;/DBUID&gt;&lt;/Extra&gt;&lt;/Item&gt;&lt;/References&gt;&lt;/Group&gt;&lt;/Citation&gt;_x000a_"/>
    <w:docVar w:name="NE.Ref{D2B9E673-09AE-473E-8CDB-29401F3A4EDA}" w:val=" ADDIN NE.Ref.{D2B9E673-09AE-473E-8CDB-29401F3A4EDA}&lt;Citation&gt;&lt;Group&gt;&lt;References&gt;&lt;Item&gt;&lt;ID&gt;474&lt;/ID&gt;&lt;UID&gt;{1BA5C7F1-43A5-4696-B827-C3D980C4A0FA}&lt;/UID&gt;&lt;Title&gt;An official ATS/IDSA statement: diagnosis, treatment, and prevention of nontuberculous mycobacterial diseases&lt;/Title&gt;&lt;Template&gt;Journal Article&lt;/Template&gt;&lt;Star&gt;0&lt;/Star&gt;&lt;Tag&gt;0&lt;/Tag&gt;&lt;Author&gt;Griffith, D E; Aksamit, T; Brown-Elliott, B A; Catanzaro, A; Daley, C; Gordin, F; Holland, S M; Horsburgh, R; Huitt, G; Iademarco, M F; Iseman, M; Olivier, K; Ruoss, S; von Reyn, C F; Wallace, RJ Jr; Winthrop, K&lt;/Author&gt;&lt;Year&gt;2007&lt;/Year&gt;&lt;Details&gt;&lt;_accession_num&gt;17277290&lt;/_accession_num&gt;&lt;_created&gt;63833046&lt;/_created&gt;&lt;_date&gt;2007-02-15&lt;/_date&gt;&lt;_date_display&gt;2007 Feb 15&lt;/_date_display&gt;&lt;_db_updated&gt;PubMed&lt;/_db_updated&gt;&lt;_doi&gt;10.1164/rccm.200604-571ST&lt;/_doi&gt;&lt;_impact_factor&gt;  17.452&lt;/_impact_factor&gt;&lt;_isbn&gt;1073-449X (Print); 1073-449X (Linking)&lt;/_isbn&gt;&lt;_issue&gt;4&lt;/_issue&gt;&lt;_journal&gt;Am J Respir Crit Care Med&lt;/_journal&gt;&lt;_language&gt;eng&lt;/_language&gt;&lt;_modified&gt;63833047&lt;/_modified&gt;&lt;_pages&gt;367-416&lt;/_pages&gt;&lt;_subject_headings&gt;Anti-Infective Agents/pharmacology; Bone Diseases/diagnosis/epidemiology/microbiology/therapy; Clinical Laboratory Techniques; Disease Outbreaks/prevention &amp;amp; control; Drug Resistance, Bacterial; Genotype; Humans; Infection Control; Lung Diseases/*diagnosis/epidemiology/microbiology/*therapy; Lymphatic Diseases/diagnosis/epidemiology/microbiology/therapy; Mycobacterium Infections, Nontuberculous/*diagnosis/epidemiology/*therapy; Skin Diseases/diagnosis/epidemiology/microbiology/therapy&lt;/_subject_headings&gt;&lt;_tertiary_title&gt;American journal of respiratory and critical care medicine&lt;/_tertiary_title&gt;&lt;_type_work&gt;Journal Article; Practice Guideline; Review&lt;/_type_work&gt;&lt;_url&gt;http://www.ncbi.nlm.nih.gov/entrez/query.fcgi?cmd=Retrieve&amp;amp;db=pubmed&amp;amp;dopt=Abstract&amp;amp;list_uids=17277290&amp;amp;query_hl=1&lt;/_url&gt;&lt;_volume&gt;175&lt;/_volume&gt;&lt;/Details&gt;&lt;Extra&gt;&lt;DBUID&gt;{F96A950B-833F-4880-A151-76DA2D6A2879}&lt;/DBUID&gt;&lt;/Extra&gt;&lt;/Item&gt;&lt;/References&gt;&lt;/Group&gt;&lt;/Citation&gt;_x000a_"/>
    <w:docVar w:name="NE.Ref{D3E086E6-04F1-4D7F-B676-4F8797B95AA3}" w:val=" ADDIN NE.Ref.{D3E086E6-04F1-4D7F-B676-4F8797B95AA3}&lt;Citation&gt;&lt;Group&gt;&lt;References&gt;&lt;Item&gt;&lt;ID&gt;462&lt;/ID&gt;&lt;UID&gt;{6F576FFD-0565-49B2-BF51-38F3EDEEE4BA}&lt;/UID&gt;&lt;Title&gt;Musculoskeletal Tuberculosis&lt;/Title&gt;&lt;Template&gt;Journal Article&lt;/Template&gt;&lt;Star&gt;0&lt;/Star&gt;&lt;Tag&gt;0&lt;/Tag&gt;&lt;Author&gt;Leonard, M K; Blumberg, H M&lt;/Author&gt;&lt;Year&gt;2017&lt;/Year&gt;&lt;Details&gt;&lt;_accession_num&gt;28409551&lt;/_accession_num&gt;&lt;_author_adr&gt;Division of Infectious Diseases, Carolinas HealthCare System, Charlotte, NC 28209.; Division of Infectious Diseases, Emory University School of Medicine, Atlanta, GA 30303.&lt;/_author_adr&gt;&lt;_created&gt;63832916&lt;/_created&gt;&lt;_date&gt;2017-04-01&lt;/_date&gt;&lt;_date_display&gt;2017 Apr&lt;/_date_display&gt;&lt;_db_updated&gt;PubMed&lt;/_db_updated&gt;&lt;_doi&gt;10.1128/microbiolspec.TNMI7-0046-2017&lt;/_doi&gt;&lt;_impact_factor&gt;   5.465&lt;/_impact_factor&gt;&lt;_isbn&gt;2165-0497 (Electronic); 2165-0497 (Linking)&lt;/_isbn&gt;&lt;_issue&gt;2&lt;/_issue&gt;&lt;_journal&gt;Microbiol Spectr&lt;/_journal&gt;&lt;_language&gt;eng&lt;/_language&gt;&lt;_modified&gt;63832916&lt;/_modified&gt;&lt;_subject_headings&gt;Antitubercular Agents/administration &amp;amp; dosage; Bacteriological Techniques; Diagnostic Tests, Routine; Humans; Musculoskeletal Diseases/diagnosis/drug therapy/*epidemiology/*pathology; Mycobacterium tuberculosis/*isolation &amp;amp; purification; Optical Imaging; Rifampin/administration &amp;amp; dosage; Tuberculosis/diagnosis/drug therapy/*epidemiology/*pathology; United States/epidemiology&lt;/_subject_headings&gt;&lt;_tertiary_title&gt;Microbiology spectrum&lt;/_tertiary_title&gt;&lt;_type_work&gt;Journal Article; Review&lt;/_type_work&gt;&lt;_url&gt;http://www.ncbi.nlm.nih.gov/entrez/query.fcgi?cmd=Retrieve&amp;amp;db=pubmed&amp;amp;dopt=Abstract&amp;amp;list_uids=28409551&amp;amp;query_hl=1&lt;/_url&gt;&lt;_volume&gt;5&lt;/_volume&gt;&lt;/Details&gt;&lt;Extra&gt;&lt;DBUID&gt;{F96A950B-833F-4880-A151-76DA2D6A2879}&lt;/DBUID&gt;&lt;/Extra&gt;&lt;/Item&gt;&lt;/References&gt;&lt;/Group&gt;&lt;Group&gt;&lt;References&gt;&lt;Item&gt;&lt;ID&gt;458&lt;/ID&gt;&lt;UID&gt;{3C6A7774-48C4-44BE-9936-0A2F6C6D5E68}&lt;/UID&gt;&lt;Title&gt;Mycobacterial Musculoskeletal Infections&lt;/Title&gt;&lt;Template&gt;Journal Article&lt;/Template&gt;&lt;Star&gt;0&lt;/Star&gt;&lt;Tag&gt;0&lt;/Tag&gt;&lt;Author&gt;Hogan, J I; Hurtado, R M; Nelson, S B&lt;/Author&gt;&lt;Year&gt;2019&lt;/Year&gt;&lt;Details&gt;&lt;_accession_num&gt;30454925&lt;/_accession_num&gt;&lt;_author_adr&gt;Division of Infectious Diseases, Massachusetts General Hospital, Harvard Medical  School, Cox Building, 5th Floor, 55 Fruit Street, Boston, MA 02114, USA.; Mycobacterial Diseases Center, Division of Infectious Diseases, Massachusetts General Hospital, Harvard Medical School, Cox Building, 5th Floor, 55 Fruit Street, Boston, MA 02114, USA.; Program in Musculoskeletal Infections, Division of Infectious Diseases, Massachusetts General Hospital, Harvard Medical School, Cox Building, 5th Floor,  55 Fruit Street, Boston, MA 02114, USA. Electronic address: sbnelson@mgh.harvard.edu.&lt;/_author_adr&gt;&lt;_collection_scope&gt;SCIE&lt;/_collection_scope&gt;&lt;_created&gt;63824818&lt;/_created&gt;&lt;_date&gt;2019-02-01&lt;/_date&gt;&lt;_date_display&gt;2019 Feb&lt;/_date_display&gt;&lt;_db_updated&gt;PubMed&lt;/_db_updated&gt;&lt;_doi&gt;10.1016/j.thorsurg.2018.09.007&lt;/_doi&gt;&lt;_impact_factor&gt;   1.282&lt;/_impact_factor&gt;&lt;_isbn&gt;1558-5069 (Electronic)&lt;/_isbn&gt;&lt;_issue&gt;1&lt;/_issue&gt;&lt;_journal&gt;Thorac Surg Clin&lt;/_journal&gt;&lt;_keywords&gt;Mycobacterium tuberculosis; Nontuberculous mycobacteria; Osteomyelitis; Pott&amp;apos;s disease; Septic arthritis; Tenosynovitis&lt;/_keywords&gt;&lt;_language&gt;eng&lt;/_language&gt;&lt;_modified&gt;63824820&lt;/_modified&gt;&lt;_ori_publication&gt;Copyright (c) 2018 Elsevier Inc. All rights reserved.&lt;/_ori_publication&gt;&lt;_pages&gt;85-94&lt;/_pages&gt;&lt;_subject_headings&gt;Arthritis, Infectious/diagnosis/microbiology/*therapy; Bone Diseases, Infectious/diagnosis/microbiology/*therapy; Humans; Mycobacterium Infections/diagnosis/microbiology/*therapy; Mycobacterium tuberculosis/*isolation &amp;amp; purification; Nontuberculous Mycobacteria/*isolation &amp;amp; purification; Risk Factors&lt;/_subject_headings&gt;&lt;_tertiary_title&gt;Thoracic surgery clinics&lt;/_tertiary_title&gt;&lt;_type_work&gt;Journal Article; Review&lt;/_type_work&gt;&lt;_url&gt;http://www.ncbi.nlm.nih.gov/entrez/query.fcgi?cmd=Retrieve&amp;amp;db=pubmed&amp;amp;dopt=Abstract&amp;amp;list_uids=30454925&amp;amp;query_hl=1&lt;/_url&gt;&lt;_volume&gt;29&lt;/_volume&gt;&lt;/Details&gt;&lt;Extra&gt;&lt;DBUID&gt;{F96A950B-833F-4880-A151-76DA2D6A2879}&lt;/DBUID&gt;&lt;/Extra&gt;&lt;/Item&gt;&lt;/References&gt;&lt;/Group&gt;&lt;/Citation&gt;_x000a_"/>
    <w:docVar w:name="NE.Ref{E0E43FC4-6A6F-41E6-B8C0-9E3C1948C08B}" w:val=" ADDIN NE.Ref.{E0E43FC4-6A6F-41E6-B8C0-9E3C1948C08B}&lt;Citation&gt;&lt;Group&gt;&lt;References&gt;&lt;Item&gt;&lt;ID&gt;464&lt;/ID&gt;&lt;UID&gt;{207E1527-A254-4516-9F64-FAE3BDE96F17}&lt;/UID&gt;&lt;Title&gt;Nontuberculous mycobacterial osteomyelitis&lt;/Title&gt;&lt;Template&gt;Journal Article&lt;/Template&gt;&lt;Star&gt;0&lt;/Star&gt;&lt;Tag&gt;0&lt;/Tag&gt;&lt;Author&gt;Bi, S; Hu, F S; Yu, H Y; Xu, K J; Zheng, B W; Ji, Z K; Li, J J; Deng, M; Hu, H Y; Sheng, J F&lt;/Author&gt;&lt;Year&gt;2015&lt;/Year&gt;&lt;Details&gt;&lt;_accession_num&gt;25915177&lt;/_accession_num&gt;&lt;_author_adr&gt;From the State Key Laboratory for Diagnosis and Treatment of Infectious Diseases, First Affiliated Hospital, Zhejiang University , Hangzhou , China.&lt;/_author_adr&gt;&lt;_created&gt;63832932&lt;/_created&gt;&lt;_date&gt;2015-01-20&lt;/_date&gt;&lt;_date_display&gt;2015&lt;/_date_display&gt;&lt;_db_updated&gt;PubMed&lt;/_db_updated&gt;&lt;_doi&gt;10.3109/23744235.2015.1040445&lt;/_doi&gt;&lt;_isbn&gt;2374-4243 (Electronic); 2374-4243 (Linking)&lt;/_isbn&gt;&lt;_issue&gt;10&lt;/_issue&gt;&lt;_journal&gt;Infect Dis (Lond)&lt;/_journal&gt;&lt;_keywords&gt;Osteomyelitis; diabetes mellitus; nontuberculous mycobacteria&lt;/_keywords&gt;&lt;_language&gt;eng&lt;/_language&gt;&lt;_modified&gt;63832932&lt;/_modified&gt;&lt;_pages&gt;673-85&lt;/_pages&gt;&lt;_subject_headings&gt;Adult; Diabetes Complications; Diabetes Mellitus; Disease Susceptibility; HIV/pathogenicity; Humans; Immunocompromised Host; Interferon-gamma/immunology; Interleukin-12/immunology; Mycobacterium Infections, Nontuberculous/etiology/*microbiology/*therapy; Nontuberculous Mycobacteria/*pathogenicity; Osteomyelitis/etiology/*microbiology/*therapy; Tumor Necrosis Factor-alpha/immunology&lt;/_subject_headings&gt;&lt;_tertiary_title&gt;Infectious diseases (London, England)&lt;/_tertiary_title&gt;&lt;_type_work&gt;Journal Article; Research Support, Non-U.S. Gov&amp;apos;t; Review&lt;/_type_work&gt;&lt;_url&gt;http://www.ncbi.nlm.nih.gov/entrez/query.fcgi?cmd=Retrieve&amp;amp;db=pubmed&amp;amp;dopt=Abstract&amp;amp;list_uids=25915177&amp;amp;query_hl=1&lt;/_url&gt;&lt;_volume&gt;47&lt;/_volume&gt;&lt;/Details&gt;&lt;Extra&gt;&lt;DBUID&gt;{F96A950B-833F-4880-A151-76DA2D6A2879}&lt;/DBUID&gt;&lt;/Extra&gt;&lt;/Item&gt;&lt;/References&gt;&lt;/Group&gt;&lt;Group&gt;&lt;References&gt;&lt;Item&gt;&lt;ID&gt;474&lt;/ID&gt;&lt;UID&gt;{1BA5C7F1-43A5-4696-B827-C3D980C4A0FA}&lt;/UID&gt;&lt;Title&gt;An official ATS/IDSA statement: diagnosis, treatment, and prevention of nontuberculous mycobacterial diseases&lt;/Title&gt;&lt;Template&gt;Journal Article&lt;/Template&gt;&lt;Star&gt;0&lt;/Star&gt;&lt;Tag&gt;0&lt;/Tag&gt;&lt;Author&gt;Griffith, D E; Aksamit, T; Brown-Elliott, B A; Catanzaro, A; Daley, C; Gordin, F; Holland, S M; Horsburgh, R; Huitt, G; Iademarco, M F; Iseman, M; Olivier, K; Ruoss, S; von Reyn, C F; Wallace, RJ Jr; Winthrop, K&lt;/Author&gt;&lt;Year&gt;2007&lt;/Year&gt;&lt;Details&gt;&lt;_accession_num&gt;17277290&lt;/_accession_num&gt;&lt;_created&gt;63833046&lt;/_created&gt;&lt;_date&gt;2007-02-15&lt;/_date&gt;&lt;_date_display&gt;2007 Feb 15&lt;/_date_display&gt;&lt;_db_updated&gt;PubMed&lt;/_db_updated&gt;&lt;_doi&gt;10.1164/rccm.200604-571ST&lt;/_doi&gt;&lt;_impact_factor&gt;  17.452&lt;/_impact_factor&gt;&lt;_isbn&gt;1073-449X (Print); 1073-449X (Linking)&lt;/_isbn&gt;&lt;_issue&gt;4&lt;/_issue&gt;&lt;_journal&gt;Am J Respir Crit Care Med&lt;/_journal&gt;&lt;_language&gt;eng&lt;/_language&gt;&lt;_modified&gt;63833047&lt;/_modified&gt;&lt;_pages&gt;367-416&lt;/_pages&gt;&lt;_subject_headings&gt;Anti-Infective Agents/pharmacology; Bone Diseases/diagnosis/epidemiology/microbiology/therapy; Clinical Laboratory Techniques; Disease Outbreaks/prevention &amp;amp; control; Drug Resistance, Bacterial; Genotype; Humans; Infection Control; Lung Diseases/*diagnosis/epidemiology/microbiology/*therapy; Lymphatic Diseases/diagnosis/epidemiology/microbiology/therapy; Mycobacterium Infections, Nontuberculous/*diagnosis/epidemiology/*therapy; Skin Diseases/diagnosis/epidemiology/microbiology/therapy&lt;/_subject_headings&gt;&lt;_tertiary_title&gt;American journal of respiratory and critical care medicine&lt;/_tertiary_title&gt;&lt;_type_work&gt;Journal Article; Practice Guideline; Review&lt;/_type_work&gt;&lt;_url&gt;http://www.ncbi.nlm.nih.gov/entrez/query.fcgi?cmd=Retrieve&amp;amp;db=pubmed&amp;amp;dopt=Abstract&amp;amp;list_uids=17277290&amp;amp;query_hl=1&lt;/_url&gt;&lt;_volume&gt;175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人民共和国国家标准_GBT_7714-2005"/>
    <w:docVar w:name="Username" w:val="Editor"/>
  </w:docVars>
  <w:rsids>
    <w:rsidRoot w:val="000216C4"/>
    <w:rsid w:val="000008BB"/>
    <w:rsid w:val="00000B59"/>
    <w:rsid w:val="000017E8"/>
    <w:rsid w:val="0000508F"/>
    <w:rsid w:val="000066E5"/>
    <w:rsid w:val="00006BF9"/>
    <w:rsid w:val="00015F90"/>
    <w:rsid w:val="00020189"/>
    <w:rsid w:val="0002040F"/>
    <w:rsid w:val="000204D7"/>
    <w:rsid w:val="000216C4"/>
    <w:rsid w:val="00021A7D"/>
    <w:rsid w:val="00022350"/>
    <w:rsid w:val="00022417"/>
    <w:rsid w:val="00022A51"/>
    <w:rsid w:val="00023C02"/>
    <w:rsid w:val="000244DD"/>
    <w:rsid w:val="0002755F"/>
    <w:rsid w:val="00030E2F"/>
    <w:rsid w:val="00030E85"/>
    <w:rsid w:val="00031C1F"/>
    <w:rsid w:val="0003469A"/>
    <w:rsid w:val="00035DD1"/>
    <w:rsid w:val="00035FBB"/>
    <w:rsid w:val="000365DD"/>
    <w:rsid w:val="00036BA9"/>
    <w:rsid w:val="0004127C"/>
    <w:rsid w:val="00041757"/>
    <w:rsid w:val="000436D4"/>
    <w:rsid w:val="00044299"/>
    <w:rsid w:val="0004442E"/>
    <w:rsid w:val="00045548"/>
    <w:rsid w:val="0004721A"/>
    <w:rsid w:val="000534A1"/>
    <w:rsid w:val="00053625"/>
    <w:rsid w:val="00054288"/>
    <w:rsid w:val="0005484F"/>
    <w:rsid w:val="000555A2"/>
    <w:rsid w:val="000558C2"/>
    <w:rsid w:val="000559C2"/>
    <w:rsid w:val="00055D5F"/>
    <w:rsid w:val="000563E1"/>
    <w:rsid w:val="000621CB"/>
    <w:rsid w:val="00062531"/>
    <w:rsid w:val="00062B8C"/>
    <w:rsid w:val="00063623"/>
    <w:rsid w:val="00063EC4"/>
    <w:rsid w:val="00063F2C"/>
    <w:rsid w:val="000644ED"/>
    <w:rsid w:val="00066A33"/>
    <w:rsid w:val="00066D29"/>
    <w:rsid w:val="000734DB"/>
    <w:rsid w:val="000757EE"/>
    <w:rsid w:val="00075863"/>
    <w:rsid w:val="00076697"/>
    <w:rsid w:val="0008025D"/>
    <w:rsid w:val="000802BA"/>
    <w:rsid w:val="00080628"/>
    <w:rsid w:val="000823D1"/>
    <w:rsid w:val="00082A68"/>
    <w:rsid w:val="000834AB"/>
    <w:rsid w:val="000836EB"/>
    <w:rsid w:val="00085350"/>
    <w:rsid w:val="00085375"/>
    <w:rsid w:val="0008572F"/>
    <w:rsid w:val="0008682A"/>
    <w:rsid w:val="000874E7"/>
    <w:rsid w:val="00090171"/>
    <w:rsid w:val="000905A2"/>
    <w:rsid w:val="0009096F"/>
    <w:rsid w:val="00090D37"/>
    <w:rsid w:val="00091450"/>
    <w:rsid w:val="00092543"/>
    <w:rsid w:val="00092E2C"/>
    <w:rsid w:val="00094239"/>
    <w:rsid w:val="00094F34"/>
    <w:rsid w:val="00097337"/>
    <w:rsid w:val="0009793A"/>
    <w:rsid w:val="000A005F"/>
    <w:rsid w:val="000A0B06"/>
    <w:rsid w:val="000A13A8"/>
    <w:rsid w:val="000A39F7"/>
    <w:rsid w:val="000A4F1F"/>
    <w:rsid w:val="000A57E5"/>
    <w:rsid w:val="000A5B02"/>
    <w:rsid w:val="000A6506"/>
    <w:rsid w:val="000A6754"/>
    <w:rsid w:val="000A7EB6"/>
    <w:rsid w:val="000B0680"/>
    <w:rsid w:val="000B2980"/>
    <w:rsid w:val="000B2DB0"/>
    <w:rsid w:val="000B303C"/>
    <w:rsid w:val="000B36FE"/>
    <w:rsid w:val="000B3B20"/>
    <w:rsid w:val="000B4623"/>
    <w:rsid w:val="000B5F77"/>
    <w:rsid w:val="000B67F2"/>
    <w:rsid w:val="000B7068"/>
    <w:rsid w:val="000B7B15"/>
    <w:rsid w:val="000C056C"/>
    <w:rsid w:val="000C07EE"/>
    <w:rsid w:val="000C120F"/>
    <w:rsid w:val="000C13B5"/>
    <w:rsid w:val="000C142E"/>
    <w:rsid w:val="000C3748"/>
    <w:rsid w:val="000C3858"/>
    <w:rsid w:val="000C3EEB"/>
    <w:rsid w:val="000C75C4"/>
    <w:rsid w:val="000C75FD"/>
    <w:rsid w:val="000D0BC0"/>
    <w:rsid w:val="000D18C5"/>
    <w:rsid w:val="000D19AD"/>
    <w:rsid w:val="000D3ADF"/>
    <w:rsid w:val="000D4149"/>
    <w:rsid w:val="000D55AA"/>
    <w:rsid w:val="000D6D90"/>
    <w:rsid w:val="000D7431"/>
    <w:rsid w:val="000E0166"/>
    <w:rsid w:val="000E2484"/>
    <w:rsid w:val="000E2AAA"/>
    <w:rsid w:val="000E31E8"/>
    <w:rsid w:val="000E39A2"/>
    <w:rsid w:val="000E4C33"/>
    <w:rsid w:val="000E7201"/>
    <w:rsid w:val="000E7A29"/>
    <w:rsid w:val="000E7B86"/>
    <w:rsid w:val="000E7C45"/>
    <w:rsid w:val="000F3B38"/>
    <w:rsid w:val="000F7A10"/>
    <w:rsid w:val="001014A5"/>
    <w:rsid w:val="00101ED5"/>
    <w:rsid w:val="001029F5"/>
    <w:rsid w:val="001032BF"/>
    <w:rsid w:val="00103894"/>
    <w:rsid w:val="001053A4"/>
    <w:rsid w:val="00105BBB"/>
    <w:rsid w:val="00111132"/>
    <w:rsid w:val="001115AB"/>
    <w:rsid w:val="00112785"/>
    <w:rsid w:val="0011437C"/>
    <w:rsid w:val="00114733"/>
    <w:rsid w:val="00120A03"/>
    <w:rsid w:val="00121FCD"/>
    <w:rsid w:val="001220D3"/>
    <w:rsid w:val="00123AD2"/>
    <w:rsid w:val="00123DA5"/>
    <w:rsid w:val="00124EBF"/>
    <w:rsid w:val="00125B6D"/>
    <w:rsid w:val="00125CD5"/>
    <w:rsid w:val="00127106"/>
    <w:rsid w:val="00130F9A"/>
    <w:rsid w:val="0013411B"/>
    <w:rsid w:val="001346AD"/>
    <w:rsid w:val="001356CC"/>
    <w:rsid w:val="001370C2"/>
    <w:rsid w:val="00137408"/>
    <w:rsid w:val="00137413"/>
    <w:rsid w:val="0013766B"/>
    <w:rsid w:val="001377AA"/>
    <w:rsid w:val="001401B7"/>
    <w:rsid w:val="00140726"/>
    <w:rsid w:val="0014205E"/>
    <w:rsid w:val="001420CE"/>
    <w:rsid w:val="0014370D"/>
    <w:rsid w:val="001447B4"/>
    <w:rsid w:val="00144AEB"/>
    <w:rsid w:val="00144CD8"/>
    <w:rsid w:val="0014502E"/>
    <w:rsid w:val="00145264"/>
    <w:rsid w:val="00145DEB"/>
    <w:rsid w:val="0014797E"/>
    <w:rsid w:val="00150001"/>
    <w:rsid w:val="001508B2"/>
    <w:rsid w:val="00153B0D"/>
    <w:rsid w:val="00153B85"/>
    <w:rsid w:val="00154E6B"/>
    <w:rsid w:val="001550F5"/>
    <w:rsid w:val="001552D8"/>
    <w:rsid w:val="00160726"/>
    <w:rsid w:val="00162D87"/>
    <w:rsid w:val="00163250"/>
    <w:rsid w:val="0016386B"/>
    <w:rsid w:val="001643B4"/>
    <w:rsid w:val="001644B6"/>
    <w:rsid w:val="001653F5"/>
    <w:rsid w:val="001678A2"/>
    <w:rsid w:val="00174192"/>
    <w:rsid w:val="001745C7"/>
    <w:rsid w:val="0017493F"/>
    <w:rsid w:val="00175187"/>
    <w:rsid w:val="001755F1"/>
    <w:rsid w:val="001774C9"/>
    <w:rsid w:val="0018046A"/>
    <w:rsid w:val="00180C70"/>
    <w:rsid w:val="00182B41"/>
    <w:rsid w:val="00186B8B"/>
    <w:rsid w:val="00186D97"/>
    <w:rsid w:val="0018710D"/>
    <w:rsid w:val="00190A8F"/>
    <w:rsid w:val="00191DE3"/>
    <w:rsid w:val="001925F3"/>
    <w:rsid w:val="00196F4B"/>
    <w:rsid w:val="00197182"/>
    <w:rsid w:val="001A0064"/>
    <w:rsid w:val="001A2EBF"/>
    <w:rsid w:val="001A3264"/>
    <w:rsid w:val="001A3F08"/>
    <w:rsid w:val="001A4B49"/>
    <w:rsid w:val="001A5FD3"/>
    <w:rsid w:val="001A6723"/>
    <w:rsid w:val="001A6927"/>
    <w:rsid w:val="001B404F"/>
    <w:rsid w:val="001B4BA4"/>
    <w:rsid w:val="001C12FB"/>
    <w:rsid w:val="001C1F46"/>
    <w:rsid w:val="001C20DE"/>
    <w:rsid w:val="001C2CCE"/>
    <w:rsid w:val="001C2E37"/>
    <w:rsid w:val="001C2FD7"/>
    <w:rsid w:val="001C3D2C"/>
    <w:rsid w:val="001C52E4"/>
    <w:rsid w:val="001C585D"/>
    <w:rsid w:val="001C6CBE"/>
    <w:rsid w:val="001C7ED7"/>
    <w:rsid w:val="001D3259"/>
    <w:rsid w:val="001D5AB6"/>
    <w:rsid w:val="001D76C6"/>
    <w:rsid w:val="001E05B7"/>
    <w:rsid w:val="001E07C4"/>
    <w:rsid w:val="001E1217"/>
    <w:rsid w:val="001E1570"/>
    <w:rsid w:val="001E5D89"/>
    <w:rsid w:val="001E6421"/>
    <w:rsid w:val="001E68CF"/>
    <w:rsid w:val="001F19FC"/>
    <w:rsid w:val="001F27E5"/>
    <w:rsid w:val="001F3E93"/>
    <w:rsid w:val="001F469A"/>
    <w:rsid w:val="001F49F4"/>
    <w:rsid w:val="001F5F53"/>
    <w:rsid w:val="001F6497"/>
    <w:rsid w:val="001F6A62"/>
    <w:rsid w:val="001F716E"/>
    <w:rsid w:val="001F740E"/>
    <w:rsid w:val="0020047A"/>
    <w:rsid w:val="002009B3"/>
    <w:rsid w:val="002020E7"/>
    <w:rsid w:val="00203D30"/>
    <w:rsid w:val="0020501D"/>
    <w:rsid w:val="002051A6"/>
    <w:rsid w:val="002055F5"/>
    <w:rsid w:val="0020622E"/>
    <w:rsid w:val="0020722A"/>
    <w:rsid w:val="00207AFA"/>
    <w:rsid w:val="00210233"/>
    <w:rsid w:val="00211061"/>
    <w:rsid w:val="00211624"/>
    <w:rsid w:val="00212162"/>
    <w:rsid w:val="002127D8"/>
    <w:rsid w:val="00213237"/>
    <w:rsid w:val="0021327E"/>
    <w:rsid w:val="00213282"/>
    <w:rsid w:val="0021385B"/>
    <w:rsid w:val="002143C6"/>
    <w:rsid w:val="002167B8"/>
    <w:rsid w:val="002169A2"/>
    <w:rsid w:val="00221C2D"/>
    <w:rsid w:val="00227103"/>
    <w:rsid w:val="00230C53"/>
    <w:rsid w:val="00230EF9"/>
    <w:rsid w:val="002320FF"/>
    <w:rsid w:val="00232CDE"/>
    <w:rsid w:val="0023382A"/>
    <w:rsid w:val="0023695D"/>
    <w:rsid w:val="00236B4D"/>
    <w:rsid w:val="00240942"/>
    <w:rsid w:val="00240B48"/>
    <w:rsid w:val="0024188B"/>
    <w:rsid w:val="0024275E"/>
    <w:rsid w:val="00243D44"/>
    <w:rsid w:val="00244789"/>
    <w:rsid w:val="00244FE2"/>
    <w:rsid w:val="002501C6"/>
    <w:rsid w:val="0025071E"/>
    <w:rsid w:val="0025234B"/>
    <w:rsid w:val="002529C3"/>
    <w:rsid w:val="00252EB2"/>
    <w:rsid w:val="002531B4"/>
    <w:rsid w:val="00254335"/>
    <w:rsid w:val="002545AC"/>
    <w:rsid w:val="002545E6"/>
    <w:rsid w:val="002627ED"/>
    <w:rsid w:val="00262CFE"/>
    <w:rsid w:val="00266C4E"/>
    <w:rsid w:val="00266ED7"/>
    <w:rsid w:val="002670C9"/>
    <w:rsid w:val="00270427"/>
    <w:rsid w:val="00271ADA"/>
    <w:rsid w:val="00273B02"/>
    <w:rsid w:val="00273BA1"/>
    <w:rsid w:val="002740B7"/>
    <w:rsid w:val="002749EB"/>
    <w:rsid w:val="00275221"/>
    <w:rsid w:val="002758D9"/>
    <w:rsid w:val="00275BEA"/>
    <w:rsid w:val="00275C00"/>
    <w:rsid w:val="0027607F"/>
    <w:rsid w:val="0027685F"/>
    <w:rsid w:val="00276AF5"/>
    <w:rsid w:val="0028034F"/>
    <w:rsid w:val="002816D2"/>
    <w:rsid w:val="00283D47"/>
    <w:rsid w:val="00287A4F"/>
    <w:rsid w:val="00287F01"/>
    <w:rsid w:val="00287F52"/>
    <w:rsid w:val="00290FA1"/>
    <w:rsid w:val="00294492"/>
    <w:rsid w:val="002954C3"/>
    <w:rsid w:val="00295CED"/>
    <w:rsid w:val="002966C3"/>
    <w:rsid w:val="002A07A4"/>
    <w:rsid w:val="002A1F24"/>
    <w:rsid w:val="002A2079"/>
    <w:rsid w:val="002A25C8"/>
    <w:rsid w:val="002A2D05"/>
    <w:rsid w:val="002A2E7F"/>
    <w:rsid w:val="002A3DC2"/>
    <w:rsid w:val="002A45FB"/>
    <w:rsid w:val="002A5009"/>
    <w:rsid w:val="002A5F87"/>
    <w:rsid w:val="002A6B8F"/>
    <w:rsid w:val="002A6DA2"/>
    <w:rsid w:val="002B0834"/>
    <w:rsid w:val="002B10C1"/>
    <w:rsid w:val="002B2CC6"/>
    <w:rsid w:val="002B3638"/>
    <w:rsid w:val="002B49B1"/>
    <w:rsid w:val="002B6A0A"/>
    <w:rsid w:val="002B7513"/>
    <w:rsid w:val="002B76FB"/>
    <w:rsid w:val="002B7F0F"/>
    <w:rsid w:val="002C0462"/>
    <w:rsid w:val="002C2D83"/>
    <w:rsid w:val="002C47AA"/>
    <w:rsid w:val="002C617D"/>
    <w:rsid w:val="002C67C5"/>
    <w:rsid w:val="002C768B"/>
    <w:rsid w:val="002D1179"/>
    <w:rsid w:val="002D1C4F"/>
    <w:rsid w:val="002D2DC2"/>
    <w:rsid w:val="002D406B"/>
    <w:rsid w:val="002D463B"/>
    <w:rsid w:val="002D523A"/>
    <w:rsid w:val="002D5643"/>
    <w:rsid w:val="002E07EE"/>
    <w:rsid w:val="002E0E0D"/>
    <w:rsid w:val="002E34BD"/>
    <w:rsid w:val="002E38C6"/>
    <w:rsid w:val="002E3B3C"/>
    <w:rsid w:val="002E4433"/>
    <w:rsid w:val="002E45E7"/>
    <w:rsid w:val="002E65C3"/>
    <w:rsid w:val="002F266F"/>
    <w:rsid w:val="002F29CC"/>
    <w:rsid w:val="002F2D5E"/>
    <w:rsid w:val="002F2D6D"/>
    <w:rsid w:val="002F4EB3"/>
    <w:rsid w:val="002F5826"/>
    <w:rsid w:val="002F59E7"/>
    <w:rsid w:val="00300A7C"/>
    <w:rsid w:val="00301747"/>
    <w:rsid w:val="00301E3A"/>
    <w:rsid w:val="003023BC"/>
    <w:rsid w:val="00302750"/>
    <w:rsid w:val="00302DED"/>
    <w:rsid w:val="003030CB"/>
    <w:rsid w:val="00305D82"/>
    <w:rsid w:val="0030602A"/>
    <w:rsid w:val="003064A1"/>
    <w:rsid w:val="00306770"/>
    <w:rsid w:val="0031021A"/>
    <w:rsid w:val="003112E0"/>
    <w:rsid w:val="0031398C"/>
    <w:rsid w:val="00314054"/>
    <w:rsid w:val="00314A85"/>
    <w:rsid w:val="00314B00"/>
    <w:rsid w:val="00314CBE"/>
    <w:rsid w:val="003158F9"/>
    <w:rsid w:val="003176CF"/>
    <w:rsid w:val="00320C98"/>
    <w:rsid w:val="003210FE"/>
    <w:rsid w:val="0032281F"/>
    <w:rsid w:val="00322823"/>
    <w:rsid w:val="00324F1C"/>
    <w:rsid w:val="003262D6"/>
    <w:rsid w:val="003276B1"/>
    <w:rsid w:val="00327841"/>
    <w:rsid w:val="00327B67"/>
    <w:rsid w:val="00327B6B"/>
    <w:rsid w:val="00327D1E"/>
    <w:rsid w:val="0033252E"/>
    <w:rsid w:val="00332A59"/>
    <w:rsid w:val="00334762"/>
    <w:rsid w:val="0033576B"/>
    <w:rsid w:val="00335ED4"/>
    <w:rsid w:val="00336E06"/>
    <w:rsid w:val="00336E83"/>
    <w:rsid w:val="0034082C"/>
    <w:rsid w:val="00344A31"/>
    <w:rsid w:val="00346DA4"/>
    <w:rsid w:val="00346DDE"/>
    <w:rsid w:val="00351221"/>
    <w:rsid w:val="003514B4"/>
    <w:rsid w:val="0035230F"/>
    <w:rsid w:val="00352649"/>
    <w:rsid w:val="0035309A"/>
    <w:rsid w:val="003539D8"/>
    <w:rsid w:val="0036224B"/>
    <w:rsid w:val="00362F85"/>
    <w:rsid w:val="003631BB"/>
    <w:rsid w:val="003633D4"/>
    <w:rsid w:val="00364095"/>
    <w:rsid w:val="003642C2"/>
    <w:rsid w:val="00364DEF"/>
    <w:rsid w:val="00365B64"/>
    <w:rsid w:val="00365D01"/>
    <w:rsid w:val="003716D3"/>
    <w:rsid w:val="0037315A"/>
    <w:rsid w:val="003738D1"/>
    <w:rsid w:val="00373B72"/>
    <w:rsid w:val="00374DEA"/>
    <w:rsid w:val="003750AD"/>
    <w:rsid w:val="00375A6D"/>
    <w:rsid w:val="003761B5"/>
    <w:rsid w:val="003808A1"/>
    <w:rsid w:val="00380C3D"/>
    <w:rsid w:val="00380EBB"/>
    <w:rsid w:val="00380ECB"/>
    <w:rsid w:val="003829B3"/>
    <w:rsid w:val="003856BD"/>
    <w:rsid w:val="00385F42"/>
    <w:rsid w:val="00386BB8"/>
    <w:rsid w:val="003921CC"/>
    <w:rsid w:val="00392BC4"/>
    <w:rsid w:val="00392CF6"/>
    <w:rsid w:val="00394668"/>
    <w:rsid w:val="00394B67"/>
    <w:rsid w:val="00395B41"/>
    <w:rsid w:val="00396FC5"/>
    <w:rsid w:val="00397D6A"/>
    <w:rsid w:val="003A162C"/>
    <w:rsid w:val="003A1675"/>
    <w:rsid w:val="003A21F5"/>
    <w:rsid w:val="003A27BA"/>
    <w:rsid w:val="003A3F9F"/>
    <w:rsid w:val="003A4B16"/>
    <w:rsid w:val="003A69C6"/>
    <w:rsid w:val="003A6D37"/>
    <w:rsid w:val="003A7EF1"/>
    <w:rsid w:val="003B067D"/>
    <w:rsid w:val="003B0A1C"/>
    <w:rsid w:val="003B2C5B"/>
    <w:rsid w:val="003B403D"/>
    <w:rsid w:val="003B4E4C"/>
    <w:rsid w:val="003B6D5C"/>
    <w:rsid w:val="003C15EF"/>
    <w:rsid w:val="003C3BF3"/>
    <w:rsid w:val="003C3FAE"/>
    <w:rsid w:val="003C59DE"/>
    <w:rsid w:val="003C5A3C"/>
    <w:rsid w:val="003D0407"/>
    <w:rsid w:val="003D173F"/>
    <w:rsid w:val="003D5054"/>
    <w:rsid w:val="003E016D"/>
    <w:rsid w:val="003E23D3"/>
    <w:rsid w:val="003E33C8"/>
    <w:rsid w:val="003E5365"/>
    <w:rsid w:val="003E5AE2"/>
    <w:rsid w:val="003E63AD"/>
    <w:rsid w:val="003E752E"/>
    <w:rsid w:val="003F0200"/>
    <w:rsid w:val="003F19FB"/>
    <w:rsid w:val="003F1EC0"/>
    <w:rsid w:val="003F2158"/>
    <w:rsid w:val="003F2589"/>
    <w:rsid w:val="003F4485"/>
    <w:rsid w:val="003F44B8"/>
    <w:rsid w:val="003F5BBC"/>
    <w:rsid w:val="003F69A0"/>
    <w:rsid w:val="003F69D7"/>
    <w:rsid w:val="004002AB"/>
    <w:rsid w:val="00401532"/>
    <w:rsid w:val="00401E98"/>
    <w:rsid w:val="00406F56"/>
    <w:rsid w:val="004070C2"/>
    <w:rsid w:val="00407BC5"/>
    <w:rsid w:val="0041191F"/>
    <w:rsid w:val="004128E5"/>
    <w:rsid w:val="004129AB"/>
    <w:rsid w:val="00412E3C"/>
    <w:rsid w:val="00413E02"/>
    <w:rsid w:val="004154AE"/>
    <w:rsid w:val="00415E7D"/>
    <w:rsid w:val="0041632F"/>
    <w:rsid w:val="00420C34"/>
    <w:rsid w:val="004226FA"/>
    <w:rsid w:val="00422CFF"/>
    <w:rsid w:val="00423EFB"/>
    <w:rsid w:val="0042659A"/>
    <w:rsid w:val="00427CB5"/>
    <w:rsid w:val="004309F3"/>
    <w:rsid w:val="004352FF"/>
    <w:rsid w:val="004363B1"/>
    <w:rsid w:val="00442D27"/>
    <w:rsid w:val="00443299"/>
    <w:rsid w:val="00443738"/>
    <w:rsid w:val="0044541C"/>
    <w:rsid w:val="004459DF"/>
    <w:rsid w:val="00447BA7"/>
    <w:rsid w:val="00447F3A"/>
    <w:rsid w:val="00450296"/>
    <w:rsid w:val="00451A56"/>
    <w:rsid w:val="00452E5A"/>
    <w:rsid w:val="00454E63"/>
    <w:rsid w:val="0045577D"/>
    <w:rsid w:val="00456198"/>
    <w:rsid w:val="00460017"/>
    <w:rsid w:val="00461B55"/>
    <w:rsid w:val="00461BBB"/>
    <w:rsid w:val="00462239"/>
    <w:rsid w:val="004633A9"/>
    <w:rsid w:val="0046374D"/>
    <w:rsid w:val="004637CF"/>
    <w:rsid w:val="004639AA"/>
    <w:rsid w:val="004655D8"/>
    <w:rsid w:val="0046572F"/>
    <w:rsid w:val="00465879"/>
    <w:rsid w:val="00465EF5"/>
    <w:rsid w:val="004663C4"/>
    <w:rsid w:val="004674D0"/>
    <w:rsid w:val="00470AD1"/>
    <w:rsid w:val="00470C5F"/>
    <w:rsid w:val="00470DDD"/>
    <w:rsid w:val="004710AC"/>
    <w:rsid w:val="00471A3B"/>
    <w:rsid w:val="004734E3"/>
    <w:rsid w:val="004760A3"/>
    <w:rsid w:val="0047656B"/>
    <w:rsid w:val="00477230"/>
    <w:rsid w:val="00477BD1"/>
    <w:rsid w:val="00481901"/>
    <w:rsid w:val="00481A94"/>
    <w:rsid w:val="0048276C"/>
    <w:rsid w:val="00483A6F"/>
    <w:rsid w:val="0048467E"/>
    <w:rsid w:val="004848AA"/>
    <w:rsid w:val="00486137"/>
    <w:rsid w:val="004862F6"/>
    <w:rsid w:val="004925D8"/>
    <w:rsid w:val="004927FF"/>
    <w:rsid w:val="004938E0"/>
    <w:rsid w:val="00493F54"/>
    <w:rsid w:val="00494B42"/>
    <w:rsid w:val="00496AB9"/>
    <w:rsid w:val="00496BD9"/>
    <w:rsid w:val="0049772B"/>
    <w:rsid w:val="004A0041"/>
    <w:rsid w:val="004A088A"/>
    <w:rsid w:val="004A24D3"/>
    <w:rsid w:val="004A56AE"/>
    <w:rsid w:val="004A5A67"/>
    <w:rsid w:val="004A6601"/>
    <w:rsid w:val="004A713D"/>
    <w:rsid w:val="004B06B2"/>
    <w:rsid w:val="004B1C9D"/>
    <w:rsid w:val="004B1D4A"/>
    <w:rsid w:val="004B48DA"/>
    <w:rsid w:val="004B4B1B"/>
    <w:rsid w:val="004B508D"/>
    <w:rsid w:val="004B6E8C"/>
    <w:rsid w:val="004B7279"/>
    <w:rsid w:val="004B7640"/>
    <w:rsid w:val="004B77D4"/>
    <w:rsid w:val="004B7FFB"/>
    <w:rsid w:val="004C3F84"/>
    <w:rsid w:val="004C5FBE"/>
    <w:rsid w:val="004D0EA8"/>
    <w:rsid w:val="004D0EF6"/>
    <w:rsid w:val="004D1297"/>
    <w:rsid w:val="004D1687"/>
    <w:rsid w:val="004D1818"/>
    <w:rsid w:val="004D275C"/>
    <w:rsid w:val="004D35BD"/>
    <w:rsid w:val="004D3EDC"/>
    <w:rsid w:val="004E029F"/>
    <w:rsid w:val="004E1764"/>
    <w:rsid w:val="004E1AD9"/>
    <w:rsid w:val="004E1BD1"/>
    <w:rsid w:val="004E1CC7"/>
    <w:rsid w:val="004E20C3"/>
    <w:rsid w:val="004E2635"/>
    <w:rsid w:val="004E2659"/>
    <w:rsid w:val="004E2A34"/>
    <w:rsid w:val="004E2AE3"/>
    <w:rsid w:val="004E3458"/>
    <w:rsid w:val="004E71A1"/>
    <w:rsid w:val="004E75BB"/>
    <w:rsid w:val="004E7F3D"/>
    <w:rsid w:val="004F2116"/>
    <w:rsid w:val="004F3475"/>
    <w:rsid w:val="004F414A"/>
    <w:rsid w:val="004F609C"/>
    <w:rsid w:val="004F6FAF"/>
    <w:rsid w:val="004F747E"/>
    <w:rsid w:val="004F74BC"/>
    <w:rsid w:val="0050337F"/>
    <w:rsid w:val="00503CC1"/>
    <w:rsid w:val="005054C0"/>
    <w:rsid w:val="00505592"/>
    <w:rsid w:val="00505743"/>
    <w:rsid w:val="00511071"/>
    <w:rsid w:val="00512237"/>
    <w:rsid w:val="005126E9"/>
    <w:rsid w:val="0051271D"/>
    <w:rsid w:val="00513517"/>
    <w:rsid w:val="005143D1"/>
    <w:rsid w:val="00514DB6"/>
    <w:rsid w:val="005162DD"/>
    <w:rsid w:val="005163A9"/>
    <w:rsid w:val="00517795"/>
    <w:rsid w:val="005200D7"/>
    <w:rsid w:val="005221C4"/>
    <w:rsid w:val="00522895"/>
    <w:rsid w:val="00524800"/>
    <w:rsid w:val="005262A3"/>
    <w:rsid w:val="00526888"/>
    <w:rsid w:val="00527082"/>
    <w:rsid w:val="00533586"/>
    <w:rsid w:val="00533D9C"/>
    <w:rsid w:val="00534139"/>
    <w:rsid w:val="00534E75"/>
    <w:rsid w:val="00535C6F"/>
    <w:rsid w:val="00541092"/>
    <w:rsid w:val="00544F9E"/>
    <w:rsid w:val="00545DDB"/>
    <w:rsid w:val="0055097E"/>
    <w:rsid w:val="00550C3C"/>
    <w:rsid w:val="005516DC"/>
    <w:rsid w:val="00552FD4"/>
    <w:rsid w:val="00554361"/>
    <w:rsid w:val="005546E0"/>
    <w:rsid w:val="00554842"/>
    <w:rsid w:val="00554F56"/>
    <w:rsid w:val="00555293"/>
    <w:rsid w:val="005566CE"/>
    <w:rsid w:val="005576B4"/>
    <w:rsid w:val="0055796C"/>
    <w:rsid w:val="005652A5"/>
    <w:rsid w:val="00566998"/>
    <w:rsid w:val="00566C9E"/>
    <w:rsid w:val="00567F00"/>
    <w:rsid w:val="0057095C"/>
    <w:rsid w:val="005709FB"/>
    <w:rsid w:val="00570A2A"/>
    <w:rsid w:val="005711F8"/>
    <w:rsid w:val="005732D3"/>
    <w:rsid w:val="00575036"/>
    <w:rsid w:val="0057548E"/>
    <w:rsid w:val="00575C97"/>
    <w:rsid w:val="0057617A"/>
    <w:rsid w:val="0057694F"/>
    <w:rsid w:val="005809E7"/>
    <w:rsid w:val="00580E6D"/>
    <w:rsid w:val="00583A95"/>
    <w:rsid w:val="00584820"/>
    <w:rsid w:val="005857CE"/>
    <w:rsid w:val="00586B8F"/>
    <w:rsid w:val="005873F3"/>
    <w:rsid w:val="00590794"/>
    <w:rsid w:val="0059309B"/>
    <w:rsid w:val="0059390B"/>
    <w:rsid w:val="00594438"/>
    <w:rsid w:val="00594633"/>
    <w:rsid w:val="00594C54"/>
    <w:rsid w:val="00595BFD"/>
    <w:rsid w:val="0059758C"/>
    <w:rsid w:val="005978CC"/>
    <w:rsid w:val="00597BDE"/>
    <w:rsid w:val="005A0882"/>
    <w:rsid w:val="005A0BBA"/>
    <w:rsid w:val="005A0E0B"/>
    <w:rsid w:val="005A16F5"/>
    <w:rsid w:val="005A21C1"/>
    <w:rsid w:val="005A381F"/>
    <w:rsid w:val="005A45F5"/>
    <w:rsid w:val="005A48D3"/>
    <w:rsid w:val="005A6ABF"/>
    <w:rsid w:val="005B0487"/>
    <w:rsid w:val="005B0B61"/>
    <w:rsid w:val="005B22C6"/>
    <w:rsid w:val="005B5149"/>
    <w:rsid w:val="005C005C"/>
    <w:rsid w:val="005C2278"/>
    <w:rsid w:val="005C2410"/>
    <w:rsid w:val="005C3C52"/>
    <w:rsid w:val="005C43E2"/>
    <w:rsid w:val="005C6298"/>
    <w:rsid w:val="005C693C"/>
    <w:rsid w:val="005C6FCE"/>
    <w:rsid w:val="005C7921"/>
    <w:rsid w:val="005D1DC0"/>
    <w:rsid w:val="005D2652"/>
    <w:rsid w:val="005D3745"/>
    <w:rsid w:val="005D3A4C"/>
    <w:rsid w:val="005D3D55"/>
    <w:rsid w:val="005D4D8E"/>
    <w:rsid w:val="005D4FB1"/>
    <w:rsid w:val="005D6496"/>
    <w:rsid w:val="005D7E9C"/>
    <w:rsid w:val="005E0031"/>
    <w:rsid w:val="005E0891"/>
    <w:rsid w:val="005E1D9D"/>
    <w:rsid w:val="005E240A"/>
    <w:rsid w:val="005E2BEF"/>
    <w:rsid w:val="005E2D6A"/>
    <w:rsid w:val="005E433C"/>
    <w:rsid w:val="005E4F5E"/>
    <w:rsid w:val="005E6FC1"/>
    <w:rsid w:val="005E7095"/>
    <w:rsid w:val="005E79C4"/>
    <w:rsid w:val="005F0514"/>
    <w:rsid w:val="005F0CA6"/>
    <w:rsid w:val="005F30A1"/>
    <w:rsid w:val="005F3D60"/>
    <w:rsid w:val="005F5F97"/>
    <w:rsid w:val="00604866"/>
    <w:rsid w:val="006059F6"/>
    <w:rsid w:val="0060654B"/>
    <w:rsid w:val="00606E9C"/>
    <w:rsid w:val="00607C91"/>
    <w:rsid w:val="00610E5B"/>
    <w:rsid w:val="006113DB"/>
    <w:rsid w:val="0061194F"/>
    <w:rsid w:val="006135C5"/>
    <w:rsid w:val="00613D32"/>
    <w:rsid w:val="006147EF"/>
    <w:rsid w:val="006161E5"/>
    <w:rsid w:val="00620E7D"/>
    <w:rsid w:val="006223FE"/>
    <w:rsid w:val="00622773"/>
    <w:rsid w:val="006227DF"/>
    <w:rsid w:val="0062302B"/>
    <w:rsid w:val="00623A2E"/>
    <w:rsid w:val="0062433E"/>
    <w:rsid w:val="0062540A"/>
    <w:rsid w:val="006257F7"/>
    <w:rsid w:val="006260D2"/>
    <w:rsid w:val="0062788E"/>
    <w:rsid w:val="0063001B"/>
    <w:rsid w:val="00631977"/>
    <w:rsid w:val="00633D6C"/>
    <w:rsid w:val="00634A61"/>
    <w:rsid w:val="00635FD4"/>
    <w:rsid w:val="0063753A"/>
    <w:rsid w:val="00637751"/>
    <w:rsid w:val="006405DA"/>
    <w:rsid w:val="00640A16"/>
    <w:rsid w:val="00641C0F"/>
    <w:rsid w:val="00641F39"/>
    <w:rsid w:val="00642DB0"/>
    <w:rsid w:val="00643963"/>
    <w:rsid w:val="00644B09"/>
    <w:rsid w:val="006470E8"/>
    <w:rsid w:val="00647295"/>
    <w:rsid w:val="00647800"/>
    <w:rsid w:val="00647B3D"/>
    <w:rsid w:val="00647E4F"/>
    <w:rsid w:val="0065084C"/>
    <w:rsid w:val="006514F0"/>
    <w:rsid w:val="0065164E"/>
    <w:rsid w:val="00651DA8"/>
    <w:rsid w:val="00652281"/>
    <w:rsid w:val="00653063"/>
    <w:rsid w:val="0065373B"/>
    <w:rsid w:val="00654A54"/>
    <w:rsid w:val="0066195B"/>
    <w:rsid w:val="00661ECD"/>
    <w:rsid w:val="006625A9"/>
    <w:rsid w:val="0066276E"/>
    <w:rsid w:val="00662D12"/>
    <w:rsid w:val="00670F52"/>
    <w:rsid w:val="00672087"/>
    <w:rsid w:val="00672518"/>
    <w:rsid w:val="00673490"/>
    <w:rsid w:val="006744CB"/>
    <w:rsid w:val="00677D2E"/>
    <w:rsid w:val="00677D79"/>
    <w:rsid w:val="006833CA"/>
    <w:rsid w:val="00683494"/>
    <w:rsid w:val="006852F8"/>
    <w:rsid w:val="00687F30"/>
    <w:rsid w:val="00690FB3"/>
    <w:rsid w:val="006925B4"/>
    <w:rsid w:val="00693AA7"/>
    <w:rsid w:val="006959BA"/>
    <w:rsid w:val="00697750"/>
    <w:rsid w:val="006A0C45"/>
    <w:rsid w:val="006A10FD"/>
    <w:rsid w:val="006A1377"/>
    <w:rsid w:val="006A243B"/>
    <w:rsid w:val="006A261A"/>
    <w:rsid w:val="006A2B33"/>
    <w:rsid w:val="006A2C79"/>
    <w:rsid w:val="006A2D7F"/>
    <w:rsid w:val="006A5220"/>
    <w:rsid w:val="006A5DC7"/>
    <w:rsid w:val="006A7898"/>
    <w:rsid w:val="006A7C54"/>
    <w:rsid w:val="006A7DC4"/>
    <w:rsid w:val="006B094D"/>
    <w:rsid w:val="006B2926"/>
    <w:rsid w:val="006B4208"/>
    <w:rsid w:val="006B462F"/>
    <w:rsid w:val="006B477D"/>
    <w:rsid w:val="006B610A"/>
    <w:rsid w:val="006B6295"/>
    <w:rsid w:val="006B6A37"/>
    <w:rsid w:val="006B6FFA"/>
    <w:rsid w:val="006B71DD"/>
    <w:rsid w:val="006C067B"/>
    <w:rsid w:val="006C2720"/>
    <w:rsid w:val="006C3B26"/>
    <w:rsid w:val="006C418F"/>
    <w:rsid w:val="006C5FF3"/>
    <w:rsid w:val="006D0432"/>
    <w:rsid w:val="006D0665"/>
    <w:rsid w:val="006D0D3C"/>
    <w:rsid w:val="006D1F95"/>
    <w:rsid w:val="006D2286"/>
    <w:rsid w:val="006D4423"/>
    <w:rsid w:val="006D5A59"/>
    <w:rsid w:val="006D5DC6"/>
    <w:rsid w:val="006E1794"/>
    <w:rsid w:val="006E1FDF"/>
    <w:rsid w:val="006E34AF"/>
    <w:rsid w:val="006E5614"/>
    <w:rsid w:val="006E79FB"/>
    <w:rsid w:val="006F0848"/>
    <w:rsid w:val="006F12C4"/>
    <w:rsid w:val="006F2266"/>
    <w:rsid w:val="006F2DBD"/>
    <w:rsid w:val="006F2E46"/>
    <w:rsid w:val="006F395E"/>
    <w:rsid w:val="006F3C39"/>
    <w:rsid w:val="006F4BF9"/>
    <w:rsid w:val="006F5161"/>
    <w:rsid w:val="006F5F2F"/>
    <w:rsid w:val="006F6224"/>
    <w:rsid w:val="00703753"/>
    <w:rsid w:val="00705091"/>
    <w:rsid w:val="007053CE"/>
    <w:rsid w:val="00705901"/>
    <w:rsid w:val="00706382"/>
    <w:rsid w:val="00706EAE"/>
    <w:rsid w:val="0071011F"/>
    <w:rsid w:val="00712536"/>
    <w:rsid w:val="00713172"/>
    <w:rsid w:val="007139B0"/>
    <w:rsid w:val="00714180"/>
    <w:rsid w:val="007141D4"/>
    <w:rsid w:val="00715DFA"/>
    <w:rsid w:val="00720C54"/>
    <w:rsid w:val="00720D36"/>
    <w:rsid w:val="00720F4B"/>
    <w:rsid w:val="007219D0"/>
    <w:rsid w:val="00722E55"/>
    <w:rsid w:val="0072395C"/>
    <w:rsid w:val="007248D4"/>
    <w:rsid w:val="00724981"/>
    <w:rsid w:val="00727BB1"/>
    <w:rsid w:val="00727C58"/>
    <w:rsid w:val="007304AA"/>
    <w:rsid w:val="00730BE9"/>
    <w:rsid w:val="00731382"/>
    <w:rsid w:val="0073276A"/>
    <w:rsid w:val="00733D85"/>
    <w:rsid w:val="007353F0"/>
    <w:rsid w:val="00735DB9"/>
    <w:rsid w:val="0073609F"/>
    <w:rsid w:val="00736BC1"/>
    <w:rsid w:val="00736DDD"/>
    <w:rsid w:val="00737E44"/>
    <w:rsid w:val="00740651"/>
    <w:rsid w:val="00741041"/>
    <w:rsid w:val="0074134C"/>
    <w:rsid w:val="0074166F"/>
    <w:rsid w:val="00741D25"/>
    <w:rsid w:val="00742326"/>
    <w:rsid w:val="00742A52"/>
    <w:rsid w:val="00743C96"/>
    <w:rsid w:val="00744BF7"/>
    <w:rsid w:val="00745528"/>
    <w:rsid w:val="0074554A"/>
    <w:rsid w:val="00745C9C"/>
    <w:rsid w:val="007465F5"/>
    <w:rsid w:val="0075097E"/>
    <w:rsid w:val="00752528"/>
    <w:rsid w:val="0075278D"/>
    <w:rsid w:val="007540CE"/>
    <w:rsid w:val="0075571E"/>
    <w:rsid w:val="00756B0F"/>
    <w:rsid w:val="00756C5F"/>
    <w:rsid w:val="00756DF1"/>
    <w:rsid w:val="00761BFC"/>
    <w:rsid w:val="007626EE"/>
    <w:rsid w:val="0076292D"/>
    <w:rsid w:val="007629F3"/>
    <w:rsid w:val="0076353F"/>
    <w:rsid w:val="007638E6"/>
    <w:rsid w:val="00763F27"/>
    <w:rsid w:val="0076606C"/>
    <w:rsid w:val="00766E5F"/>
    <w:rsid w:val="0076787F"/>
    <w:rsid w:val="007704FA"/>
    <w:rsid w:val="00774F8F"/>
    <w:rsid w:val="0077550E"/>
    <w:rsid w:val="007819D7"/>
    <w:rsid w:val="007826AC"/>
    <w:rsid w:val="0078276B"/>
    <w:rsid w:val="00782E6B"/>
    <w:rsid w:val="00783CE1"/>
    <w:rsid w:val="00786F74"/>
    <w:rsid w:val="0078732D"/>
    <w:rsid w:val="00787C99"/>
    <w:rsid w:val="0079028A"/>
    <w:rsid w:val="007903DF"/>
    <w:rsid w:val="007904DC"/>
    <w:rsid w:val="00792B36"/>
    <w:rsid w:val="00793B6C"/>
    <w:rsid w:val="00794342"/>
    <w:rsid w:val="00794B0B"/>
    <w:rsid w:val="007953E6"/>
    <w:rsid w:val="00795FB8"/>
    <w:rsid w:val="00796C60"/>
    <w:rsid w:val="007A01F6"/>
    <w:rsid w:val="007A081C"/>
    <w:rsid w:val="007A4A14"/>
    <w:rsid w:val="007A5766"/>
    <w:rsid w:val="007A698B"/>
    <w:rsid w:val="007B2B6A"/>
    <w:rsid w:val="007B3A8E"/>
    <w:rsid w:val="007B5F0E"/>
    <w:rsid w:val="007B7E39"/>
    <w:rsid w:val="007C1413"/>
    <w:rsid w:val="007C1909"/>
    <w:rsid w:val="007C35EB"/>
    <w:rsid w:val="007C62A7"/>
    <w:rsid w:val="007C708D"/>
    <w:rsid w:val="007C7B32"/>
    <w:rsid w:val="007C7C70"/>
    <w:rsid w:val="007D06F6"/>
    <w:rsid w:val="007D414B"/>
    <w:rsid w:val="007D4832"/>
    <w:rsid w:val="007D48B7"/>
    <w:rsid w:val="007D5820"/>
    <w:rsid w:val="007D68DB"/>
    <w:rsid w:val="007E1DBC"/>
    <w:rsid w:val="007E38CA"/>
    <w:rsid w:val="007E391C"/>
    <w:rsid w:val="007E59D1"/>
    <w:rsid w:val="007E6B0D"/>
    <w:rsid w:val="007E75A2"/>
    <w:rsid w:val="007F4FB1"/>
    <w:rsid w:val="007F4FD4"/>
    <w:rsid w:val="007F5C80"/>
    <w:rsid w:val="007F6F0C"/>
    <w:rsid w:val="007F7D33"/>
    <w:rsid w:val="008031A5"/>
    <w:rsid w:val="00803283"/>
    <w:rsid w:val="00805A8C"/>
    <w:rsid w:val="0080679D"/>
    <w:rsid w:val="00806B8D"/>
    <w:rsid w:val="0080731E"/>
    <w:rsid w:val="008076EE"/>
    <w:rsid w:val="00807B0A"/>
    <w:rsid w:val="00807F32"/>
    <w:rsid w:val="00810BAF"/>
    <w:rsid w:val="008145DB"/>
    <w:rsid w:val="00814AE2"/>
    <w:rsid w:val="008161C4"/>
    <w:rsid w:val="0081690C"/>
    <w:rsid w:val="00817039"/>
    <w:rsid w:val="008179E6"/>
    <w:rsid w:val="00817E97"/>
    <w:rsid w:val="008200AF"/>
    <w:rsid w:val="008210CC"/>
    <w:rsid w:val="00821C1A"/>
    <w:rsid w:val="00821F2F"/>
    <w:rsid w:val="00822AC0"/>
    <w:rsid w:val="00822BAA"/>
    <w:rsid w:val="00824D6B"/>
    <w:rsid w:val="00824EC4"/>
    <w:rsid w:val="00827B39"/>
    <w:rsid w:val="00831C81"/>
    <w:rsid w:val="00831F5F"/>
    <w:rsid w:val="00831F71"/>
    <w:rsid w:val="00833990"/>
    <w:rsid w:val="0083577A"/>
    <w:rsid w:val="008358DF"/>
    <w:rsid w:val="00835FF4"/>
    <w:rsid w:val="00836189"/>
    <w:rsid w:val="0083625E"/>
    <w:rsid w:val="008403BE"/>
    <w:rsid w:val="008416FF"/>
    <w:rsid w:val="008419D0"/>
    <w:rsid w:val="00843181"/>
    <w:rsid w:val="0084394E"/>
    <w:rsid w:val="00844D82"/>
    <w:rsid w:val="008459DC"/>
    <w:rsid w:val="008505DF"/>
    <w:rsid w:val="00852105"/>
    <w:rsid w:val="008524B6"/>
    <w:rsid w:val="0085285F"/>
    <w:rsid w:val="0085372C"/>
    <w:rsid w:val="00855DCC"/>
    <w:rsid w:val="00857432"/>
    <w:rsid w:val="008616D9"/>
    <w:rsid w:val="00861A07"/>
    <w:rsid w:val="00862CE5"/>
    <w:rsid w:val="0086635C"/>
    <w:rsid w:val="008678DE"/>
    <w:rsid w:val="00870369"/>
    <w:rsid w:val="008707AA"/>
    <w:rsid w:val="00871D74"/>
    <w:rsid w:val="00873568"/>
    <w:rsid w:val="00875712"/>
    <w:rsid w:val="00876A59"/>
    <w:rsid w:val="008771F6"/>
    <w:rsid w:val="00877B89"/>
    <w:rsid w:val="00877D3B"/>
    <w:rsid w:val="008806CD"/>
    <w:rsid w:val="00881E27"/>
    <w:rsid w:val="008824CD"/>
    <w:rsid w:val="00882847"/>
    <w:rsid w:val="00882EAB"/>
    <w:rsid w:val="008831BC"/>
    <w:rsid w:val="00883249"/>
    <w:rsid w:val="00883511"/>
    <w:rsid w:val="008835B3"/>
    <w:rsid w:val="00885787"/>
    <w:rsid w:val="00885DA2"/>
    <w:rsid w:val="0088754E"/>
    <w:rsid w:val="0089242F"/>
    <w:rsid w:val="00894416"/>
    <w:rsid w:val="00895CDD"/>
    <w:rsid w:val="00896FE8"/>
    <w:rsid w:val="008970AD"/>
    <w:rsid w:val="00897B2C"/>
    <w:rsid w:val="00897BD0"/>
    <w:rsid w:val="008A190E"/>
    <w:rsid w:val="008A1C74"/>
    <w:rsid w:val="008A3419"/>
    <w:rsid w:val="008A40AB"/>
    <w:rsid w:val="008A774A"/>
    <w:rsid w:val="008B05CE"/>
    <w:rsid w:val="008B1C18"/>
    <w:rsid w:val="008B3D31"/>
    <w:rsid w:val="008B55A8"/>
    <w:rsid w:val="008B5FEF"/>
    <w:rsid w:val="008B7FC8"/>
    <w:rsid w:val="008C0D81"/>
    <w:rsid w:val="008C0FF1"/>
    <w:rsid w:val="008C10BA"/>
    <w:rsid w:val="008C1822"/>
    <w:rsid w:val="008C1BFC"/>
    <w:rsid w:val="008C35E5"/>
    <w:rsid w:val="008C3CE1"/>
    <w:rsid w:val="008C3FE9"/>
    <w:rsid w:val="008C4D3E"/>
    <w:rsid w:val="008C5C87"/>
    <w:rsid w:val="008C7E72"/>
    <w:rsid w:val="008D0C0E"/>
    <w:rsid w:val="008D2C9E"/>
    <w:rsid w:val="008D36C0"/>
    <w:rsid w:val="008D4E5C"/>
    <w:rsid w:val="008D51E5"/>
    <w:rsid w:val="008D5993"/>
    <w:rsid w:val="008D69AC"/>
    <w:rsid w:val="008E0EB3"/>
    <w:rsid w:val="008E12E8"/>
    <w:rsid w:val="008E192C"/>
    <w:rsid w:val="008E1C5A"/>
    <w:rsid w:val="008E2ABB"/>
    <w:rsid w:val="008E2ABC"/>
    <w:rsid w:val="008E4C16"/>
    <w:rsid w:val="008E7C43"/>
    <w:rsid w:val="008F14F8"/>
    <w:rsid w:val="008F2118"/>
    <w:rsid w:val="008F2C02"/>
    <w:rsid w:val="008F3336"/>
    <w:rsid w:val="008F3800"/>
    <w:rsid w:val="008F3DFA"/>
    <w:rsid w:val="008F5A6D"/>
    <w:rsid w:val="008F5BA9"/>
    <w:rsid w:val="008F6151"/>
    <w:rsid w:val="008F6AB6"/>
    <w:rsid w:val="008F7968"/>
    <w:rsid w:val="00902D10"/>
    <w:rsid w:val="00904765"/>
    <w:rsid w:val="00904B86"/>
    <w:rsid w:val="0090584F"/>
    <w:rsid w:val="009075EB"/>
    <w:rsid w:val="00907671"/>
    <w:rsid w:val="009109BF"/>
    <w:rsid w:val="0091155A"/>
    <w:rsid w:val="00912615"/>
    <w:rsid w:val="00913345"/>
    <w:rsid w:val="00921111"/>
    <w:rsid w:val="00925EBE"/>
    <w:rsid w:val="00926297"/>
    <w:rsid w:val="0093169E"/>
    <w:rsid w:val="009348C4"/>
    <w:rsid w:val="00935ED1"/>
    <w:rsid w:val="00936440"/>
    <w:rsid w:val="0094189D"/>
    <w:rsid w:val="00942AF8"/>
    <w:rsid w:val="00943BD4"/>
    <w:rsid w:val="009443BA"/>
    <w:rsid w:val="009451DD"/>
    <w:rsid w:val="0094777B"/>
    <w:rsid w:val="009521C1"/>
    <w:rsid w:val="0095350A"/>
    <w:rsid w:val="009550C4"/>
    <w:rsid w:val="009559F6"/>
    <w:rsid w:val="00957AF4"/>
    <w:rsid w:val="00957B4E"/>
    <w:rsid w:val="00960686"/>
    <w:rsid w:val="009612E3"/>
    <w:rsid w:val="00962289"/>
    <w:rsid w:val="009638E1"/>
    <w:rsid w:val="00964834"/>
    <w:rsid w:val="00967B80"/>
    <w:rsid w:val="00967BCC"/>
    <w:rsid w:val="0097242A"/>
    <w:rsid w:val="00974D10"/>
    <w:rsid w:val="0097513F"/>
    <w:rsid w:val="0097575A"/>
    <w:rsid w:val="009757E2"/>
    <w:rsid w:val="00977842"/>
    <w:rsid w:val="00982B7F"/>
    <w:rsid w:val="00983B89"/>
    <w:rsid w:val="00983E26"/>
    <w:rsid w:val="0098672E"/>
    <w:rsid w:val="00990BC8"/>
    <w:rsid w:val="00991562"/>
    <w:rsid w:val="00991B10"/>
    <w:rsid w:val="00992969"/>
    <w:rsid w:val="009933C3"/>
    <w:rsid w:val="00994795"/>
    <w:rsid w:val="0099499B"/>
    <w:rsid w:val="0099507C"/>
    <w:rsid w:val="00995204"/>
    <w:rsid w:val="009965D7"/>
    <w:rsid w:val="009A2540"/>
    <w:rsid w:val="009A50CB"/>
    <w:rsid w:val="009A732F"/>
    <w:rsid w:val="009B031B"/>
    <w:rsid w:val="009B061A"/>
    <w:rsid w:val="009B3225"/>
    <w:rsid w:val="009B4976"/>
    <w:rsid w:val="009B5FFB"/>
    <w:rsid w:val="009B631D"/>
    <w:rsid w:val="009B6E01"/>
    <w:rsid w:val="009B723F"/>
    <w:rsid w:val="009B79AA"/>
    <w:rsid w:val="009C0ACF"/>
    <w:rsid w:val="009C2432"/>
    <w:rsid w:val="009C308E"/>
    <w:rsid w:val="009C30D3"/>
    <w:rsid w:val="009C330A"/>
    <w:rsid w:val="009C4B03"/>
    <w:rsid w:val="009C4C23"/>
    <w:rsid w:val="009C53AF"/>
    <w:rsid w:val="009C6909"/>
    <w:rsid w:val="009C6D52"/>
    <w:rsid w:val="009D0559"/>
    <w:rsid w:val="009D3F00"/>
    <w:rsid w:val="009D576E"/>
    <w:rsid w:val="009D6935"/>
    <w:rsid w:val="009E37CE"/>
    <w:rsid w:val="009E4286"/>
    <w:rsid w:val="009E43AE"/>
    <w:rsid w:val="009E4589"/>
    <w:rsid w:val="009E5FF6"/>
    <w:rsid w:val="009E6245"/>
    <w:rsid w:val="009E68CF"/>
    <w:rsid w:val="009E764E"/>
    <w:rsid w:val="009E7D4D"/>
    <w:rsid w:val="009F196E"/>
    <w:rsid w:val="009F3E0D"/>
    <w:rsid w:val="009F5278"/>
    <w:rsid w:val="009F5C32"/>
    <w:rsid w:val="009F6689"/>
    <w:rsid w:val="009F67E8"/>
    <w:rsid w:val="00A00106"/>
    <w:rsid w:val="00A0016F"/>
    <w:rsid w:val="00A005B6"/>
    <w:rsid w:val="00A007BE"/>
    <w:rsid w:val="00A01862"/>
    <w:rsid w:val="00A06418"/>
    <w:rsid w:val="00A10D06"/>
    <w:rsid w:val="00A11D5E"/>
    <w:rsid w:val="00A12408"/>
    <w:rsid w:val="00A125EF"/>
    <w:rsid w:val="00A12679"/>
    <w:rsid w:val="00A13785"/>
    <w:rsid w:val="00A150C1"/>
    <w:rsid w:val="00A155EB"/>
    <w:rsid w:val="00A16034"/>
    <w:rsid w:val="00A1650A"/>
    <w:rsid w:val="00A16C28"/>
    <w:rsid w:val="00A22E69"/>
    <w:rsid w:val="00A23801"/>
    <w:rsid w:val="00A24C88"/>
    <w:rsid w:val="00A2668C"/>
    <w:rsid w:val="00A26B2B"/>
    <w:rsid w:val="00A3061F"/>
    <w:rsid w:val="00A31248"/>
    <w:rsid w:val="00A319E2"/>
    <w:rsid w:val="00A32D50"/>
    <w:rsid w:val="00A32DBE"/>
    <w:rsid w:val="00A3307F"/>
    <w:rsid w:val="00A33516"/>
    <w:rsid w:val="00A3415D"/>
    <w:rsid w:val="00A348D0"/>
    <w:rsid w:val="00A35EDF"/>
    <w:rsid w:val="00A36C4F"/>
    <w:rsid w:val="00A37743"/>
    <w:rsid w:val="00A37AA2"/>
    <w:rsid w:val="00A40180"/>
    <w:rsid w:val="00A404F0"/>
    <w:rsid w:val="00A42250"/>
    <w:rsid w:val="00A42C1D"/>
    <w:rsid w:val="00A43E80"/>
    <w:rsid w:val="00A44138"/>
    <w:rsid w:val="00A45A31"/>
    <w:rsid w:val="00A45C4A"/>
    <w:rsid w:val="00A46AF7"/>
    <w:rsid w:val="00A51C27"/>
    <w:rsid w:val="00A5404F"/>
    <w:rsid w:val="00A55051"/>
    <w:rsid w:val="00A550BA"/>
    <w:rsid w:val="00A56915"/>
    <w:rsid w:val="00A5771E"/>
    <w:rsid w:val="00A615BD"/>
    <w:rsid w:val="00A61869"/>
    <w:rsid w:val="00A61BC2"/>
    <w:rsid w:val="00A63813"/>
    <w:rsid w:val="00A6408D"/>
    <w:rsid w:val="00A71514"/>
    <w:rsid w:val="00A717F2"/>
    <w:rsid w:val="00A71CFB"/>
    <w:rsid w:val="00A7246F"/>
    <w:rsid w:val="00A7267A"/>
    <w:rsid w:val="00A72C5E"/>
    <w:rsid w:val="00A754FB"/>
    <w:rsid w:val="00A76E98"/>
    <w:rsid w:val="00A77A06"/>
    <w:rsid w:val="00A802F8"/>
    <w:rsid w:val="00A806CE"/>
    <w:rsid w:val="00A80EC1"/>
    <w:rsid w:val="00A811B7"/>
    <w:rsid w:val="00A81BC3"/>
    <w:rsid w:val="00A823D2"/>
    <w:rsid w:val="00A82E21"/>
    <w:rsid w:val="00A82E71"/>
    <w:rsid w:val="00A831EC"/>
    <w:rsid w:val="00A83BAF"/>
    <w:rsid w:val="00A87CCC"/>
    <w:rsid w:val="00A87E0F"/>
    <w:rsid w:val="00A90C45"/>
    <w:rsid w:val="00A90D71"/>
    <w:rsid w:val="00A9233B"/>
    <w:rsid w:val="00A928E7"/>
    <w:rsid w:val="00A942C5"/>
    <w:rsid w:val="00AA07BF"/>
    <w:rsid w:val="00AA4F60"/>
    <w:rsid w:val="00AA75C4"/>
    <w:rsid w:val="00AB2E24"/>
    <w:rsid w:val="00AB43D5"/>
    <w:rsid w:val="00AB5565"/>
    <w:rsid w:val="00AB5617"/>
    <w:rsid w:val="00AB6227"/>
    <w:rsid w:val="00AC002F"/>
    <w:rsid w:val="00AC356C"/>
    <w:rsid w:val="00AC4AB2"/>
    <w:rsid w:val="00AC7A2C"/>
    <w:rsid w:val="00AD224D"/>
    <w:rsid w:val="00AD6535"/>
    <w:rsid w:val="00AD655D"/>
    <w:rsid w:val="00AD6AC3"/>
    <w:rsid w:val="00AD6D08"/>
    <w:rsid w:val="00AD790C"/>
    <w:rsid w:val="00AE136C"/>
    <w:rsid w:val="00AE1769"/>
    <w:rsid w:val="00AE2038"/>
    <w:rsid w:val="00AE38AA"/>
    <w:rsid w:val="00AF2678"/>
    <w:rsid w:val="00AF3482"/>
    <w:rsid w:val="00AF3AA3"/>
    <w:rsid w:val="00AF3BB4"/>
    <w:rsid w:val="00AF5638"/>
    <w:rsid w:val="00AF5FB5"/>
    <w:rsid w:val="00AF6CAF"/>
    <w:rsid w:val="00B00134"/>
    <w:rsid w:val="00B0096B"/>
    <w:rsid w:val="00B00B74"/>
    <w:rsid w:val="00B01FE6"/>
    <w:rsid w:val="00B049DF"/>
    <w:rsid w:val="00B05417"/>
    <w:rsid w:val="00B05CE4"/>
    <w:rsid w:val="00B06415"/>
    <w:rsid w:val="00B07E5B"/>
    <w:rsid w:val="00B07FBA"/>
    <w:rsid w:val="00B10BCE"/>
    <w:rsid w:val="00B14C72"/>
    <w:rsid w:val="00B1606E"/>
    <w:rsid w:val="00B165A4"/>
    <w:rsid w:val="00B1676F"/>
    <w:rsid w:val="00B16C55"/>
    <w:rsid w:val="00B17232"/>
    <w:rsid w:val="00B17728"/>
    <w:rsid w:val="00B23FC8"/>
    <w:rsid w:val="00B24379"/>
    <w:rsid w:val="00B2444B"/>
    <w:rsid w:val="00B253A3"/>
    <w:rsid w:val="00B2602D"/>
    <w:rsid w:val="00B32AE2"/>
    <w:rsid w:val="00B32F21"/>
    <w:rsid w:val="00B33494"/>
    <w:rsid w:val="00B334DD"/>
    <w:rsid w:val="00B33EB3"/>
    <w:rsid w:val="00B34059"/>
    <w:rsid w:val="00B340A3"/>
    <w:rsid w:val="00B340E6"/>
    <w:rsid w:val="00B3471E"/>
    <w:rsid w:val="00B34B82"/>
    <w:rsid w:val="00B34E8D"/>
    <w:rsid w:val="00B34EA2"/>
    <w:rsid w:val="00B36C0D"/>
    <w:rsid w:val="00B370DB"/>
    <w:rsid w:val="00B3761D"/>
    <w:rsid w:val="00B37957"/>
    <w:rsid w:val="00B404C3"/>
    <w:rsid w:val="00B4069D"/>
    <w:rsid w:val="00B42A22"/>
    <w:rsid w:val="00B42E9E"/>
    <w:rsid w:val="00B44E26"/>
    <w:rsid w:val="00B45C11"/>
    <w:rsid w:val="00B473BF"/>
    <w:rsid w:val="00B50C95"/>
    <w:rsid w:val="00B513C9"/>
    <w:rsid w:val="00B514FF"/>
    <w:rsid w:val="00B51C0C"/>
    <w:rsid w:val="00B52CEC"/>
    <w:rsid w:val="00B5303D"/>
    <w:rsid w:val="00B5340F"/>
    <w:rsid w:val="00B53B4F"/>
    <w:rsid w:val="00B5613D"/>
    <w:rsid w:val="00B57ECE"/>
    <w:rsid w:val="00B609BD"/>
    <w:rsid w:val="00B612C5"/>
    <w:rsid w:val="00B614E9"/>
    <w:rsid w:val="00B62D13"/>
    <w:rsid w:val="00B63B4C"/>
    <w:rsid w:val="00B63FCC"/>
    <w:rsid w:val="00B656DE"/>
    <w:rsid w:val="00B665B9"/>
    <w:rsid w:val="00B707AD"/>
    <w:rsid w:val="00B7164F"/>
    <w:rsid w:val="00B72F2B"/>
    <w:rsid w:val="00B7572F"/>
    <w:rsid w:val="00B7652D"/>
    <w:rsid w:val="00B775A9"/>
    <w:rsid w:val="00B77D43"/>
    <w:rsid w:val="00B800AE"/>
    <w:rsid w:val="00B815B0"/>
    <w:rsid w:val="00B8197E"/>
    <w:rsid w:val="00B81E3F"/>
    <w:rsid w:val="00B956D1"/>
    <w:rsid w:val="00B95B00"/>
    <w:rsid w:val="00B95BDD"/>
    <w:rsid w:val="00B9612D"/>
    <w:rsid w:val="00B9625E"/>
    <w:rsid w:val="00B97399"/>
    <w:rsid w:val="00BA1CD5"/>
    <w:rsid w:val="00BA40DE"/>
    <w:rsid w:val="00BA5AD8"/>
    <w:rsid w:val="00BA74FC"/>
    <w:rsid w:val="00BB0BA6"/>
    <w:rsid w:val="00BB1944"/>
    <w:rsid w:val="00BB1C15"/>
    <w:rsid w:val="00BB1D4C"/>
    <w:rsid w:val="00BB2CD3"/>
    <w:rsid w:val="00BB3F22"/>
    <w:rsid w:val="00BB5283"/>
    <w:rsid w:val="00BB5598"/>
    <w:rsid w:val="00BB56A5"/>
    <w:rsid w:val="00BB580C"/>
    <w:rsid w:val="00BC0FA1"/>
    <w:rsid w:val="00BC36F5"/>
    <w:rsid w:val="00BC379E"/>
    <w:rsid w:val="00BC5C22"/>
    <w:rsid w:val="00BD051C"/>
    <w:rsid w:val="00BD0DE9"/>
    <w:rsid w:val="00BD1E7D"/>
    <w:rsid w:val="00BD2728"/>
    <w:rsid w:val="00BD3A72"/>
    <w:rsid w:val="00BD47C4"/>
    <w:rsid w:val="00BD4AC0"/>
    <w:rsid w:val="00BD6CB9"/>
    <w:rsid w:val="00BD6FA4"/>
    <w:rsid w:val="00BD7376"/>
    <w:rsid w:val="00BD792F"/>
    <w:rsid w:val="00BE0848"/>
    <w:rsid w:val="00BE0BE3"/>
    <w:rsid w:val="00BE2970"/>
    <w:rsid w:val="00BE2CA5"/>
    <w:rsid w:val="00BE3F66"/>
    <w:rsid w:val="00BE508C"/>
    <w:rsid w:val="00BE5627"/>
    <w:rsid w:val="00BE689E"/>
    <w:rsid w:val="00BE6DF4"/>
    <w:rsid w:val="00BE7986"/>
    <w:rsid w:val="00BF04CA"/>
    <w:rsid w:val="00BF0CA0"/>
    <w:rsid w:val="00BF11ED"/>
    <w:rsid w:val="00BF5C03"/>
    <w:rsid w:val="00BF77C8"/>
    <w:rsid w:val="00BF7F28"/>
    <w:rsid w:val="00C0185E"/>
    <w:rsid w:val="00C01FEF"/>
    <w:rsid w:val="00C02614"/>
    <w:rsid w:val="00C0300E"/>
    <w:rsid w:val="00C03694"/>
    <w:rsid w:val="00C038AD"/>
    <w:rsid w:val="00C058E1"/>
    <w:rsid w:val="00C05E7E"/>
    <w:rsid w:val="00C06578"/>
    <w:rsid w:val="00C072F1"/>
    <w:rsid w:val="00C07CCF"/>
    <w:rsid w:val="00C10059"/>
    <w:rsid w:val="00C10431"/>
    <w:rsid w:val="00C10FF3"/>
    <w:rsid w:val="00C17435"/>
    <w:rsid w:val="00C1756F"/>
    <w:rsid w:val="00C21934"/>
    <w:rsid w:val="00C2468B"/>
    <w:rsid w:val="00C25A2E"/>
    <w:rsid w:val="00C266B5"/>
    <w:rsid w:val="00C2783E"/>
    <w:rsid w:val="00C30E37"/>
    <w:rsid w:val="00C312C0"/>
    <w:rsid w:val="00C31D0A"/>
    <w:rsid w:val="00C34839"/>
    <w:rsid w:val="00C349FD"/>
    <w:rsid w:val="00C35968"/>
    <w:rsid w:val="00C4309B"/>
    <w:rsid w:val="00C443AA"/>
    <w:rsid w:val="00C517FF"/>
    <w:rsid w:val="00C52E3A"/>
    <w:rsid w:val="00C530FC"/>
    <w:rsid w:val="00C53C5F"/>
    <w:rsid w:val="00C53D8B"/>
    <w:rsid w:val="00C56AE4"/>
    <w:rsid w:val="00C60A26"/>
    <w:rsid w:val="00C636A3"/>
    <w:rsid w:val="00C653BC"/>
    <w:rsid w:val="00C702F2"/>
    <w:rsid w:val="00C71B26"/>
    <w:rsid w:val="00C72515"/>
    <w:rsid w:val="00C72736"/>
    <w:rsid w:val="00C73415"/>
    <w:rsid w:val="00C73443"/>
    <w:rsid w:val="00C7463A"/>
    <w:rsid w:val="00C755B2"/>
    <w:rsid w:val="00C75B0B"/>
    <w:rsid w:val="00C760B7"/>
    <w:rsid w:val="00C76FC1"/>
    <w:rsid w:val="00C775C0"/>
    <w:rsid w:val="00C81CAE"/>
    <w:rsid w:val="00C84996"/>
    <w:rsid w:val="00C84CC5"/>
    <w:rsid w:val="00C852D6"/>
    <w:rsid w:val="00C854C4"/>
    <w:rsid w:val="00C85F76"/>
    <w:rsid w:val="00C862DB"/>
    <w:rsid w:val="00C8794D"/>
    <w:rsid w:val="00C907D3"/>
    <w:rsid w:val="00C926D8"/>
    <w:rsid w:val="00C9534F"/>
    <w:rsid w:val="00C96F8C"/>
    <w:rsid w:val="00C97F42"/>
    <w:rsid w:val="00CA027F"/>
    <w:rsid w:val="00CA0797"/>
    <w:rsid w:val="00CA0CEC"/>
    <w:rsid w:val="00CA0DD6"/>
    <w:rsid w:val="00CA18D7"/>
    <w:rsid w:val="00CA33FA"/>
    <w:rsid w:val="00CA4366"/>
    <w:rsid w:val="00CA4B67"/>
    <w:rsid w:val="00CA4C87"/>
    <w:rsid w:val="00CA52A8"/>
    <w:rsid w:val="00CA58F1"/>
    <w:rsid w:val="00CA6124"/>
    <w:rsid w:val="00CA6A16"/>
    <w:rsid w:val="00CB0135"/>
    <w:rsid w:val="00CB3A39"/>
    <w:rsid w:val="00CB4B26"/>
    <w:rsid w:val="00CB5249"/>
    <w:rsid w:val="00CB6737"/>
    <w:rsid w:val="00CC02EC"/>
    <w:rsid w:val="00CC05DA"/>
    <w:rsid w:val="00CC0A18"/>
    <w:rsid w:val="00CC1153"/>
    <w:rsid w:val="00CC1B14"/>
    <w:rsid w:val="00CC3BA4"/>
    <w:rsid w:val="00CC5408"/>
    <w:rsid w:val="00CC638A"/>
    <w:rsid w:val="00CC7C55"/>
    <w:rsid w:val="00CC7DAF"/>
    <w:rsid w:val="00CD2BEE"/>
    <w:rsid w:val="00CD36BD"/>
    <w:rsid w:val="00CD6C33"/>
    <w:rsid w:val="00CD7235"/>
    <w:rsid w:val="00CE0A39"/>
    <w:rsid w:val="00CE2AA1"/>
    <w:rsid w:val="00CE3196"/>
    <w:rsid w:val="00CE3CFC"/>
    <w:rsid w:val="00CE64C1"/>
    <w:rsid w:val="00CF3A39"/>
    <w:rsid w:val="00CF3D00"/>
    <w:rsid w:val="00CF4721"/>
    <w:rsid w:val="00CF4C18"/>
    <w:rsid w:val="00CF661F"/>
    <w:rsid w:val="00CF70DA"/>
    <w:rsid w:val="00D04127"/>
    <w:rsid w:val="00D04593"/>
    <w:rsid w:val="00D05424"/>
    <w:rsid w:val="00D06F51"/>
    <w:rsid w:val="00D070FD"/>
    <w:rsid w:val="00D104F7"/>
    <w:rsid w:val="00D10FD9"/>
    <w:rsid w:val="00D125CC"/>
    <w:rsid w:val="00D12E69"/>
    <w:rsid w:val="00D156E4"/>
    <w:rsid w:val="00D1604A"/>
    <w:rsid w:val="00D16996"/>
    <w:rsid w:val="00D17764"/>
    <w:rsid w:val="00D22548"/>
    <w:rsid w:val="00D23817"/>
    <w:rsid w:val="00D25FCB"/>
    <w:rsid w:val="00D31D44"/>
    <w:rsid w:val="00D326E3"/>
    <w:rsid w:val="00D35300"/>
    <w:rsid w:val="00D35433"/>
    <w:rsid w:val="00D37111"/>
    <w:rsid w:val="00D37793"/>
    <w:rsid w:val="00D40053"/>
    <w:rsid w:val="00D405C6"/>
    <w:rsid w:val="00D41043"/>
    <w:rsid w:val="00D41197"/>
    <w:rsid w:val="00D41900"/>
    <w:rsid w:val="00D41FD6"/>
    <w:rsid w:val="00D42829"/>
    <w:rsid w:val="00D42A13"/>
    <w:rsid w:val="00D43631"/>
    <w:rsid w:val="00D451B2"/>
    <w:rsid w:val="00D46B4E"/>
    <w:rsid w:val="00D516B3"/>
    <w:rsid w:val="00D518D1"/>
    <w:rsid w:val="00D53BC4"/>
    <w:rsid w:val="00D53E99"/>
    <w:rsid w:val="00D54587"/>
    <w:rsid w:val="00D54CF2"/>
    <w:rsid w:val="00D55290"/>
    <w:rsid w:val="00D57248"/>
    <w:rsid w:val="00D61BA8"/>
    <w:rsid w:val="00D624FC"/>
    <w:rsid w:val="00D629FF"/>
    <w:rsid w:val="00D646AB"/>
    <w:rsid w:val="00D6526C"/>
    <w:rsid w:val="00D66523"/>
    <w:rsid w:val="00D66B8E"/>
    <w:rsid w:val="00D67BA8"/>
    <w:rsid w:val="00D7177B"/>
    <w:rsid w:val="00D750B7"/>
    <w:rsid w:val="00D75329"/>
    <w:rsid w:val="00D77FCB"/>
    <w:rsid w:val="00D80F4A"/>
    <w:rsid w:val="00D8165A"/>
    <w:rsid w:val="00D83EEB"/>
    <w:rsid w:val="00D84A77"/>
    <w:rsid w:val="00D84DA4"/>
    <w:rsid w:val="00D85CA1"/>
    <w:rsid w:val="00D909B0"/>
    <w:rsid w:val="00D90B80"/>
    <w:rsid w:val="00D9457F"/>
    <w:rsid w:val="00D94F8C"/>
    <w:rsid w:val="00D9527A"/>
    <w:rsid w:val="00D95E94"/>
    <w:rsid w:val="00D95EC9"/>
    <w:rsid w:val="00D969C4"/>
    <w:rsid w:val="00D96BC9"/>
    <w:rsid w:val="00D975DA"/>
    <w:rsid w:val="00D975F1"/>
    <w:rsid w:val="00D97803"/>
    <w:rsid w:val="00DA0ABE"/>
    <w:rsid w:val="00DA6D1F"/>
    <w:rsid w:val="00DB156D"/>
    <w:rsid w:val="00DB1D97"/>
    <w:rsid w:val="00DB241B"/>
    <w:rsid w:val="00DB3A8B"/>
    <w:rsid w:val="00DB4C09"/>
    <w:rsid w:val="00DB4D75"/>
    <w:rsid w:val="00DB5844"/>
    <w:rsid w:val="00DB7154"/>
    <w:rsid w:val="00DB72E3"/>
    <w:rsid w:val="00DB7DCD"/>
    <w:rsid w:val="00DC044D"/>
    <w:rsid w:val="00DC2ADA"/>
    <w:rsid w:val="00DC34D8"/>
    <w:rsid w:val="00DC6C0A"/>
    <w:rsid w:val="00DD02E4"/>
    <w:rsid w:val="00DD056F"/>
    <w:rsid w:val="00DD1874"/>
    <w:rsid w:val="00DD24E2"/>
    <w:rsid w:val="00DD298D"/>
    <w:rsid w:val="00DD2F8F"/>
    <w:rsid w:val="00DD62CA"/>
    <w:rsid w:val="00DD647F"/>
    <w:rsid w:val="00DD6B6A"/>
    <w:rsid w:val="00DD6F18"/>
    <w:rsid w:val="00DD7740"/>
    <w:rsid w:val="00DE1184"/>
    <w:rsid w:val="00DE3265"/>
    <w:rsid w:val="00DE3A1F"/>
    <w:rsid w:val="00DE6055"/>
    <w:rsid w:val="00DF136C"/>
    <w:rsid w:val="00DF2B69"/>
    <w:rsid w:val="00DF2EE6"/>
    <w:rsid w:val="00DF46B5"/>
    <w:rsid w:val="00DF5BCE"/>
    <w:rsid w:val="00DF7788"/>
    <w:rsid w:val="00DF7A92"/>
    <w:rsid w:val="00DF7AC3"/>
    <w:rsid w:val="00E0200E"/>
    <w:rsid w:val="00E03A0F"/>
    <w:rsid w:val="00E03C81"/>
    <w:rsid w:val="00E0417F"/>
    <w:rsid w:val="00E10244"/>
    <w:rsid w:val="00E10915"/>
    <w:rsid w:val="00E14E14"/>
    <w:rsid w:val="00E15ACA"/>
    <w:rsid w:val="00E1613C"/>
    <w:rsid w:val="00E1647C"/>
    <w:rsid w:val="00E165E9"/>
    <w:rsid w:val="00E1767F"/>
    <w:rsid w:val="00E17B90"/>
    <w:rsid w:val="00E20422"/>
    <w:rsid w:val="00E2042A"/>
    <w:rsid w:val="00E21469"/>
    <w:rsid w:val="00E21CF9"/>
    <w:rsid w:val="00E2256D"/>
    <w:rsid w:val="00E226FD"/>
    <w:rsid w:val="00E22E88"/>
    <w:rsid w:val="00E22F82"/>
    <w:rsid w:val="00E23E4D"/>
    <w:rsid w:val="00E24788"/>
    <w:rsid w:val="00E249AA"/>
    <w:rsid w:val="00E256C3"/>
    <w:rsid w:val="00E26D83"/>
    <w:rsid w:val="00E32E7C"/>
    <w:rsid w:val="00E34F27"/>
    <w:rsid w:val="00E363E4"/>
    <w:rsid w:val="00E37847"/>
    <w:rsid w:val="00E4041F"/>
    <w:rsid w:val="00E42FCC"/>
    <w:rsid w:val="00E434E3"/>
    <w:rsid w:val="00E4679B"/>
    <w:rsid w:val="00E47D64"/>
    <w:rsid w:val="00E50715"/>
    <w:rsid w:val="00E5286F"/>
    <w:rsid w:val="00E5363D"/>
    <w:rsid w:val="00E5379B"/>
    <w:rsid w:val="00E55D75"/>
    <w:rsid w:val="00E57588"/>
    <w:rsid w:val="00E61E90"/>
    <w:rsid w:val="00E639C6"/>
    <w:rsid w:val="00E64570"/>
    <w:rsid w:val="00E656EB"/>
    <w:rsid w:val="00E65B4B"/>
    <w:rsid w:val="00E65D68"/>
    <w:rsid w:val="00E66277"/>
    <w:rsid w:val="00E662D5"/>
    <w:rsid w:val="00E6679D"/>
    <w:rsid w:val="00E66C9B"/>
    <w:rsid w:val="00E71EE5"/>
    <w:rsid w:val="00E74824"/>
    <w:rsid w:val="00E74BE8"/>
    <w:rsid w:val="00E74E3E"/>
    <w:rsid w:val="00E74E9D"/>
    <w:rsid w:val="00E751A0"/>
    <w:rsid w:val="00E753D6"/>
    <w:rsid w:val="00E75B3D"/>
    <w:rsid w:val="00E77A15"/>
    <w:rsid w:val="00E808EF"/>
    <w:rsid w:val="00E80BA7"/>
    <w:rsid w:val="00E81731"/>
    <w:rsid w:val="00E824AE"/>
    <w:rsid w:val="00E84B2B"/>
    <w:rsid w:val="00E85094"/>
    <w:rsid w:val="00E87F26"/>
    <w:rsid w:val="00E90577"/>
    <w:rsid w:val="00E923CC"/>
    <w:rsid w:val="00E933CD"/>
    <w:rsid w:val="00E96857"/>
    <w:rsid w:val="00E96B82"/>
    <w:rsid w:val="00E97BC2"/>
    <w:rsid w:val="00EA007D"/>
    <w:rsid w:val="00EA1B85"/>
    <w:rsid w:val="00EA2E39"/>
    <w:rsid w:val="00EA3F66"/>
    <w:rsid w:val="00EA41C6"/>
    <w:rsid w:val="00EA5EC5"/>
    <w:rsid w:val="00EA610A"/>
    <w:rsid w:val="00EA77F8"/>
    <w:rsid w:val="00EB0893"/>
    <w:rsid w:val="00EB1904"/>
    <w:rsid w:val="00EB26EB"/>
    <w:rsid w:val="00EB2711"/>
    <w:rsid w:val="00EB47BA"/>
    <w:rsid w:val="00EB5278"/>
    <w:rsid w:val="00EB5F71"/>
    <w:rsid w:val="00EB6664"/>
    <w:rsid w:val="00EB6C95"/>
    <w:rsid w:val="00EB7118"/>
    <w:rsid w:val="00EB764F"/>
    <w:rsid w:val="00EC0ACB"/>
    <w:rsid w:val="00EC0D6F"/>
    <w:rsid w:val="00EC0EAE"/>
    <w:rsid w:val="00EC1CC3"/>
    <w:rsid w:val="00EC1E19"/>
    <w:rsid w:val="00EC2189"/>
    <w:rsid w:val="00EC3B9B"/>
    <w:rsid w:val="00EC664D"/>
    <w:rsid w:val="00EC7A1C"/>
    <w:rsid w:val="00EC7BF6"/>
    <w:rsid w:val="00ED2025"/>
    <w:rsid w:val="00ED2941"/>
    <w:rsid w:val="00ED3724"/>
    <w:rsid w:val="00ED47B3"/>
    <w:rsid w:val="00ED5AA8"/>
    <w:rsid w:val="00ED63F2"/>
    <w:rsid w:val="00EE0231"/>
    <w:rsid w:val="00EE0A6B"/>
    <w:rsid w:val="00EE2625"/>
    <w:rsid w:val="00EE31DE"/>
    <w:rsid w:val="00EE4902"/>
    <w:rsid w:val="00EE7C73"/>
    <w:rsid w:val="00EF1A41"/>
    <w:rsid w:val="00EF2DC4"/>
    <w:rsid w:val="00EF30A2"/>
    <w:rsid w:val="00EF4CAF"/>
    <w:rsid w:val="00EF6EA8"/>
    <w:rsid w:val="00EF6F28"/>
    <w:rsid w:val="00EF79AF"/>
    <w:rsid w:val="00F02825"/>
    <w:rsid w:val="00F03032"/>
    <w:rsid w:val="00F03762"/>
    <w:rsid w:val="00F03A86"/>
    <w:rsid w:val="00F03AF7"/>
    <w:rsid w:val="00F042F2"/>
    <w:rsid w:val="00F04459"/>
    <w:rsid w:val="00F0511F"/>
    <w:rsid w:val="00F07281"/>
    <w:rsid w:val="00F07D33"/>
    <w:rsid w:val="00F11FDD"/>
    <w:rsid w:val="00F1299D"/>
    <w:rsid w:val="00F14E28"/>
    <w:rsid w:val="00F16834"/>
    <w:rsid w:val="00F16CDB"/>
    <w:rsid w:val="00F20DF0"/>
    <w:rsid w:val="00F20E7B"/>
    <w:rsid w:val="00F23B78"/>
    <w:rsid w:val="00F24E32"/>
    <w:rsid w:val="00F258EE"/>
    <w:rsid w:val="00F27527"/>
    <w:rsid w:val="00F276DB"/>
    <w:rsid w:val="00F306FA"/>
    <w:rsid w:val="00F31EF2"/>
    <w:rsid w:val="00F323F7"/>
    <w:rsid w:val="00F32520"/>
    <w:rsid w:val="00F32C51"/>
    <w:rsid w:val="00F33035"/>
    <w:rsid w:val="00F3544A"/>
    <w:rsid w:val="00F35FA8"/>
    <w:rsid w:val="00F36379"/>
    <w:rsid w:val="00F41B2F"/>
    <w:rsid w:val="00F43734"/>
    <w:rsid w:val="00F43DDB"/>
    <w:rsid w:val="00F442A2"/>
    <w:rsid w:val="00F46D34"/>
    <w:rsid w:val="00F475BE"/>
    <w:rsid w:val="00F5015A"/>
    <w:rsid w:val="00F5015C"/>
    <w:rsid w:val="00F50611"/>
    <w:rsid w:val="00F50C10"/>
    <w:rsid w:val="00F51612"/>
    <w:rsid w:val="00F51960"/>
    <w:rsid w:val="00F532EE"/>
    <w:rsid w:val="00F533A6"/>
    <w:rsid w:val="00F57951"/>
    <w:rsid w:val="00F6007B"/>
    <w:rsid w:val="00F6103E"/>
    <w:rsid w:val="00F61421"/>
    <w:rsid w:val="00F61849"/>
    <w:rsid w:val="00F631B4"/>
    <w:rsid w:val="00F635FB"/>
    <w:rsid w:val="00F64684"/>
    <w:rsid w:val="00F64E96"/>
    <w:rsid w:val="00F653FB"/>
    <w:rsid w:val="00F66CCF"/>
    <w:rsid w:val="00F66F35"/>
    <w:rsid w:val="00F67F07"/>
    <w:rsid w:val="00F70C92"/>
    <w:rsid w:val="00F70DEE"/>
    <w:rsid w:val="00F71EE1"/>
    <w:rsid w:val="00F73BE5"/>
    <w:rsid w:val="00F7620E"/>
    <w:rsid w:val="00F77104"/>
    <w:rsid w:val="00F774E5"/>
    <w:rsid w:val="00F80331"/>
    <w:rsid w:val="00F8281A"/>
    <w:rsid w:val="00F846D0"/>
    <w:rsid w:val="00F85262"/>
    <w:rsid w:val="00F85CA1"/>
    <w:rsid w:val="00F866AB"/>
    <w:rsid w:val="00F87753"/>
    <w:rsid w:val="00F9039B"/>
    <w:rsid w:val="00F904A0"/>
    <w:rsid w:val="00F927E4"/>
    <w:rsid w:val="00F94932"/>
    <w:rsid w:val="00F952E2"/>
    <w:rsid w:val="00F9535D"/>
    <w:rsid w:val="00F9663F"/>
    <w:rsid w:val="00F96A66"/>
    <w:rsid w:val="00F97225"/>
    <w:rsid w:val="00F9749A"/>
    <w:rsid w:val="00FA1672"/>
    <w:rsid w:val="00FA242B"/>
    <w:rsid w:val="00FA2E8E"/>
    <w:rsid w:val="00FA3DE9"/>
    <w:rsid w:val="00FA4C1F"/>
    <w:rsid w:val="00FA57B6"/>
    <w:rsid w:val="00FA5BEC"/>
    <w:rsid w:val="00FA64F2"/>
    <w:rsid w:val="00FB2095"/>
    <w:rsid w:val="00FB5359"/>
    <w:rsid w:val="00FB7334"/>
    <w:rsid w:val="00FC015F"/>
    <w:rsid w:val="00FC136C"/>
    <w:rsid w:val="00FC1476"/>
    <w:rsid w:val="00FC187E"/>
    <w:rsid w:val="00FC2343"/>
    <w:rsid w:val="00FC46A7"/>
    <w:rsid w:val="00FC5FC9"/>
    <w:rsid w:val="00FC6A4B"/>
    <w:rsid w:val="00FD0652"/>
    <w:rsid w:val="00FD2124"/>
    <w:rsid w:val="00FD2A6B"/>
    <w:rsid w:val="00FD39B3"/>
    <w:rsid w:val="00FD4792"/>
    <w:rsid w:val="00FD4EB0"/>
    <w:rsid w:val="00FD542E"/>
    <w:rsid w:val="00FE0126"/>
    <w:rsid w:val="00FE071F"/>
    <w:rsid w:val="00FE0FE0"/>
    <w:rsid w:val="00FE110C"/>
    <w:rsid w:val="00FE1599"/>
    <w:rsid w:val="00FE357D"/>
    <w:rsid w:val="00FE5B83"/>
    <w:rsid w:val="00FE6934"/>
    <w:rsid w:val="00FF06A0"/>
    <w:rsid w:val="00FF1AFF"/>
    <w:rsid w:val="00FF205B"/>
    <w:rsid w:val="00FF2360"/>
    <w:rsid w:val="00FF2686"/>
    <w:rsid w:val="00FF27E7"/>
    <w:rsid w:val="00FF513B"/>
    <w:rsid w:val="00FF6DC5"/>
    <w:rsid w:val="00FF7006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1B0CC"/>
  <w15:docId w15:val="{F69C56CE-7AED-4965-BE27-85FBC1E1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8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F4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12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29A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6FE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4"/>
      <w:szCs w:val="18"/>
    </w:rPr>
  </w:style>
  <w:style w:type="character" w:customStyle="1" w:styleId="a7">
    <w:name w:val="页脚 字符"/>
    <w:basedOn w:val="a0"/>
    <w:link w:val="a6"/>
    <w:uiPriority w:val="99"/>
    <w:rsid w:val="00896FE8"/>
    <w:rPr>
      <w:rFonts w:ascii="Times New Roman" w:hAnsi="Times New Roman"/>
      <w:sz w:val="24"/>
      <w:szCs w:val="18"/>
    </w:rPr>
  </w:style>
  <w:style w:type="character" w:styleId="a8">
    <w:name w:val="annotation reference"/>
    <w:basedOn w:val="a0"/>
    <w:uiPriority w:val="99"/>
    <w:semiHidden/>
    <w:unhideWhenUsed/>
    <w:rsid w:val="008200AF"/>
    <w:rPr>
      <w:rFonts w:ascii="Tahoma" w:hAnsi="Tahoma" w:cs="Tahoma"/>
      <w:b w:val="0"/>
      <w:i w:val="0"/>
      <w:caps w:val="0"/>
      <w:strike w:val="0"/>
      <w:sz w:val="16"/>
      <w:szCs w:val="21"/>
      <w:u w:val="none"/>
    </w:rPr>
  </w:style>
  <w:style w:type="paragraph" w:styleId="a9">
    <w:name w:val="annotation text"/>
    <w:basedOn w:val="a"/>
    <w:link w:val="aa"/>
    <w:uiPriority w:val="99"/>
    <w:semiHidden/>
    <w:unhideWhenUsed/>
    <w:rsid w:val="008200AF"/>
    <w:pPr>
      <w:jc w:val="left"/>
    </w:pPr>
    <w:rPr>
      <w:rFonts w:ascii="Tahoma" w:hAnsi="Tahoma" w:cs="Tahoma"/>
      <w:sz w:val="16"/>
    </w:rPr>
  </w:style>
  <w:style w:type="character" w:customStyle="1" w:styleId="aa">
    <w:name w:val="批注文字 字符"/>
    <w:basedOn w:val="a0"/>
    <w:link w:val="a9"/>
    <w:uiPriority w:val="99"/>
    <w:semiHidden/>
    <w:rsid w:val="008200AF"/>
    <w:rPr>
      <w:rFonts w:ascii="Tahoma" w:hAnsi="Tahoma" w:cs="Tahoma"/>
      <w:sz w:val="16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00A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200AF"/>
    <w:rPr>
      <w:rFonts w:ascii="Tahoma" w:hAnsi="Tahoma" w:cs="Tahoma"/>
      <w:b/>
      <w:bCs/>
      <w:sz w:val="16"/>
    </w:rPr>
  </w:style>
  <w:style w:type="character" w:styleId="ad">
    <w:name w:val="line number"/>
    <w:basedOn w:val="a0"/>
    <w:uiPriority w:val="99"/>
    <w:semiHidden/>
    <w:unhideWhenUsed/>
    <w:rsid w:val="000558C2"/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415E7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15E7D"/>
    <w:rPr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7D06F6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7D06F6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7D06F6"/>
    <w:rPr>
      <w:vertAlign w:val="superscript"/>
    </w:rPr>
  </w:style>
  <w:style w:type="paragraph" w:styleId="af3">
    <w:name w:val="Revision"/>
    <w:hidden/>
    <w:uiPriority w:val="99"/>
    <w:semiHidden/>
    <w:rsid w:val="00EB764F"/>
  </w:style>
  <w:style w:type="table" w:styleId="af4">
    <w:name w:val="Table Grid"/>
    <w:basedOn w:val="a1"/>
    <w:uiPriority w:val="39"/>
    <w:qFormat/>
    <w:rsid w:val="000B06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0B0680"/>
    <w:pPr>
      <w:widowControl/>
      <w:spacing w:after="160" w:line="259" w:lineRule="auto"/>
      <w:ind w:firstLineChars="200" w:firstLine="420"/>
      <w:jc w:val="left"/>
    </w:pPr>
    <w:rPr>
      <w:kern w:val="0"/>
      <w:sz w:val="22"/>
    </w:rPr>
  </w:style>
  <w:style w:type="table" w:customStyle="1" w:styleId="4">
    <w:name w:val="网格型4"/>
    <w:basedOn w:val="a1"/>
    <w:uiPriority w:val="39"/>
    <w:qFormat/>
    <w:rsid w:val="000B06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uiPriority w:val="39"/>
    <w:qFormat/>
    <w:rsid w:val="000B06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a1"/>
    <w:uiPriority w:val="39"/>
    <w:qFormat/>
    <w:rsid w:val="000B06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1C2CC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1C2CC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1C2CCE"/>
    <w:pPr>
      <w:jc w:val="left"/>
    </w:pPr>
    <w:rPr>
      <w:rFonts w:ascii="等线" w:eastAsia="等线" w:hAnsi="等线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C2CCE"/>
    <w:rPr>
      <w:rFonts w:ascii="等线" w:eastAsia="等线" w:hAnsi="等线"/>
      <w:noProof/>
      <w:sz w:val="20"/>
    </w:rPr>
  </w:style>
  <w:style w:type="paragraph" w:customStyle="1" w:styleId="EndNoteCategoryHeading">
    <w:name w:val="EndNote Category Heading"/>
    <w:basedOn w:val="a"/>
    <w:link w:val="EndNoteCategoryHeadingChar"/>
    <w:rsid w:val="001C2CCE"/>
    <w:pPr>
      <w:spacing w:before="120" w:after="120"/>
      <w:jc w:val="left"/>
    </w:pPr>
    <w:rPr>
      <w:b/>
      <w:noProof/>
    </w:rPr>
  </w:style>
  <w:style w:type="character" w:customStyle="1" w:styleId="EndNoteCategoryHeadingChar">
    <w:name w:val="EndNote Category Heading Char"/>
    <w:basedOn w:val="a0"/>
    <w:link w:val="EndNoteCategoryHeading"/>
    <w:rsid w:val="001C2CCE"/>
    <w:rPr>
      <w:b/>
      <w:noProof/>
    </w:rPr>
  </w:style>
  <w:style w:type="table" w:customStyle="1" w:styleId="41">
    <w:name w:val="网格型41"/>
    <w:basedOn w:val="a1"/>
    <w:uiPriority w:val="39"/>
    <w:qFormat/>
    <w:rsid w:val="0067251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03F0-33ED-48DF-8FAC-5425BCCC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 梦馨</dc:creator>
  <dc:description>NE.Ref</dc:description>
  <cp:lastModifiedBy>汤 梦馨</cp:lastModifiedBy>
  <cp:revision>49</cp:revision>
  <dcterms:created xsi:type="dcterms:W3CDTF">2021-08-31T18:51:00Z</dcterms:created>
  <dcterms:modified xsi:type="dcterms:W3CDTF">2021-10-19T06:06:00Z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2021-08-25T02:35:15Z</vt:filetime>
  </property>
</Properties>
</file>