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640830"/>
            <wp:effectExtent l="0" t="0" r="4445" b="3810"/>
            <wp:docPr id="1" name="图片 1" descr="S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4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Supplemental Figure 1: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Standardized mean difference (SMD) of variables before and after propensity score matching and weighting.</w:t>
      </w:r>
      <w:bookmarkStart w:id="0" w:name="_GoBack"/>
      <w:bookmarkEnd w:id="0"/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62B70"/>
    <w:rsid w:val="181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2021-09-03T08:26:00Z</dcterms:created>
  <dc:creator>胡玉刚</dc:creator>
  <cp:lastModifiedBy>胡玉刚</cp:lastModifiedBy>
  <dcterms:modified xsi:type="dcterms:W3CDTF">2021-09-03T08:28:47Z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12E7C239E6E34D6B9D1CE78E88C29361</vt:lpwstr>
  </property>
</Properties>
</file>