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eastAsia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Table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1 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The sequences of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 eEF2K siRNA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1829"/>
        <w:gridCol w:w="5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eEF2K siRNA</w:t>
            </w:r>
          </w:p>
        </w:tc>
        <w:tc>
          <w:tcPr>
            <w:tcW w:w="1829" w:type="dxa"/>
            <w:tcBorders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Primer direction</w:t>
            </w:r>
          </w:p>
        </w:tc>
        <w:tc>
          <w:tcPr>
            <w:tcW w:w="5182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  <w:t>sequence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eEF2K siRNA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sense</w:t>
            </w:r>
          </w:p>
        </w:tc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5′-GUCAAUUCCAAGGUUAAUATT-3′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antisense</w:t>
            </w: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5′-UAUUAACCU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U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GGAAUUGACTT-3′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eEF2K siRNA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sense</w:t>
            </w: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AAGCUCGAACCAGAAUGUCTT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-3′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antisense</w:t>
            </w: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GACAUUCUGGUUCGAGCUUTT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-3′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tabs>
                <w:tab w:val="left" w:pos="682"/>
              </w:tabs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eEF2K siRNA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sense</w:t>
            </w: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GAGGAAGGUUACUUCAUCUTT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-3′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1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vertAlign w:val="baseline"/>
              </w:rPr>
            </w:pPr>
          </w:p>
        </w:tc>
        <w:tc>
          <w:tcPr>
            <w:tcW w:w="1829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antisense</w:t>
            </w:r>
          </w:p>
        </w:tc>
        <w:tc>
          <w:tcPr>
            <w:tcW w:w="5182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5′-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AGAUGAAGUAACCUUCCUCTT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-3′</w:t>
            </w:r>
          </w:p>
        </w:tc>
      </w:tr>
    </w:tbl>
    <w:p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eastAsia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Table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The sequences of RT-</w:t>
      </w:r>
      <w:r>
        <w:rPr>
          <w:rFonts w:hint="eastAsia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-US" w:eastAsia="zh-CN"/>
        </w:rPr>
        <w:t>q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PCR primers</w:t>
      </w:r>
    </w:p>
    <w:tbl>
      <w:tblPr>
        <w:tblStyle w:val="3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1726"/>
        <w:gridCol w:w="577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Gene</w:t>
            </w:r>
          </w:p>
        </w:tc>
        <w:tc>
          <w:tcPr>
            <w:tcW w:w="1013" w:type="pct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Primer direction</w:t>
            </w:r>
          </w:p>
        </w:tc>
        <w:tc>
          <w:tcPr>
            <w:tcW w:w="3390" w:type="pct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  <w:t>Primer sequence (5' to 3')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op w:val="single" w:color="auto" w:sz="4" w:space="0"/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CCL-2</w:t>
            </w:r>
          </w:p>
        </w:tc>
        <w:tc>
          <w:tcPr>
            <w:tcW w:w="1013" w:type="pct"/>
            <w:tcBorders>
              <w:top w:val="single" w:color="auto" w:sz="4" w:space="0"/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op w:val="single" w:color="auto" w:sz="4" w:space="0"/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CAGCCAGATGCAATCAATGCC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TGGAATCCTGAACCCACTTCT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IL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6</w:t>
            </w:r>
          </w:p>
        </w:tc>
        <w:tc>
          <w:tcPr>
            <w:tcW w:w="1013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ACTCACCTCTTCAGAACGAATTG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CCATCTTTGGAAGGTTCAGGTTG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IL-8</w:t>
            </w: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ACTGAGAGTGATTGAGAGTGGAC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AACCCTCTGCACCCAGTTTTC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CXCL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GTGGCATTCAAGGAGTACCTC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TGATGGCCTTCGATTCTGGATT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GAPDH</w:t>
            </w: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GCACCGTCAAGGCTGAGAAC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da-DK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TGGTGAAGACGCCAGTGGA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TNFR1</w:t>
            </w: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da-DK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ATGATGAGCGGCAGTGTTCAG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da-DK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 xml:space="preserve">Reverse </w:t>
            </w:r>
          </w:p>
        </w:tc>
        <w:tc>
          <w:tcPr>
            <w:tcW w:w="3390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GCAGGGGCACAGATCAGTTG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6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TNFR2</w:t>
            </w:r>
          </w:p>
        </w:tc>
        <w:tc>
          <w:tcPr>
            <w:tcW w:w="1013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da-DK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Forward</w:t>
            </w:r>
          </w:p>
        </w:tc>
        <w:tc>
          <w:tcPr>
            <w:tcW w:w="3390" w:type="pct"/>
            <w:tcBorders>
              <w:tl2br w:val="nil"/>
              <w:tr2bl w:val="nil"/>
            </w:tcBorders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ACCGTCATCATGTCTGACCA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da-DK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da-DK"/>
              </w:rPr>
              <w:t>Reverse</w:t>
            </w:r>
          </w:p>
        </w:tc>
        <w:tc>
          <w:tcPr>
            <w:tcW w:w="0" w:type="auto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TGGAACACCCTGTCTTTGAC</w:t>
            </w:r>
          </w:p>
        </w:tc>
      </w:tr>
    </w:tbl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71770" cy="3911600"/>
            <wp:effectExtent l="0" t="0" r="11430" b="0"/>
            <wp:docPr id="1" name="图片 1" descr="Supplemental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1 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Efficiency of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eEF2K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knockdown </w:t>
      </w:r>
    </w:p>
    <w:p>
      <w:pPr>
        <w:spacing w:line="360" w:lineRule="auto"/>
        <w:jc w:val="both"/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were transfected with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eEF2K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siRNA 1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3 for 48 h and subjected to (A) RT-qPCR analysis and (B)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Western blotting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assays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. Data shown are the mean ± SD from 3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ndependent experiments. 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vertAlign w:val="superscript"/>
          <w:lang w:val="en-US" w:eastAsia="zh-CN"/>
        </w:rPr>
        <w:t>*</w:t>
      </w:r>
      <w:r>
        <w:rPr>
          <w:rFonts w:hint="default" w:ascii="Times New Roman" w:hAnsi="Times New Roman" w:eastAsia="AdvPSGAR3" w:cs="Times New Roman"/>
          <w:b/>
          <w:bCs/>
          <w:i/>
          <w:iCs/>
          <w:color w:val="auto"/>
          <w:kern w:val="0"/>
          <w:sz w:val="20"/>
          <w:szCs w:val="20"/>
          <w:lang w:val="en-US" w:eastAsia="zh-CN"/>
        </w:rPr>
        <w:t>P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&lt; 0.05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b/>
          <w:bCs/>
          <w:i/>
          <w:iCs/>
          <w:color w:val="auto"/>
          <w:kern w:val="0"/>
          <w:sz w:val="20"/>
          <w:szCs w:val="20"/>
          <w:lang w:val="en-US" w:eastAsia="zh-CN"/>
        </w:rPr>
        <w:t>vs</w:t>
      </w:r>
      <w:r>
        <w:rPr>
          <w:rFonts w:hint="eastAsia" w:ascii="Times New Roman" w:hAnsi="Times New Roman" w:eastAsia="AdvPSGAR3" w:cs="Times New Roman"/>
          <w:b/>
          <w:bCs/>
          <w:i/>
          <w:iCs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i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, by 1-way ANOVA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73675" cy="2201545"/>
            <wp:effectExtent l="0" t="0" r="9525" b="8255"/>
            <wp:docPr id="2" name="图片 2" descr="Supplemental Figure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 2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2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Effects of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eEF2K inhibition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on c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</w:rPr>
        <w:t>ell viabilit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</w:rPr>
        <w:t>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</w:rPr>
        <w:t xml:space="preserve"> in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>RA FLSs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>Cell viabilit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</w:rPr>
        <w:t>y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 w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</w:rPr>
        <w:t>as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 tested 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</w:rPr>
        <w:t>by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 MTT assay</w:t>
      </w:r>
      <w: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pretreated with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DMSO or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NH125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for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4 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(A)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or transfected with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eEF2K-s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iRNA or control siRNA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si</w:t>
      </w:r>
      <w:r>
        <w:rPr>
          <w:rFonts w:hint="eastAsia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) (B)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.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Data are means of three separated experiments±S</w:t>
      </w:r>
      <w: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>EM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*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0.05,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control.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>RA, rheumatoid arthritis; FLSs, fibroblast-like synoviocytes</w:t>
      </w:r>
      <w: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 xml:space="preserve">; MTT, 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>Methyl-thiazol tetrazolium cytotoxicity</w:t>
      </w:r>
      <w: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>.</w:t>
      </w:r>
    </w:p>
    <w:p>
      <w:pP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br w:type="page"/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73040" cy="4336415"/>
            <wp:effectExtent l="0" t="0" r="10160" b="6985"/>
            <wp:docPr id="3" name="图片 3" descr="Supplemental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l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3 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NH125</w:t>
      </w:r>
      <w:r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 xml:space="preserve">suppressed LPS-induced </w:t>
      </w:r>
      <w:r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cytokine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s</w:t>
      </w:r>
      <w:r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 xml:space="preserve">in </w:t>
      </w:r>
      <w:r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RA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FLS</w:t>
      </w:r>
      <w:r>
        <w:rPr>
          <w:rFonts w:hint="eastAsia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  <w:t>s</w:t>
      </w:r>
    </w:p>
    <w:p>
      <w:pPr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Times New Roman" w:hAnsi="Times New Roman" w:eastAsia="AdvP47DFC8" w:cs="Times New Roman"/>
          <w:b w:val="0"/>
          <w:bCs w:val="0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RA FLSs were pretreated with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dimethyl sulfoxide (DMSO, as the control)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or NH125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(at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the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different concentration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0.1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0.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5, and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.0μM)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for 24 hours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 T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hen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stimulated with or without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LPS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(10 ng/ml) for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24h.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The levels of TNF-α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(A)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,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IL-1β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(B)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, and IL-17A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(C)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in culture supernatant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were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detected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by ELISA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assays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. </w:t>
      </w:r>
      <w:r>
        <w:rPr>
          <w:rFonts w:hint="default" w:ascii="Times New Roman" w:hAnsi="Times New Roman" w:eastAsia="KlavikaBasic-Regular" w:cs="Times New Roman"/>
          <w:b w:val="0"/>
          <w:bCs w:val="0"/>
          <w:color w:val="231F20"/>
          <w:kern w:val="0"/>
          <w:sz w:val="20"/>
          <w:szCs w:val="20"/>
          <w:lang w:val="en-US" w:eastAsia="zh-CN" w:bidi="ar"/>
        </w:rPr>
        <w:t>Data were representative as means ± SD</w:t>
      </w:r>
      <w:r>
        <w:rPr>
          <w:rFonts w:hint="eastAsia" w:ascii="Times New Roman" w:hAnsi="Times New Roman" w:eastAsia="KlavikaBasic-Regular" w:cs="Times New Roman"/>
          <w:b w:val="0"/>
          <w:bCs w:val="0"/>
          <w:color w:val="231F2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*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DMSO c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>ontrol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#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treatment with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LPS</w:t>
      </w:r>
      <w:r>
        <w:rPr>
          <w:rFonts w:hint="eastAsia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alone</w:t>
      </w:r>
      <w:r>
        <w:rPr>
          <w:rFonts w:hint="eastAsia" w:ascii="Times New Roman" w:hAnsi="Times New Roman" w:eastAsia="AdvP47DFC8" w:cs="Times New Roman"/>
          <w:b w:val="0"/>
          <w:bCs w:val="0"/>
          <w:color w:val="auto"/>
          <w:kern w:val="0"/>
          <w:sz w:val="20"/>
          <w:szCs w:val="20"/>
          <w:lang w:val="en-US" w:eastAsia="zh-CN"/>
        </w:rPr>
        <w:t>.</w:t>
      </w:r>
    </w:p>
    <w:p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AdvP47DFC8" w:cs="Times New Roman"/>
          <w:b w:val="0"/>
          <w:bCs w:val="0"/>
          <w:color w:val="auto"/>
          <w:kern w:val="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4073525" cy="2485390"/>
            <wp:effectExtent l="0" t="0" r="3175" b="3810"/>
            <wp:docPr id="4" name="图片 4" descr="Supplemental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l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4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NH125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</w:rPr>
        <w:t>inhibited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the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cell proliferation 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</w:rPr>
        <w:t>of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RA FLSs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</w:rPr>
        <w:t xml:space="preserve">Cell proliferation was tested 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</w:rPr>
        <w:t>by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</w:rPr>
        <w:t xml:space="preserve"> EdU incorporation assays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highlight w:val="none"/>
          <w:lang w:val="en-US" w:eastAsia="zh-CN"/>
        </w:rPr>
        <w:t xml:space="preserve">The bar represents the relative proliferation rate of RA FLSs.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*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control.</w:t>
      </w: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t xml:space="preserve"> RA, rheumatoid arthritis; FLSs, fibroblast-like synoviocytes.</w:t>
      </w:r>
    </w:p>
    <w:p>
      <w:pPr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0"/>
          <w:sz w:val="20"/>
          <w:szCs w:val="20"/>
          <w:lang w:val="en-US" w:eastAsia="zh-CN"/>
        </w:rPr>
        <w:br w:type="page"/>
      </w:r>
    </w:p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68595" cy="2421255"/>
            <wp:effectExtent l="0" t="0" r="1905" b="4445"/>
            <wp:docPr id="5" name="图片 5" descr="Supplemental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l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5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NH125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regulated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/>
          <w:bCs/>
          <w:color w:val="auto"/>
          <w:kern w:val="0"/>
          <w:sz w:val="20"/>
          <w:szCs w:val="20"/>
          <w:lang w:val="en-US" w:eastAsia="zh-CN"/>
        </w:rPr>
        <w:t>expression of TNFR in RA FLSs</w:t>
      </w:r>
    </w:p>
    <w:p>
      <w:pPr>
        <w:spacing w:line="360" w:lineRule="auto"/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pretreated with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DMSO or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NH125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for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4 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 T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hen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stimulated with or without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TNF-α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(10 ng/ml) for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24h. The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expression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of TNFR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(A)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and TNFRII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(B)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was measured by RT-qPCR analysis. Data show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he mean ± SD for samples from 5 different RA patients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. </w:t>
      </w:r>
      <w:bookmarkStart w:id="0" w:name="_GoBack"/>
      <w:bookmarkEnd w:id="0"/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*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DMSO c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>ontrol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#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treatment with TNF-α</w:t>
      </w:r>
      <w:r>
        <w:rPr>
          <w:rFonts w:hint="eastAsia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alone</w:t>
      </w:r>
      <w:r>
        <w:rPr>
          <w:rFonts w:hint="eastAsia" w:ascii="Times New Roman" w:hAnsi="Times New Roman" w:eastAsia="AdvP47DFC8" w:cs="Times New Roman"/>
          <w:b w:val="0"/>
          <w:bCs w:val="0"/>
          <w:color w:val="auto"/>
          <w:kern w:val="0"/>
          <w:sz w:val="20"/>
          <w:szCs w:val="20"/>
          <w:lang w:val="en-US" w:eastAsia="zh-CN"/>
        </w:rPr>
        <w:t xml:space="preserve">.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TNFRI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Tumor necrosis factors receptor 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TNFRII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Tumor necrosis factors receptor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II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</w:t>
      </w:r>
    </w:p>
    <w:p>
      <w:pP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br w:type="page"/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4253230" cy="3605530"/>
            <wp:effectExtent l="0" t="0" r="1270" b="1270"/>
            <wp:docPr id="6" name="图片 6" descr="Supplemental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l 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6 NH125 regulated 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NF-κB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and AKT pathway 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in synovial tissue from CIA mice.</w:t>
      </w:r>
    </w:p>
    <w:p>
      <w:pPr>
        <w:spacing w:line="360" w:lineRule="auto"/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Expression of NF-κB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and AKT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, measured by immunohistochemical staining, in synovial tissue from CIA mice. Representative images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</w:p>
    <w:p>
      <w:pPr>
        <w:spacing w:line="360" w:lineRule="auto"/>
        <w:rPr>
          <w:rFonts w:hint="default" w:ascii="Times New Roman" w:hAnsi="Times New Roman" w:eastAsia="KlavikaBasic-Bold" w:cs="Times New Roman"/>
          <w:b/>
          <w:bCs/>
          <w:color w:val="231F20"/>
          <w:kern w:val="0"/>
          <w:sz w:val="20"/>
          <w:szCs w:val="20"/>
          <w:lang w:val="en-US" w:eastAsia="zh-CN" w:bidi="ar"/>
        </w:rPr>
      </w:pPr>
    </w:p>
    <w:p>
      <w:pPr>
        <w:spacing w:line="360" w:lineRule="auto"/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71135" cy="4835525"/>
            <wp:effectExtent l="0" t="0" r="12065" b="3175"/>
            <wp:docPr id="7" name="图片 7" descr="Supplemetal fi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tal fig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7 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Effect of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eEF2K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inhibition on glucose uptake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, lactate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and intracellular levels of F2,6B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in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RA FLSs </w:t>
      </w:r>
    </w:p>
    <w:p>
      <w:pPr>
        <w:spacing w:line="360" w:lineRule="auto"/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pretreated with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DMSO or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NH125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1.0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μM) for 4 h or transfected with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eEF2K-s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iRNA or control siRNA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si</w:t>
      </w:r>
      <w:r>
        <w:rPr>
          <w:rFonts w:hint="eastAsia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AdvP47DFC8" w:cs="Times New Roman"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), and then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stimulated with TNF-α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(10ng/mL)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for 24 h. (A)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Glucose uptake was measured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by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a glucose uptake assay kit (colorimetric)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. (B) The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intracellular levels of F2,6BP were measured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by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a coupled enzyme assay.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(C) The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concentrations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of l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actate in the supernatants of RA FLSs were measured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by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a lactate oxidase-based assay.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*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DMSO c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>ontrol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or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si</w:t>
      </w:r>
      <w:r>
        <w:rPr>
          <w:rFonts w:hint="eastAsia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>C</w:t>
      </w:r>
      <w:r>
        <w:rPr>
          <w:rFonts w:hint="eastAsia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vertAlign w:val="superscript"/>
        </w:rPr>
        <w:t>#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P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&lt; 0.05 </w:t>
      </w:r>
      <w:r>
        <w:rPr>
          <w:rFonts w:hint="default" w:ascii="Times New Roman" w:hAnsi="Times New Roman" w:eastAsia="AdvP47DFC8" w:cs="Times New Roman"/>
          <w:b/>
          <w:bCs/>
          <w:i/>
          <w:iCs/>
          <w:color w:val="auto"/>
          <w:kern w:val="0"/>
          <w:sz w:val="20"/>
          <w:szCs w:val="20"/>
        </w:rPr>
        <w:t>vs.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 xml:space="preserve">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treatment with </w:t>
      </w:r>
      <w:r>
        <w:rPr>
          <w:rFonts w:hint="default" w:ascii="Times New Roman" w:hAnsi="Times New Roman" w:eastAsia="AdvP47DFC8" w:cs="Times New Roman"/>
          <w:b/>
          <w:bCs/>
          <w:color w:val="auto"/>
          <w:kern w:val="0"/>
          <w:sz w:val="20"/>
          <w:szCs w:val="20"/>
        </w:rPr>
        <w:t>TNF-α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KlavikaBasic-Regular" w:cs="Times New Roman"/>
          <w:b w:val="0"/>
          <w:bCs w:val="0"/>
          <w:color w:val="231F20"/>
          <w:kern w:val="0"/>
          <w:sz w:val="20"/>
          <w:szCs w:val="20"/>
          <w:lang w:val="en-US" w:eastAsia="zh-CN" w:bidi="ar"/>
        </w:rPr>
        <w:t>Data were representative as means ± SD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 F2,6BP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: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fructose-2,6-bisphosphate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drawing>
          <wp:inline distT="0" distB="0" distL="114300" distR="114300">
            <wp:extent cx="5248275" cy="1971040"/>
            <wp:effectExtent l="0" t="0" r="9525" b="10160"/>
            <wp:docPr id="8" name="图片 8" descr="Supplemental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l Fig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en"/>
        </w:rPr>
        <w:t>Supplementary</w:t>
      </w:r>
      <w:r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Figure 8 The effect of lactate on the activition of 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 xml:space="preserve">NF-κB 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0"/>
          <w:szCs w:val="20"/>
          <w:lang w:val="en-US" w:eastAsia="zh-CN"/>
        </w:rPr>
        <w:t>and AKT pathway in RA FLSs</w:t>
      </w:r>
    </w:p>
    <w:p>
      <w:pPr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Times New Roman" w:hAnsi="Times New Roman" w:eastAsia="AdvP47DFC8" w:cs="Times New Roman"/>
          <w:b/>
          <w:bCs/>
          <w:color w:val="auto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RA FLSs 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were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pretreated with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or without lactate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(Lac, 10 mM) for 6 h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. The expression of p-IKK and p-AKT was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measured by Western blot.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(A) 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Representative laser confocal microcopy images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(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B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>) The right panel shows a densitometric analysis of western blots.</w:t>
      </w:r>
      <w:r>
        <w:rPr>
          <w:rFonts w:hint="eastAsia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KlavikaBasic-Regular" w:cs="Times New Roman"/>
          <w:b w:val="0"/>
          <w:bCs w:val="0"/>
          <w:color w:val="231F20"/>
          <w:kern w:val="0"/>
          <w:sz w:val="20"/>
          <w:szCs w:val="20"/>
          <w:lang w:val="en-US" w:eastAsia="zh-CN" w:bidi="ar"/>
        </w:rPr>
        <w:t>Data were representative as means ± SD</w:t>
      </w:r>
      <w:r>
        <w:rPr>
          <w:rFonts w:hint="eastAsia" w:ascii="Times New Roman" w:hAnsi="Times New Roman" w:eastAsia="KlavikaBasic-Regular" w:cs="Times New Roman"/>
          <w:b w:val="0"/>
          <w:bCs w:val="0"/>
          <w:color w:val="231F20"/>
          <w:kern w:val="0"/>
          <w:sz w:val="20"/>
          <w:szCs w:val="20"/>
          <w:lang w:val="en-US" w:eastAsia="zh-CN" w:bidi="ar"/>
        </w:rPr>
        <w:t>.</w:t>
      </w:r>
      <w:r>
        <w:rPr>
          <w:rFonts w:hint="default" w:ascii="Times New Roman" w:hAnsi="Times New Roman" w:eastAsia="AdvPSGAR3" w:cs="Times New Roman"/>
          <w:color w:val="auto"/>
          <w:kern w:val="0"/>
          <w:sz w:val="20"/>
          <w:szCs w:val="20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dvPSGAR3" w:cs="Times New Roman"/>
          <w:b/>
          <w:bCs/>
          <w:color w:val="auto"/>
          <w:kern w:val="0"/>
          <w:sz w:val="20"/>
          <w:szCs w:val="2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PSGAR3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P47DFC8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lavikaBasic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lavikaBasi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66287F"/>
    <w:rsid w:val="04E42B02"/>
    <w:rsid w:val="396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2022-02-24T02:53:00Z</dcterms:created>
  <dc:creator>陈小莹</dc:creator>
  <cp:lastModifiedBy>陈小莹</cp:lastModifiedBy>
  <dcterms:modified xsi:type="dcterms:W3CDTF">2022-02-25T03:51:43Z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A814EFCCF4494878B1BE8AC994D2D063</vt:lpwstr>
  </property>
</Properties>
</file>