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D222" w14:textId="77777777" w:rsidR="00720C86" w:rsidRPr="00402781" w:rsidRDefault="00720C86" w:rsidP="00720C86">
      <w:pPr>
        <w:rPr>
          <w:rFonts w:ascii="Arial" w:hAnsi="Arial" w:cs="Arial"/>
          <w:b/>
          <w:bCs/>
          <w:color w:val="000000"/>
        </w:rPr>
      </w:pPr>
      <w:r w:rsidRPr="00402781">
        <w:rPr>
          <w:rFonts w:ascii="Arial" w:hAnsi="Arial" w:cs="Arial"/>
          <w:b/>
          <w:bCs/>
          <w:color w:val="000000"/>
        </w:rPr>
        <w:t>Table S-1. Assumptions and Justifications Used to Develop Model</w:t>
      </w:r>
    </w:p>
    <w:p w14:paraId="67A10B09" w14:textId="77777777" w:rsidR="00720C86" w:rsidRPr="00402781" w:rsidRDefault="00720C86" w:rsidP="00720C86">
      <w:pPr>
        <w:rPr>
          <w:rFonts w:ascii="Arial" w:hAnsi="Arial" w:cs="Arial"/>
          <w:b/>
          <w:bCs/>
          <w:color w:val="000000"/>
        </w:rPr>
      </w:pPr>
    </w:p>
    <w:tbl>
      <w:tblPr>
        <w:tblW w:w="9337" w:type="dxa"/>
        <w:tblBorders>
          <w:top w:val="single" w:sz="12" w:space="0" w:color="000000"/>
          <w:bottom w:val="single" w:sz="12" w:space="0" w:color="000000"/>
          <w:insideH w:val="single" w:sz="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4210"/>
        <w:gridCol w:w="4657"/>
      </w:tblGrid>
      <w:tr w:rsidR="00720C86" w:rsidRPr="00402781" w14:paraId="13174414" w14:textId="77777777" w:rsidTr="001236D9">
        <w:trPr>
          <w:trHeight w:val="294"/>
        </w:trPr>
        <w:tc>
          <w:tcPr>
            <w:tcW w:w="470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4A51" w14:textId="77777777" w:rsidR="00720C86" w:rsidRPr="00402781" w:rsidRDefault="00720C86" w:rsidP="001236D9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BB14" w14:textId="77777777" w:rsidR="00720C86" w:rsidRPr="00402781" w:rsidRDefault="00720C86" w:rsidP="001236D9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Assumptions</w:t>
            </w:r>
          </w:p>
        </w:tc>
        <w:tc>
          <w:tcPr>
            <w:tcW w:w="4657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A3D7" w14:textId="77777777" w:rsidR="00720C86" w:rsidRPr="00402781" w:rsidRDefault="00720C86" w:rsidP="001236D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Justifications</w:t>
            </w:r>
          </w:p>
        </w:tc>
      </w:tr>
      <w:tr w:rsidR="00720C86" w:rsidRPr="00402781" w14:paraId="48013820" w14:textId="77777777" w:rsidTr="00720C86">
        <w:trPr>
          <w:trHeight w:val="1543"/>
        </w:trPr>
        <w:tc>
          <w:tcPr>
            <w:tcW w:w="470" w:type="dxa"/>
            <w:tcBorders>
              <w:top w:val="single" w:sz="2" w:space="0" w:color="DDDDD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B65FD" w14:textId="77777777" w:rsidR="00720C86" w:rsidRPr="00402781" w:rsidRDefault="00720C86" w:rsidP="001236D9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10" w:type="dxa"/>
            <w:tcBorders>
              <w:top w:val="single" w:sz="2" w:space="0" w:color="DDDDD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99FD" w14:textId="77777777" w:rsidR="00720C86" w:rsidRPr="00402781" w:rsidRDefault="00720C86" w:rsidP="001236D9">
            <w:pPr>
              <w:rPr>
                <w:rFonts w:ascii="Arial" w:hAnsi="Arial" w:cs="Arial"/>
                <w:color w:val="000000"/>
                <w:sz w:val="20"/>
              </w:rPr>
            </w:pPr>
            <w:r w:rsidRPr="00402781">
              <w:rPr>
                <w:rFonts w:ascii="Arial" w:hAnsi="Arial" w:cs="Arial"/>
                <w:color w:val="000000"/>
                <w:sz w:val="20"/>
              </w:rPr>
              <w:t xml:space="preserve">Day-to-day asthma symptoms health state was assumed to include the occurrence of symptom free periods as well as non-clinically significant exacerbations (morning, night-time and day-time symptoms). </w:t>
            </w:r>
          </w:p>
        </w:tc>
        <w:tc>
          <w:tcPr>
            <w:tcW w:w="4657" w:type="dxa"/>
            <w:tcBorders>
              <w:top w:val="single" w:sz="2" w:space="0" w:color="DDDDD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5B27" w14:textId="22BFD32B" w:rsidR="00720C86" w:rsidRPr="00402781" w:rsidRDefault="00720C86" w:rsidP="001236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color w:val="000000"/>
                <w:sz w:val="20"/>
                <w:szCs w:val="20"/>
              </w:rPr>
              <w:t xml:space="preserve">The HRQoL of patients having non-clinically significant exacerbations or symptom free periods </w:t>
            </w:r>
            <w:r w:rsidR="005903E9" w:rsidRPr="00402781">
              <w:rPr>
                <w:rFonts w:ascii="Arial" w:hAnsi="Arial" w:cs="Arial"/>
                <w:color w:val="000000"/>
                <w:sz w:val="20"/>
                <w:szCs w:val="20"/>
              </w:rPr>
              <w:t>was</w:t>
            </w:r>
            <w:r w:rsidRPr="00402781">
              <w:rPr>
                <w:rFonts w:ascii="Arial" w:hAnsi="Arial" w:cs="Arial"/>
                <w:color w:val="000000"/>
                <w:sz w:val="20"/>
                <w:szCs w:val="20"/>
              </w:rPr>
              <w:t xml:space="preserve"> no different </w:t>
            </w:r>
            <w:r w:rsidR="005903E9" w:rsidRPr="00402781">
              <w:rPr>
                <w:rFonts w:ascii="Arial" w:hAnsi="Arial" w:cs="Arial"/>
                <w:color w:val="000000"/>
                <w:sz w:val="20"/>
                <w:szCs w:val="20"/>
              </w:rPr>
              <w:t>than</w:t>
            </w:r>
            <w:r w:rsidR="00C50B67" w:rsidRPr="00402781">
              <w:rPr>
                <w:rFonts w:ascii="Arial" w:hAnsi="Arial" w:cs="Arial"/>
                <w:color w:val="000000"/>
                <w:sz w:val="20"/>
                <w:szCs w:val="20"/>
              </w:rPr>
              <w:t xml:space="preserve"> the</w:t>
            </w:r>
            <w:r w:rsidRPr="00402781">
              <w:rPr>
                <w:rFonts w:ascii="Arial" w:hAnsi="Arial" w:cs="Arial"/>
                <w:color w:val="000000"/>
                <w:sz w:val="20"/>
                <w:szCs w:val="20"/>
              </w:rPr>
              <w:t xml:space="preserve"> day-to-day asthma symptom state. </w:t>
            </w:r>
          </w:p>
          <w:p w14:paraId="2D198B49" w14:textId="77777777" w:rsidR="00720C86" w:rsidRPr="00402781" w:rsidRDefault="00720C86" w:rsidP="001236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color w:val="000000"/>
                <w:sz w:val="20"/>
                <w:szCs w:val="20"/>
              </w:rPr>
              <w:t>Consistent with previous economic evaluations in asthma.</w:t>
            </w:r>
            <w:r w:rsidRPr="0040278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b-e</w:t>
            </w:r>
          </w:p>
        </w:tc>
      </w:tr>
      <w:tr w:rsidR="00720C86" w:rsidRPr="00402781" w14:paraId="72E697CE" w14:textId="77777777" w:rsidTr="00720C86">
        <w:trPr>
          <w:trHeight w:val="1345"/>
        </w:trPr>
        <w:tc>
          <w:tcPr>
            <w:tcW w:w="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2FDD6" w14:textId="77777777" w:rsidR="00720C86" w:rsidRPr="00402781" w:rsidRDefault="00720C86" w:rsidP="001236D9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0EF41" w14:textId="77777777" w:rsidR="00720C86" w:rsidRPr="00402781" w:rsidRDefault="00720C86" w:rsidP="001236D9">
            <w:pPr>
              <w:rPr>
                <w:rFonts w:ascii="Arial" w:hAnsi="Arial" w:cs="Arial"/>
                <w:color w:val="000000"/>
                <w:sz w:val="20"/>
              </w:rPr>
            </w:pPr>
            <w:r w:rsidRPr="00402781">
              <w:rPr>
                <w:rFonts w:ascii="Arial" w:hAnsi="Arial" w:cs="Arial"/>
                <w:color w:val="000000"/>
                <w:sz w:val="20"/>
              </w:rPr>
              <w:t>Day-to-day asthma symptoms utility will be assumed different for IND/GLY/MF</w:t>
            </w:r>
            <w:r w:rsidRPr="00402781">
              <w:rPr>
                <w:rFonts w:ascii="Arial" w:hAnsi="Arial" w:cs="Arial"/>
                <w:color w:val="000000"/>
                <w:sz w:val="20"/>
                <w:vertAlign w:val="superscript"/>
              </w:rPr>
              <w:t>a</w:t>
            </w:r>
            <w:r w:rsidRPr="00402781">
              <w:rPr>
                <w:rFonts w:ascii="Arial" w:hAnsi="Arial" w:cs="Arial"/>
                <w:color w:val="000000"/>
                <w:sz w:val="20"/>
              </w:rPr>
              <w:t xml:space="preserve"> due to the expected impact of treatment on asthma symptoms.</w:t>
            </w:r>
          </w:p>
        </w:tc>
        <w:tc>
          <w:tcPr>
            <w:tcW w:w="4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77BD7" w14:textId="4BDEA82F" w:rsidR="00720C86" w:rsidRPr="00402781" w:rsidRDefault="00720C86" w:rsidP="001236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color w:val="000000"/>
                <w:sz w:val="20"/>
                <w:szCs w:val="20"/>
              </w:rPr>
              <w:t>IND/GLY/MF pivotal trials have shown that the quality of life of symptomatic patients with IND/GLY/MF is better than the comparators considered (captured via EQ-5D/AQLQ).</w:t>
            </w:r>
            <w:r w:rsidR="0042686C" w:rsidRPr="0040278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f, g</w:t>
            </w:r>
          </w:p>
        </w:tc>
      </w:tr>
      <w:tr w:rsidR="00720C86" w:rsidRPr="00402781" w14:paraId="0929219D" w14:textId="77777777" w:rsidTr="00720C86">
        <w:trPr>
          <w:trHeight w:val="2065"/>
        </w:trPr>
        <w:tc>
          <w:tcPr>
            <w:tcW w:w="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ABC97" w14:textId="77777777" w:rsidR="00720C86" w:rsidRPr="00402781" w:rsidRDefault="00720C86" w:rsidP="001236D9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9EFC" w14:textId="77777777" w:rsidR="00720C86" w:rsidRPr="00402781" w:rsidRDefault="00720C86" w:rsidP="001236D9">
            <w:pPr>
              <w:rPr>
                <w:rFonts w:ascii="Arial" w:hAnsi="Arial" w:cs="Arial"/>
                <w:color w:val="000000"/>
                <w:sz w:val="20"/>
              </w:rPr>
            </w:pPr>
            <w:r w:rsidRPr="00402781">
              <w:rPr>
                <w:rFonts w:ascii="Arial" w:hAnsi="Arial" w:cs="Arial"/>
                <w:color w:val="000000"/>
                <w:sz w:val="20"/>
              </w:rPr>
              <w:t>Upon treatment discontinuation or non-response, patients on both treatment and comparator were assumed to return to high dose ICS/LABA and hence, assumed to have ICS/LABA efficacy.</w:t>
            </w:r>
          </w:p>
        </w:tc>
        <w:tc>
          <w:tcPr>
            <w:tcW w:w="4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F0E1" w14:textId="57AEE52C" w:rsidR="00720C86" w:rsidRPr="00402781" w:rsidRDefault="00720C86" w:rsidP="001236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color w:val="000000"/>
                <w:sz w:val="20"/>
                <w:szCs w:val="20"/>
              </w:rPr>
              <w:t>High dose ICS/LABA is considered the standard-of-care in chronic moderate-to-severe asthma management as per GINA guidelines.</w:t>
            </w:r>
            <w:r w:rsidR="0042686C" w:rsidRPr="0040278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h</w:t>
            </w:r>
          </w:p>
          <w:p w14:paraId="44F1BE95" w14:textId="2798DC7D" w:rsidR="00720C86" w:rsidRPr="00402781" w:rsidRDefault="00720C86" w:rsidP="001236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color w:val="000000"/>
                <w:sz w:val="20"/>
                <w:szCs w:val="20"/>
              </w:rPr>
              <w:t>Consistent with previous economic evaluations in asthma [including add-on tiotropium, a direct comparator to IND/GLY/MF].</w:t>
            </w:r>
            <w:r w:rsidRPr="0040278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b-e, </w:t>
            </w:r>
            <w:r w:rsidR="0042686C" w:rsidRPr="0040278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i</w:t>
            </w:r>
          </w:p>
        </w:tc>
      </w:tr>
      <w:tr w:rsidR="00720C86" w:rsidRPr="00402781" w14:paraId="1B5D2986" w14:textId="77777777" w:rsidTr="00C50B67">
        <w:trPr>
          <w:trHeight w:val="1345"/>
        </w:trPr>
        <w:tc>
          <w:tcPr>
            <w:tcW w:w="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B4274" w14:textId="77777777" w:rsidR="00720C86" w:rsidRPr="00402781" w:rsidRDefault="00720C86" w:rsidP="001236D9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1B62" w14:textId="77777777" w:rsidR="00720C86" w:rsidRPr="00402781" w:rsidRDefault="00720C86" w:rsidP="001236D9">
            <w:pPr>
              <w:rPr>
                <w:rFonts w:ascii="Arial" w:hAnsi="Arial" w:cs="Arial"/>
                <w:color w:val="000000"/>
                <w:sz w:val="20"/>
              </w:rPr>
            </w:pPr>
            <w:r w:rsidRPr="00402781">
              <w:rPr>
                <w:rFonts w:ascii="Arial" w:hAnsi="Arial" w:cs="Arial"/>
                <w:color w:val="000000"/>
                <w:sz w:val="20"/>
              </w:rPr>
              <w:t xml:space="preserve">Asthma exacerbation mortality has not been considered in the base case, as there were no asthma related deaths in the trials. </w:t>
            </w:r>
          </w:p>
          <w:p w14:paraId="01F43DC5" w14:textId="77777777" w:rsidR="00720C86" w:rsidRPr="00402781" w:rsidRDefault="00720C86" w:rsidP="001236D9">
            <w:pPr>
              <w:rPr>
                <w:rFonts w:ascii="Arial" w:hAnsi="Arial" w:cs="Arial"/>
                <w:color w:val="000000"/>
                <w:sz w:val="20"/>
              </w:rPr>
            </w:pPr>
            <w:r w:rsidRPr="00402781">
              <w:rPr>
                <w:rFonts w:ascii="Arial" w:hAnsi="Arial" w:cs="Arial"/>
                <w:color w:val="000000"/>
                <w:sz w:val="20"/>
              </w:rPr>
              <w:t>However, model has a placeholder to consider it in a scenario, if required.</w:t>
            </w:r>
          </w:p>
        </w:tc>
        <w:tc>
          <w:tcPr>
            <w:tcW w:w="4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66C4" w14:textId="37E6F0BC" w:rsidR="00720C86" w:rsidRPr="00402781" w:rsidRDefault="00720C86" w:rsidP="001236D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color w:val="000000"/>
                <w:sz w:val="20"/>
                <w:szCs w:val="20"/>
              </w:rPr>
              <w:t>There were no asthma related deaths observed in IND/GLY/MF pivotal trials</w:t>
            </w:r>
            <w:r w:rsidR="0042686C" w:rsidRPr="0040278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2686C" w:rsidRPr="0040278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f, g</w:t>
            </w:r>
          </w:p>
        </w:tc>
      </w:tr>
      <w:tr w:rsidR="00720C86" w:rsidRPr="00402781" w14:paraId="2EE9728B" w14:textId="77777777" w:rsidTr="00720C86">
        <w:trPr>
          <w:trHeight w:val="1408"/>
        </w:trPr>
        <w:tc>
          <w:tcPr>
            <w:tcW w:w="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CCA0" w14:textId="77777777" w:rsidR="00720C86" w:rsidRPr="00402781" w:rsidRDefault="00720C86" w:rsidP="001236D9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F2E3" w14:textId="77777777" w:rsidR="00720C86" w:rsidRPr="00402781" w:rsidRDefault="00720C86" w:rsidP="001236D9">
            <w:pPr>
              <w:rPr>
                <w:rFonts w:ascii="Arial" w:hAnsi="Arial" w:cs="Arial"/>
                <w:color w:val="000000"/>
                <w:sz w:val="20"/>
              </w:rPr>
            </w:pPr>
            <w:r w:rsidRPr="00402781">
              <w:rPr>
                <w:rFonts w:ascii="Arial" w:hAnsi="Arial" w:cs="Arial"/>
                <w:color w:val="000000"/>
                <w:sz w:val="20"/>
              </w:rPr>
              <w:t>The model assumes 100% compliance with IND/GLY/MF and hence treatment response has not been considered in the base case, however, it can be considered in scenario analysis.</w:t>
            </w:r>
          </w:p>
        </w:tc>
        <w:tc>
          <w:tcPr>
            <w:tcW w:w="4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EC35B" w14:textId="31AE3816" w:rsidR="00720C86" w:rsidRPr="00402781" w:rsidRDefault="00720C86" w:rsidP="001236D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color w:val="000000"/>
                <w:sz w:val="20"/>
                <w:szCs w:val="20"/>
              </w:rPr>
              <w:t>Discontinuation from treatment with IND/GLY/MF were observed to be low, as per the pivotal trials.</w:t>
            </w:r>
            <w:r w:rsidR="0042686C" w:rsidRPr="0040278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f, g</w:t>
            </w:r>
          </w:p>
        </w:tc>
      </w:tr>
      <w:tr w:rsidR="00720C86" w:rsidRPr="00402781" w14:paraId="3CB06DAB" w14:textId="77777777" w:rsidTr="001236D9">
        <w:trPr>
          <w:trHeight w:val="710"/>
        </w:trPr>
        <w:tc>
          <w:tcPr>
            <w:tcW w:w="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1B55" w14:textId="77777777" w:rsidR="00720C86" w:rsidRPr="00402781" w:rsidRDefault="00720C86" w:rsidP="001236D9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167BE" w14:textId="77777777" w:rsidR="00720C86" w:rsidRPr="00402781" w:rsidRDefault="00720C86" w:rsidP="001236D9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color w:val="000000"/>
                <w:sz w:val="20"/>
                <w:szCs w:val="20"/>
              </w:rPr>
              <w:t>For the purpose of this model, the moderate exacerbation rates were estimated as all exacerbations except severe exacerbations (all exacerbations – severe exacerbations)</w:t>
            </w:r>
          </w:p>
        </w:tc>
        <w:tc>
          <w:tcPr>
            <w:tcW w:w="4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B206" w14:textId="77777777" w:rsidR="00720C86" w:rsidRPr="00402781" w:rsidRDefault="00720C86" w:rsidP="001236D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color w:val="000000"/>
                <w:sz w:val="20"/>
                <w:szCs w:val="20"/>
              </w:rPr>
              <w:t>Definition of moderate exacerbations not consistent across trials.</w:t>
            </w:r>
          </w:p>
          <w:p w14:paraId="644B6D63" w14:textId="77777777" w:rsidR="00720C86" w:rsidRPr="00402781" w:rsidRDefault="00720C86" w:rsidP="001236D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781">
              <w:rPr>
                <w:rFonts w:ascii="Arial" w:hAnsi="Arial" w:cs="Arial"/>
                <w:color w:val="000000"/>
                <w:sz w:val="20"/>
                <w:szCs w:val="20"/>
              </w:rPr>
              <w:t>Consistent with expert clinician's suggestion after reviewing global model</w:t>
            </w:r>
          </w:p>
        </w:tc>
      </w:tr>
    </w:tbl>
    <w:p w14:paraId="69034ED2" w14:textId="701098E1" w:rsidR="00720C86" w:rsidRPr="00402781" w:rsidRDefault="00332C46" w:rsidP="00720C86">
      <w:pPr>
        <w:pStyle w:val="tabfignote"/>
        <w:rPr>
          <w:color w:val="000000"/>
        </w:rPr>
      </w:pPr>
      <w:r w:rsidRPr="00402781">
        <w:rPr>
          <w:b/>
          <w:bCs/>
          <w:color w:val="000000"/>
        </w:rPr>
        <w:t>Abbreviations:</w:t>
      </w:r>
      <w:r w:rsidR="00720C86" w:rsidRPr="00402781">
        <w:rPr>
          <w:color w:val="000000"/>
        </w:rPr>
        <w:t xml:space="preserve"> </w:t>
      </w:r>
      <w:r w:rsidR="00E71321" w:rsidRPr="00402781">
        <w:rPr>
          <w:color w:val="000000"/>
        </w:rPr>
        <w:t xml:space="preserve">AQLQ, Asthma Quality of Life Questionnaire; GINA, Global Initiative for Asthma; HRQoL, Health related quality of life; ICS, low-dose inhaled corticosteroids; </w:t>
      </w:r>
      <w:r w:rsidR="00720C86" w:rsidRPr="00402781">
        <w:rPr>
          <w:color w:val="000000"/>
        </w:rPr>
        <w:t xml:space="preserve">IND/GLY/MF, indacaterol acetate/glycopyrronium bromide/mometasone furoate; </w:t>
      </w:r>
      <w:r w:rsidR="00E71321" w:rsidRPr="00402781">
        <w:rPr>
          <w:color w:val="000000"/>
        </w:rPr>
        <w:t>LABA, long-acting beta2-agonists</w:t>
      </w:r>
    </w:p>
    <w:p w14:paraId="3EF3BB63" w14:textId="77777777" w:rsidR="00720C86" w:rsidRPr="00402781" w:rsidRDefault="00720C86" w:rsidP="00720C86">
      <w:pPr>
        <w:pStyle w:val="tabfignote"/>
        <w:rPr>
          <w:rFonts w:cs="Arial"/>
          <w:color w:val="000000"/>
        </w:rPr>
      </w:pPr>
      <w:r w:rsidRPr="00402781">
        <w:rPr>
          <w:rFonts w:cs="Arial"/>
          <w:color w:val="000000"/>
          <w:vertAlign w:val="superscript"/>
        </w:rPr>
        <w:t>a</w:t>
      </w:r>
      <w:r w:rsidRPr="00402781">
        <w:rPr>
          <w:rFonts w:cs="Arial"/>
          <w:color w:val="000000"/>
        </w:rPr>
        <w:t xml:space="preserve"> 150/50/160 μg, once daily</w:t>
      </w:r>
    </w:p>
    <w:p w14:paraId="27688A6D" w14:textId="77777777" w:rsidR="00720C86" w:rsidRPr="00402781" w:rsidRDefault="00720C86" w:rsidP="00720C86">
      <w:pPr>
        <w:pStyle w:val="tabfignote"/>
        <w:rPr>
          <w:rFonts w:cs="Arial"/>
          <w:color w:val="000000"/>
        </w:rPr>
      </w:pPr>
      <w:r w:rsidRPr="00402781">
        <w:rPr>
          <w:rFonts w:cs="Arial"/>
          <w:color w:val="000000"/>
          <w:vertAlign w:val="superscript"/>
        </w:rPr>
        <w:t>b</w:t>
      </w:r>
      <w:r w:rsidRPr="00402781">
        <w:rPr>
          <w:rFonts w:cs="Arial"/>
          <w:color w:val="000000"/>
        </w:rPr>
        <w:t xml:space="preserve"> National Institute for Health and Care Excellence. Benralizumab for Treating Severe Asthma Guidance. 2019. Available at: https://www.nice.org.uk/guidance/TA565/history.</w:t>
      </w:r>
    </w:p>
    <w:p w14:paraId="709339AF" w14:textId="77777777" w:rsidR="00720C86" w:rsidRPr="00402781" w:rsidRDefault="00720C86" w:rsidP="00720C86">
      <w:pPr>
        <w:pStyle w:val="tabfignote"/>
        <w:rPr>
          <w:rFonts w:cs="Arial"/>
          <w:color w:val="000000"/>
        </w:rPr>
      </w:pPr>
      <w:r w:rsidRPr="00402781">
        <w:rPr>
          <w:rFonts w:cs="Arial"/>
          <w:color w:val="000000"/>
          <w:vertAlign w:val="superscript"/>
        </w:rPr>
        <w:t>c</w:t>
      </w:r>
      <w:r w:rsidRPr="00402781">
        <w:rPr>
          <w:rFonts w:cs="Arial"/>
          <w:color w:val="000000"/>
        </w:rPr>
        <w:t xml:space="preserve"> National Institute for Health and Care Excellence. Final Appraisal Determination – Mepolizumab for Treating Severe Refractory Eosinophilic Asthma 2016. Available at: https://www.nice.org.uk/guidance/ta431/documents/final-appraisal-determination-document.  Accessed September 8, 2020.</w:t>
      </w:r>
    </w:p>
    <w:p w14:paraId="5B18D05B" w14:textId="77777777" w:rsidR="00720C86" w:rsidRPr="00402781" w:rsidRDefault="00720C86" w:rsidP="00720C86">
      <w:pPr>
        <w:pStyle w:val="tabfignote"/>
        <w:rPr>
          <w:rFonts w:cs="Arial"/>
          <w:color w:val="000000"/>
        </w:rPr>
      </w:pPr>
      <w:r w:rsidRPr="00402781">
        <w:rPr>
          <w:rFonts w:cs="Arial"/>
          <w:color w:val="000000"/>
          <w:vertAlign w:val="superscript"/>
        </w:rPr>
        <w:lastRenderedPageBreak/>
        <w:t>d</w:t>
      </w:r>
      <w:r w:rsidRPr="00402781">
        <w:rPr>
          <w:rFonts w:cs="Arial"/>
          <w:color w:val="000000"/>
        </w:rPr>
        <w:t xml:space="preserve"> National Institute for Health and Care Excellence. Omalizumab for Treating Severe Persistent Allergic Asthma. Technology Appraisal Guidance [TA278]. 2013. Available at: https://www.nice.org.uk/Guidance/TA278.  Accessed September 8, 2020.</w:t>
      </w:r>
    </w:p>
    <w:p w14:paraId="61FE0E8B" w14:textId="77777777" w:rsidR="00720C86" w:rsidRPr="00402781" w:rsidRDefault="00720C86" w:rsidP="00720C86">
      <w:pPr>
        <w:pStyle w:val="tabfignote"/>
        <w:rPr>
          <w:rFonts w:cs="Arial"/>
          <w:color w:val="000000"/>
        </w:rPr>
      </w:pPr>
      <w:r w:rsidRPr="00402781">
        <w:rPr>
          <w:rFonts w:cs="Arial"/>
          <w:color w:val="000000"/>
          <w:vertAlign w:val="superscript"/>
        </w:rPr>
        <w:t>e</w:t>
      </w:r>
      <w:r w:rsidRPr="00402781">
        <w:rPr>
          <w:rFonts w:cs="Arial"/>
          <w:color w:val="000000"/>
        </w:rPr>
        <w:t xml:space="preserve"> Tice JA, Walsh JME, Synnott P, et al. Institute for Clinical and Economic Review. Biologic Therapies for Treatment of Asthma Associated with Type 2 Inflammation: Effectiveness, Value, and Value-Based Price Benchmarks. Final Evidence Report. 2018; https://icer.org/wp-content/uploads/2020/10/ICER_Asthma-Final-Report_Unredacted_08122020.pdf.  Accessed August 20, 2021.</w:t>
      </w:r>
    </w:p>
    <w:p w14:paraId="6A80E261" w14:textId="290D568B" w:rsidR="00720C86" w:rsidRPr="00402781" w:rsidRDefault="00720C86" w:rsidP="00720C86">
      <w:pPr>
        <w:pStyle w:val="tabfignote"/>
        <w:rPr>
          <w:rFonts w:cs="Arial"/>
          <w:color w:val="000000"/>
        </w:rPr>
      </w:pPr>
      <w:r w:rsidRPr="00402781">
        <w:rPr>
          <w:rFonts w:cs="Arial"/>
          <w:color w:val="000000"/>
          <w:vertAlign w:val="superscript"/>
        </w:rPr>
        <w:t>f</w:t>
      </w:r>
      <w:r w:rsidRPr="00402781">
        <w:rPr>
          <w:rFonts w:cs="Arial"/>
          <w:color w:val="000000"/>
        </w:rPr>
        <w:t xml:space="preserve"> </w:t>
      </w:r>
      <w:r w:rsidR="0042686C" w:rsidRPr="00402781">
        <w:rPr>
          <w:rFonts w:cs="Arial"/>
          <w:color w:val="000000"/>
        </w:rPr>
        <w:t>ClinicalTrials.gov: NCT02571777. Study to Compare the Efficacy and Safety of QVM149 With QMF149 in Patients With Asthma. 2020. https://clinicaltrials.gov/ct2/show/NCT02571777. Accessed June 4, 2020.</w:t>
      </w:r>
    </w:p>
    <w:p w14:paraId="6D79950D" w14:textId="4E338520" w:rsidR="00720C86" w:rsidRPr="00402781" w:rsidRDefault="00720C86" w:rsidP="00720C86">
      <w:pPr>
        <w:pStyle w:val="tabfignote"/>
        <w:rPr>
          <w:rFonts w:cs="Arial"/>
          <w:color w:val="000000"/>
        </w:rPr>
      </w:pPr>
      <w:r w:rsidRPr="00402781">
        <w:rPr>
          <w:rFonts w:cs="Arial"/>
          <w:color w:val="000000"/>
          <w:vertAlign w:val="superscript"/>
        </w:rPr>
        <w:t>g</w:t>
      </w:r>
      <w:r w:rsidRPr="00402781">
        <w:rPr>
          <w:rFonts w:cs="Arial"/>
          <w:color w:val="000000"/>
        </w:rPr>
        <w:t xml:space="preserve"> </w:t>
      </w:r>
      <w:r w:rsidR="0042686C" w:rsidRPr="00402781">
        <w:rPr>
          <w:rFonts w:cs="Arial"/>
          <w:color w:val="000000"/>
        </w:rPr>
        <w:t>ClinicalTrials.gov: NCT03158311. Study to Compare QVM149 and Free Triple Combination of Salmeterol/Fluticasone + Tiotropium (ARGON). 2020. https://clinicaltrials.gov/ct2/show/NCT03158311. Accessed June 4, 2020.</w:t>
      </w:r>
    </w:p>
    <w:p w14:paraId="6C58108D" w14:textId="3F322085" w:rsidR="00720C86" w:rsidRPr="00402781" w:rsidRDefault="00720C86" w:rsidP="00720C86">
      <w:pPr>
        <w:pStyle w:val="tabfignote"/>
        <w:rPr>
          <w:rFonts w:cs="Arial"/>
          <w:color w:val="000000"/>
        </w:rPr>
      </w:pPr>
      <w:r w:rsidRPr="00402781">
        <w:rPr>
          <w:rFonts w:cs="Arial"/>
          <w:color w:val="000000"/>
          <w:vertAlign w:val="superscript"/>
        </w:rPr>
        <w:t>h</w:t>
      </w:r>
      <w:r w:rsidRPr="00402781">
        <w:rPr>
          <w:rFonts w:cs="Arial"/>
          <w:color w:val="000000"/>
        </w:rPr>
        <w:t xml:space="preserve"> </w:t>
      </w:r>
      <w:r w:rsidR="0042686C" w:rsidRPr="00402781">
        <w:rPr>
          <w:rFonts w:cs="Arial"/>
          <w:color w:val="000000"/>
        </w:rPr>
        <w:t>Global Initiative for Asthma. Global Strategy for Asthma Management and Prevention. 2020. https://ginasthma.org/wp-content/uploads/2020/06/GINA-2020-report_20_06_04-1-wms.pdf.</w:t>
      </w:r>
    </w:p>
    <w:p w14:paraId="097FE2BE" w14:textId="20801D23" w:rsidR="00720C86" w:rsidRPr="00402781" w:rsidRDefault="0042686C" w:rsidP="00720C86">
      <w:pPr>
        <w:pStyle w:val="tabfignote"/>
        <w:rPr>
          <w:rFonts w:cs="Arial"/>
          <w:color w:val="000000"/>
        </w:rPr>
      </w:pPr>
      <w:r w:rsidRPr="00402781">
        <w:rPr>
          <w:rFonts w:cs="Arial"/>
          <w:color w:val="000000"/>
          <w:vertAlign w:val="superscript"/>
        </w:rPr>
        <w:t>i</w:t>
      </w:r>
      <w:r w:rsidR="00720C86" w:rsidRPr="00402781">
        <w:rPr>
          <w:rFonts w:cs="Arial"/>
          <w:color w:val="000000"/>
        </w:rPr>
        <w:t xml:space="preserve"> </w:t>
      </w:r>
      <w:r w:rsidRPr="00402781">
        <w:rPr>
          <w:rFonts w:cs="Arial"/>
          <w:color w:val="000000"/>
        </w:rPr>
        <w:t>Willson J, Bateman ED, Pavord I, Lloyd A, Krivasi T, Esser D. Cost effectiveness of tiotropium in patients with asthma poorly controlled on inhaled glucocorticosteroids and long-acting beta-agonists. Appl Health Econ Health Policy. Aug 2014;12(4):447-459.</w:t>
      </w:r>
    </w:p>
    <w:p w14:paraId="10BAA456" w14:textId="633F2D57" w:rsidR="00864D04" w:rsidRPr="00402781" w:rsidRDefault="00864D04" w:rsidP="00EE7020">
      <w:pPr>
        <w:rPr>
          <w:rFonts w:ascii="Arial" w:hAnsi="Arial" w:cs="Arial"/>
          <w:b/>
          <w:bCs/>
          <w:color w:val="000000"/>
        </w:rPr>
      </w:pPr>
    </w:p>
    <w:p w14:paraId="09BB41FE" w14:textId="6FDF6983" w:rsidR="00864D04" w:rsidRPr="00402781" w:rsidRDefault="00864D04" w:rsidP="00EE7020">
      <w:pPr>
        <w:rPr>
          <w:rFonts w:ascii="Arial" w:hAnsi="Arial" w:cs="Arial"/>
          <w:b/>
          <w:bCs/>
          <w:color w:val="000000"/>
        </w:rPr>
      </w:pPr>
    </w:p>
    <w:p w14:paraId="68DFC84A" w14:textId="6C13A8E7" w:rsidR="00864D04" w:rsidRPr="00402781" w:rsidRDefault="00864D04" w:rsidP="00EE7020">
      <w:pPr>
        <w:rPr>
          <w:rFonts w:ascii="Arial" w:hAnsi="Arial" w:cs="Arial"/>
          <w:b/>
          <w:bCs/>
          <w:color w:val="000000"/>
        </w:rPr>
      </w:pPr>
    </w:p>
    <w:p w14:paraId="4943A6F2" w14:textId="436863A9" w:rsidR="00864D04" w:rsidRPr="00402781" w:rsidRDefault="00864D04" w:rsidP="00EE7020">
      <w:pPr>
        <w:rPr>
          <w:rFonts w:ascii="Arial" w:hAnsi="Arial" w:cs="Arial"/>
          <w:b/>
          <w:bCs/>
          <w:color w:val="000000"/>
        </w:rPr>
      </w:pPr>
    </w:p>
    <w:p w14:paraId="5B067537" w14:textId="77777777" w:rsidR="00332C46" w:rsidRPr="00402781" w:rsidRDefault="00332C46" w:rsidP="00EE7020">
      <w:pPr>
        <w:rPr>
          <w:rFonts w:ascii="Arial" w:hAnsi="Arial" w:cs="Arial"/>
          <w:b/>
          <w:bCs/>
          <w:color w:val="000000"/>
        </w:rPr>
        <w:sectPr w:rsidR="00332C46" w:rsidRPr="00402781" w:rsidSect="001236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CD5E2B" w14:textId="4257A5E3" w:rsidR="00084B4C" w:rsidRPr="00402781" w:rsidRDefault="00084B4C" w:rsidP="00EE7020">
      <w:pPr>
        <w:rPr>
          <w:rFonts w:ascii="Arial" w:hAnsi="Arial" w:cs="Arial"/>
          <w:b/>
          <w:bCs/>
          <w:color w:val="000000"/>
        </w:rPr>
      </w:pPr>
      <w:r w:rsidRPr="00402781">
        <w:rPr>
          <w:rFonts w:ascii="Arial" w:hAnsi="Arial" w:cs="Arial"/>
          <w:b/>
          <w:bCs/>
          <w:color w:val="000000"/>
        </w:rPr>
        <w:lastRenderedPageBreak/>
        <w:t>Table S-</w:t>
      </w:r>
      <w:r w:rsidR="00907754" w:rsidRPr="00402781">
        <w:rPr>
          <w:rFonts w:ascii="Arial" w:hAnsi="Arial" w:cs="Arial"/>
          <w:b/>
          <w:bCs/>
          <w:color w:val="000000"/>
        </w:rPr>
        <w:t>2</w:t>
      </w:r>
      <w:r w:rsidRPr="00402781">
        <w:rPr>
          <w:rFonts w:ascii="Arial" w:hAnsi="Arial" w:cs="Arial"/>
          <w:b/>
          <w:bCs/>
          <w:color w:val="000000"/>
        </w:rPr>
        <w:t>. Health Care Resource Use for Different Types of Exacerbations</w:t>
      </w:r>
    </w:p>
    <w:tbl>
      <w:tblPr>
        <w:tblW w:w="5096" w:type="pct"/>
        <w:tblBorders>
          <w:top w:val="single" w:sz="12" w:space="0" w:color="000000"/>
          <w:bottom w:val="single" w:sz="12" w:space="0" w:color="000000"/>
          <w:insideH w:val="single" w:sz="2" w:space="0" w:color="DDDDDD"/>
        </w:tblBorders>
        <w:tblLook w:val="04A0" w:firstRow="1" w:lastRow="0" w:firstColumn="1" w:lastColumn="0" w:noHBand="0" w:noVBand="1"/>
      </w:tblPr>
      <w:tblGrid>
        <w:gridCol w:w="2046"/>
        <w:gridCol w:w="1757"/>
        <w:gridCol w:w="1755"/>
        <w:gridCol w:w="1900"/>
        <w:gridCol w:w="2082"/>
      </w:tblGrid>
      <w:tr w:rsidR="00084B4C" w:rsidRPr="00402781" w14:paraId="7FE901AB" w14:textId="77777777" w:rsidTr="009C41F7">
        <w:trPr>
          <w:cantSplit/>
          <w:tblHeader/>
        </w:trPr>
        <w:tc>
          <w:tcPr>
            <w:tcW w:w="1072" w:type="pct"/>
            <w:vMerge w:val="restart"/>
            <w:tcBorders>
              <w:top w:val="single" w:sz="12" w:space="0" w:color="000000"/>
            </w:tcBorders>
            <w:shd w:val="clear" w:color="auto" w:fill="E6E6E6"/>
            <w:vAlign w:val="bottom"/>
          </w:tcPr>
          <w:p w14:paraId="42A26B17" w14:textId="77777777" w:rsidR="00084B4C" w:rsidRPr="00402781" w:rsidRDefault="00084B4C" w:rsidP="001236D9">
            <w:pPr>
              <w:pStyle w:val="Tableheadings"/>
              <w:rPr>
                <w:color w:val="000000"/>
              </w:rPr>
            </w:pPr>
          </w:p>
        </w:tc>
        <w:tc>
          <w:tcPr>
            <w:tcW w:w="921" w:type="pct"/>
            <w:vMerge w:val="restart"/>
            <w:tcBorders>
              <w:top w:val="single" w:sz="12" w:space="0" w:color="000000"/>
            </w:tcBorders>
            <w:shd w:val="clear" w:color="auto" w:fill="E6E6E6"/>
            <w:vAlign w:val="bottom"/>
          </w:tcPr>
          <w:p w14:paraId="6BF33888" w14:textId="77777777" w:rsidR="00084B4C" w:rsidRPr="00402781" w:rsidRDefault="00084B4C" w:rsidP="001236D9">
            <w:pPr>
              <w:pStyle w:val="Tableheadings"/>
              <w:rPr>
                <w:color w:val="000000"/>
              </w:rPr>
            </w:pPr>
            <w:r w:rsidRPr="00402781">
              <w:rPr>
                <w:color w:val="000000"/>
              </w:rPr>
              <w:t>Moderate Exacerbation</w:t>
            </w:r>
          </w:p>
        </w:tc>
        <w:tc>
          <w:tcPr>
            <w:tcW w:w="3006" w:type="pct"/>
            <w:gridSpan w:val="3"/>
            <w:tcBorders>
              <w:top w:val="single" w:sz="12" w:space="0" w:color="000000"/>
              <w:bottom w:val="single" w:sz="4" w:space="0" w:color="auto"/>
            </w:tcBorders>
            <w:shd w:val="clear" w:color="auto" w:fill="E6E6E6"/>
            <w:vAlign w:val="bottom"/>
          </w:tcPr>
          <w:p w14:paraId="6CCC97D0" w14:textId="77777777" w:rsidR="00084B4C" w:rsidRPr="00402781" w:rsidRDefault="00084B4C" w:rsidP="001236D9">
            <w:pPr>
              <w:pStyle w:val="Tableheadings"/>
              <w:rPr>
                <w:color w:val="000000"/>
              </w:rPr>
            </w:pPr>
            <w:r w:rsidRPr="00402781">
              <w:rPr>
                <w:color w:val="000000"/>
              </w:rPr>
              <w:t>Severe Exacerbation</w:t>
            </w:r>
          </w:p>
        </w:tc>
      </w:tr>
      <w:tr w:rsidR="00084B4C" w:rsidRPr="00402781" w14:paraId="506C0128" w14:textId="77777777" w:rsidTr="009C41F7">
        <w:trPr>
          <w:cantSplit/>
          <w:tblHeader/>
        </w:trPr>
        <w:tc>
          <w:tcPr>
            <w:tcW w:w="1072" w:type="pct"/>
            <w:vMerge/>
            <w:tcBorders>
              <w:bottom w:val="single" w:sz="2" w:space="0" w:color="DDDDDD"/>
            </w:tcBorders>
            <w:shd w:val="clear" w:color="auto" w:fill="E6E6E6"/>
            <w:vAlign w:val="bottom"/>
          </w:tcPr>
          <w:p w14:paraId="28F1E7BF" w14:textId="77777777" w:rsidR="00084B4C" w:rsidRPr="00402781" w:rsidRDefault="00084B4C" w:rsidP="001236D9">
            <w:pPr>
              <w:pStyle w:val="Tableheadings"/>
              <w:rPr>
                <w:color w:val="000000"/>
              </w:rPr>
            </w:pPr>
          </w:p>
        </w:tc>
        <w:tc>
          <w:tcPr>
            <w:tcW w:w="921" w:type="pct"/>
            <w:vMerge/>
            <w:tcBorders>
              <w:bottom w:val="single" w:sz="2" w:space="0" w:color="DDDDDD"/>
            </w:tcBorders>
            <w:shd w:val="clear" w:color="auto" w:fill="E6E6E6"/>
            <w:vAlign w:val="bottom"/>
          </w:tcPr>
          <w:p w14:paraId="63545025" w14:textId="77777777" w:rsidR="00084B4C" w:rsidRPr="00402781" w:rsidRDefault="00084B4C" w:rsidP="001236D9">
            <w:pPr>
              <w:pStyle w:val="Tableheadings"/>
              <w:rPr>
                <w:color w:val="000000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2" w:space="0" w:color="DDDDDD"/>
            </w:tcBorders>
            <w:shd w:val="clear" w:color="auto" w:fill="E6E6E6"/>
            <w:vAlign w:val="bottom"/>
          </w:tcPr>
          <w:p w14:paraId="34937967" w14:textId="77777777" w:rsidR="00084B4C" w:rsidRPr="00402781" w:rsidRDefault="00084B4C" w:rsidP="001236D9">
            <w:pPr>
              <w:pStyle w:val="Tableheadings"/>
              <w:rPr>
                <w:color w:val="000000"/>
              </w:rPr>
            </w:pPr>
            <w:r w:rsidRPr="00402781">
              <w:rPr>
                <w:color w:val="000000"/>
              </w:rPr>
              <w:t>OCS Burst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2" w:space="0" w:color="DDDDDD"/>
            </w:tcBorders>
            <w:shd w:val="clear" w:color="auto" w:fill="E6E6E6"/>
            <w:vAlign w:val="bottom"/>
          </w:tcPr>
          <w:p w14:paraId="18A535B8" w14:textId="77777777" w:rsidR="00084B4C" w:rsidRPr="00402781" w:rsidRDefault="00084B4C" w:rsidP="001236D9">
            <w:pPr>
              <w:pStyle w:val="Tableheadings"/>
              <w:rPr>
                <w:color w:val="000000"/>
              </w:rPr>
            </w:pPr>
            <w:r w:rsidRPr="00402781">
              <w:rPr>
                <w:color w:val="000000"/>
              </w:rPr>
              <w:t>ED Visit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2" w:space="0" w:color="DDDDDD"/>
            </w:tcBorders>
            <w:shd w:val="clear" w:color="auto" w:fill="E6E6E6"/>
            <w:vAlign w:val="bottom"/>
          </w:tcPr>
          <w:p w14:paraId="150A8A65" w14:textId="77777777" w:rsidR="00084B4C" w:rsidRPr="00402781" w:rsidRDefault="00084B4C" w:rsidP="001236D9">
            <w:pPr>
              <w:pStyle w:val="Tableheadings"/>
              <w:rPr>
                <w:color w:val="000000"/>
              </w:rPr>
            </w:pPr>
            <w:r w:rsidRPr="00402781">
              <w:rPr>
                <w:color w:val="000000"/>
              </w:rPr>
              <w:t>Hospitalization</w:t>
            </w:r>
          </w:p>
        </w:tc>
      </w:tr>
      <w:tr w:rsidR="00084B4C" w:rsidRPr="00402781" w14:paraId="24124722" w14:textId="77777777" w:rsidTr="001236D9">
        <w:trPr>
          <w:cantSplit/>
        </w:trPr>
        <w:tc>
          <w:tcPr>
            <w:tcW w:w="1072" w:type="pct"/>
            <w:tcBorders>
              <w:top w:val="single" w:sz="2" w:space="0" w:color="DDDDDD"/>
            </w:tcBorders>
            <w:shd w:val="clear" w:color="auto" w:fill="auto"/>
          </w:tcPr>
          <w:p w14:paraId="5A754BC6" w14:textId="77777777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GP visit (unscheduled )</w:t>
            </w:r>
          </w:p>
        </w:tc>
        <w:tc>
          <w:tcPr>
            <w:tcW w:w="921" w:type="pct"/>
            <w:tcBorders>
              <w:top w:val="single" w:sz="2" w:space="0" w:color="DDDDDD"/>
            </w:tcBorders>
          </w:tcPr>
          <w:p w14:paraId="60E8C883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920" w:type="pct"/>
            <w:tcBorders>
              <w:top w:val="single" w:sz="2" w:space="0" w:color="DDDDDD"/>
            </w:tcBorders>
            <w:shd w:val="clear" w:color="auto" w:fill="auto"/>
          </w:tcPr>
          <w:p w14:paraId="5D6144C5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</w:t>
            </w:r>
          </w:p>
        </w:tc>
        <w:tc>
          <w:tcPr>
            <w:tcW w:w="996" w:type="pct"/>
            <w:tcBorders>
              <w:top w:val="single" w:sz="2" w:space="0" w:color="DDDDDD"/>
            </w:tcBorders>
            <w:shd w:val="clear" w:color="auto" w:fill="auto"/>
          </w:tcPr>
          <w:p w14:paraId="77982B14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</w:t>
            </w:r>
          </w:p>
        </w:tc>
        <w:tc>
          <w:tcPr>
            <w:tcW w:w="1091" w:type="pct"/>
            <w:tcBorders>
              <w:top w:val="single" w:sz="2" w:space="0" w:color="DDDDDD"/>
            </w:tcBorders>
            <w:shd w:val="clear" w:color="auto" w:fill="auto"/>
          </w:tcPr>
          <w:p w14:paraId="23B9A597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</w:t>
            </w:r>
          </w:p>
        </w:tc>
      </w:tr>
      <w:tr w:rsidR="00084B4C" w:rsidRPr="00402781" w14:paraId="58583174" w14:textId="77777777" w:rsidTr="001236D9">
        <w:trPr>
          <w:cantSplit/>
        </w:trPr>
        <w:tc>
          <w:tcPr>
            <w:tcW w:w="1072" w:type="pct"/>
            <w:shd w:val="clear" w:color="auto" w:fill="auto"/>
          </w:tcPr>
          <w:p w14:paraId="6C3F9C72" w14:textId="77777777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ED visit</w:t>
            </w:r>
          </w:p>
        </w:tc>
        <w:tc>
          <w:tcPr>
            <w:tcW w:w="921" w:type="pct"/>
          </w:tcPr>
          <w:p w14:paraId="5F61AAFD" w14:textId="77777777" w:rsidR="00084B4C" w:rsidRPr="00402781" w:rsidRDefault="00084B4C" w:rsidP="001236D9">
            <w:pPr>
              <w:pStyle w:val="Tabletext"/>
              <w:rPr>
                <w:color w:val="000000"/>
              </w:rPr>
            </w:pPr>
          </w:p>
        </w:tc>
        <w:tc>
          <w:tcPr>
            <w:tcW w:w="920" w:type="pct"/>
            <w:shd w:val="clear" w:color="auto" w:fill="auto"/>
          </w:tcPr>
          <w:p w14:paraId="40E98334" w14:textId="77777777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 </w:t>
            </w:r>
          </w:p>
        </w:tc>
        <w:tc>
          <w:tcPr>
            <w:tcW w:w="996" w:type="pct"/>
            <w:shd w:val="clear" w:color="auto" w:fill="auto"/>
          </w:tcPr>
          <w:p w14:paraId="595B2CD1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</w:t>
            </w:r>
          </w:p>
        </w:tc>
        <w:tc>
          <w:tcPr>
            <w:tcW w:w="1091" w:type="pct"/>
            <w:shd w:val="clear" w:color="auto" w:fill="auto"/>
          </w:tcPr>
          <w:p w14:paraId="19D34058" w14:textId="77777777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 </w:t>
            </w:r>
          </w:p>
        </w:tc>
      </w:tr>
      <w:tr w:rsidR="00084B4C" w:rsidRPr="00402781" w14:paraId="01E3E528" w14:textId="77777777" w:rsidTr="001236D9">
        <w:trPr>
          <w:cantSplit/>
        </w:trPr>
        <w:tc>
          <w:tcPr>
            <w:tcW w:w="1072" w:type="pct"/>
            <w:shd w:val="clear" w:color="auto" w:fill="auto"/>
          </w:tcPr>
          <w:p w14:paraId="4A6E25E7" w14:textId="77777777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Hospital (general ward), per stay</w:t>
            </w:r>
          </w:p>
        </w:tc>
        <w:tc>
          <w:tcPr>
            <w:tcW w:w="921" w:type="pct"/>
          </w:tcPr>
          <w:p w14:paraId="7EB0E4EF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920" w:type="pct"/>
            <w:shd w:val="clear" w:color="auto" w:fill="auto"/>
          </w:tcPr>
          <w:p w14:paraId="634B92BE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996" w:type="pct"/>
            <w:shd w:val="clear" w:color="auto" w:fill="auto"/>
          </w:tcPr>
          <w:p w14:paraId="65496ED8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1091" w:type="pct"/>
            <w:shd w:val="clear" w:color="auto" w:fill="auto"/>
          </w:tcPr>
          <w:p w14:paraId="4D2E3CEB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</w:t>
            </w:r>
          </w:p>
        </w:tc>
      </w:tr>
      <w:tr w:rsidR="00084B4C" w:rsidRPr="00402781" w14:paraId="5EF94137" w14:textId="77777777" w:rsidTr="001236D9">
        <w:trPr>
          <w:cantSplit/>
        </w:trPr>
        <w:tc>
          <w:tcPr>
            <w:tcW w:w="1072" w:type="pct"/>
            <w:shd w:val="clear" w:color="auto" w:fill="auto"/>
          </w:tcPr>
          <w:p w14:paraId="1EDAE495" w14:textId="77777777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Hospital outpatient visits</w:t>
            </w:r>
          </w:p>
        </w:tc>
        <w:tc>
          <w:tcPr>
            <w:tcW w:w="921" w:type="pct"/>
          </w:tcPr>
          <w:p w14:paraId="4E7FF2AF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920" w:type="pct"/>
            <w:shd w:val="clear" w:color="auto" w:fill="auto"/>
          </w:tcPr>
          <w:p w14:paraId="1D8E0A27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996" w:type="pct"/>
            <w:shd w:val="clear" w:color="auto" w:fill="auto"/>
          </w:tcPr>
          <w:p w14:paraId="6D284731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1091" w:type="pct"/>
            <w:shd w:val="clear" w:color="auto" w:fill="auto"/>
          </w:tcPr>
          <w:p w14:paraId="3D401883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</w:t>
            </w:r>
          </w:p>
        </w:tc>
      </w:tr>
      <w:tr w:rsidR="00084B4C" w:rsidRPr="00402781" w14:paraId="43028A68" w14:textId="77777777" w:rsidTr="001236D9">
        <w:trPr>
          <w:cantSplit/>
        </w:trPr>
        <w:tc>
          <w:tcPr>
            <w:tcW w:w="1072" w:type="pct"/>
            <w:tcBorders>
              <w:bottom w:val="single" w:sz="2" w:space="0" w:color="DDDDDD"/>
            </w:tcBorders>
            <w:shd w:val="clear" w:color="auto" w:fill="auto"/>
          </w:tcPr>
          <w:p w14:paraId="1B47BCD7" w14:textId="77777777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Nurse educator</w:t>
            </w:r>
          </w:p>
        </w:tc>
        <w:tc>
          <w:tcPr>
            <w:tcW w:w="921" w:type="pct"/>
            <w:tcBorders>
              <w:bottom w:val="single" w:sz="2" w:space="0" w:color="DDDDDD"/>
            </w:tcBorders>
          </w:tcPr>
          <w:p w14:paraId="2A244020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920" w:type="pct"/>
            <w:tcBorders>
              <w:bottom w:val="single" w:sz="2" w:space="0" w:color="DDDDDD"/>
            </w:tcBorders>
            <w:shd w:val="clear" w:color="auto" w:fill="auto"/>
          </w:tcPr>
          <w:p w14:paraId="4BBCD20F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996" w:type="pct"/>
            <w:tcBorders>
              <w:bottom w:val="single" w:sz="2" w:space="0" w:color="DDDDDD"/>
            </w:tcBorders>
            <w:shd w:val="clear" w:color="auto" w:fill="auto"/>
          </w:tcPr>
          <w:p w14:paraId="25D35966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</w:t>
            </w:r>
          </w:p>
        </w:tc>
        <w:tc>
          <w:tcPr>
            <w:tcW w:w="1091" w:type="pct"/>
            <w:tcBorders>
              <w:bottom w:val="single" w:sz="2" w:space="0" w:color="DDDDDD"/>
            </w:tcBorders>
            <w:shd w:val="clear" w:color="auto" w:fill="auto"/>
          </w:tcPr>
          <w:p w14:paraId="381970A0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</w:t>
            </w:r>
          </w:p>
        </w:tc>
      </w:tr>
      <w:tr w:rsidR="00084B4C" w:rsidRPr="00402781" w14:paraId="7E9628A5" w14:textId="77777777" w:rsidTr="001236D9">
        <w:trPr>
          <w:cantSplit/>
        </w:trPr>
        <w:tc>
          <w:tcPr>
            <w:tcW w:w="1072" w:type="pct"/>
            <w:tcBorders>
              <w:top w:val="single" w:sz="2" w:space="0" w:color="DDDDDD"/>
              <w:bottom w:val="single" w:sz="18" w:space="0" w:color="auto"/>
            </w:tcBorders>
            <w:shd w:val="clear" w:color="auto" w:fill="auto"/>
          </w:tcPr>
          <w:p w14:paraId="5384A148" w14:textId="77777777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Prednisone, days of medication</w:t>
            </w:r>
            <w:r w:rsidRPr="00402781">
              <w:rPr>
                <w:color w:val="000000"/>
                <w:vertAlign w:val="superscript"/>
              </w:rPr>
              <w:t>a</w:t>
            </w:r>
          </w:p>
        </w:tc>
        <w:tc>
          <w:tcPr>
            <w:tcW w:w="921" w:type="pct"/>
            <w:tcBorders>
              <w:top w:val="single" w:sz="2" w:space="0" w:color="DDDDDD"/>
              <w:bottom w:val="single" w:sz="18" w:space="0" w:color="auto"/>
            </w:tcBorders>
          </w:tcPr>
          <w:p w14:paraId="222C1768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</w:t>
            </w:r>
          </w:p>
        </w:tc>
        <w:tc>
          <w:tcPr>
            <w:tcW w:w="920" w:type="pct"/>
            <w:tcBorders>
              <w:top w:val="single" w:sz="2" w:space="0" w:color="DDDDDD"/>
              <w:bottom w:val="single" w:sz="18" w:space="0" w:color="auto"/>
            </w:tcBorders>
            <w:shd w:val="clear" w:color="auto" w:fill="auto"/>
          </w:tcPr>
          <w:p w14:paraId="108AB8DE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5</w:t>
            </w:r>
          </w:p>
        </w:tc>
        <w:tc>
          <w:tcPr>
            <w:tcW w:w="996" w:type="pct"/>
            <w:tcBorders>
              <w:top w:val="single" w:sz="2" w:space="0" w:color="DDDDDD"/>
              <w:bottom w:val="single" w:sz="18" w:space="0" w:color="auto"/>
            </w:tcBorders>
            <w:shd w:val="clear" w:color="auto" w:fill="auto"/>
          </w:tcPr>
          <w:p w14:paraId="34E2C616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5</w:t>
            </w:r>
          </w:p>
        </w:tc>
        <w:tc>
          <w:tcPr>
            <w:tcW w:w="1091" w:type="pct"/>
            <w:tcBorders>
              <w:top w:val="single" w:sz="2" w:space="0" w:color="DDDDDD"/>
              <w:bottom w:val="single" w:sz="18" w:space="0" w:color="auto"/>
            </w:tcBorders>
            <w:shd w:val="clear" w:color="auto" w:fill="auto"/>
          </w:tcPr>
          <w:p w14:paraId="7AD5FEA0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30</w:t>
            </w:r>
          </w:p>
        </w:tc>
      </w:tr>
    </w:tbl>
    <w:p w14:paraId="61A25121" w14:textId="0515A225" w:rsidR="00084B4C" w:rsidRPr="00402781" w:rsidRDefault="00332C46" w:rsidP="001236D9">
      <w:pPr>
        <w:pStyle w:val="tabfignote"/>
        <w:rPr>
          <w:rFonts w:cs="Arial"/>
          <w:color w:val="000000"/>
        </w:rPr>
      </w:pPr>
      <w:r w:rsidRPr="00402781">
        <w:rPr>
          <w:rFonts w:cs="Arial"/>
          <w:b/>
          <w:bCs/>
          <w:color w:val="000000"/>
        </w:rPr>
        <w:t>Abbreviation:</w:t>
      </w:r>
      <w:r w:rsidRPr="00402781">
        <w:rPr>
          <w:rFonts w:cs="Arial"/>
          <w:color w:val="000000"/>
        </w:rPr>
        <w:t xml:space="preserve"> </w:t>
      </w:r>
      <w:r w:rsidR="00084B4C" w:rsidRPr="00402781">
        <w:rPr>
          <w:rFonts w:cs="Arial"/>
          <w:color w:val="000000"/>
        </w:rPr>
        <w:t>N/A</w:t>
      </w:r>
      <w:r w:rsidR="0049751D" w:rsidRPr="00402781">
        <w:rPr>
          <w:rFonts w:cs="Arial"/>
          <w:color w:val="000000"/>
        </w:rPr>
        <w:t>,</w:t>
      </w:r>
      <w:r w:rsidR="00084B4C" w:rsidRPr="00402781">
        <w:rPr>
          <w:rFonts w:cs="Arial"/>
          <w:color w:val="000000"/>
        </w:rPr>
        <w:t xml:space="preserve"> </w:t>
      </w:r>
      <w:r w:rsidR="0049751D" w:rsidRPr="00402781">
        <w:rPr>
          <w:rFonts w:cs="Arial"/>
          <w:color w:val="000000"/>
        </w:rPr>
        <w:t>n</w:t>
      </w:r>
      <w:r w:rsidR="00084B4C" w:rsidRPr="00402781">
        <w:rPr>
          <w:rFonts w:cs="Arial"/>
          <w:color w:val="000000"/>
        </w:rPr>
        <w:t>ot applicable.</w:t>
      </w:r>
    </w:p>
    <w:p w14:paraId="2B0F3D53" w14:textId="77777777" w:rsidR="00084B4C" w:rsidRPr="00402781" w:rsidRDefault="00084B4C" w:rsidP="001236D9">
      <w:pPr>
        <w:pStyle w:val="tabfignote"/>
        <w:rPr>
          <w:rFonts w:cs="Arial"/>
          <w:color w:val="000000"/>
        </w:rPr>
      </w:pPr>
      <w:r w:rsidRPr="00402781">
        <w:rPr>
          <w:rFonts w:cs="Arial"/>
          <w:color w:val="000000"/>
          <w:vertAlign w:val="superscript"/>
        </w:rPr>
        <w:t>a</w:t>
      </w:r>
      <w:r w:rsidRPr="00402781">
        <w:rPr>
          <w:rFonts w:cs="Arial"/>
          <w:color w:val="000000"/>
        </w:rPr>
        <w:t>Assumptions were based on Canadian clinical practice</w:t>
      </w:r>
    </w:p>
    <w:p w14:paraId="02B066EF" w14:textId="77777777" w:rsidR="00084B4C" w:rsidRPr="00402781" w:rsidRDefault="00084B4C" w:rsidP="001236D9">
      <w:pPr>
        <w:pStyle w:val="tabfignote"/>
        <w:rPr>
          <w:rFonts w:cs="Arial"/>
          <w:color w:val="000000"/>
        </w:rPr>
      </w:pPr>
    </w:p>
    <w:p w14:paraId="446980C4" w14:textId="77777777" w:rsidR="00084B4C" w:rsidRPr="00402781" w:rsidRDefault="00084B4C" w:rsidP="001236D9">
      <w:pPr>
        <w:pStyle w:val="tabfignote"/>
        <w:rPr>
          <w:rFonts w:cs="Arial"/>
          <w:color w:val="000000"/>
        </w:rPr>
      </w:pPr>
    </w:p>
    <w:p w14:paraId="1E7DC3E9" w14:textId="77777777" w:rsidR="00084B4C" w:rsidRPr="00402781" w:rsidRDefault="00084B4C" w:rsidP="001236D9">
      <w:pPr>
        <w:pStyle w:val="tabfignote"/>
        <w:rPr>
          <w:rFonts w:cs="Arial"/>
          <w:color w:val="000000"/>
        </w:rPr>
      </w:pPr>
    </w:p>
    <w:p w14:paraId="59D190EB" w14:textId="77777777" w:rsidR="00084B4C" w:rsidRPr="00402781" w:rsidRDefault="00084B4C" w:rsidP="001236D9">
      <w:pPr>
        <w:pStyle w:val="tabfigtitle"/>
        <w:spacing w:line="360" w:lineRule="auto"/>
        <w:rPr>
          <w:rFonts w:cs="Arial"/>
          <w:color w:val="000000"/>
        </w:rPr>
        <w:sectPr w:rsidR="00084B4C" w:rsidRPr="00402781" w:rsidSect="001236D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B167F4" w14:textId="7C935B5A" w:rsidR="00084B4C" w:rsidRPr="00402781" w:rsidRDefault="00084B4C" w:rsidP="00EE7020">
      <w:pPr>
        <w:rPr>
          <w:rFonts w:ascii="Arial" w:hAnsi="Arial" w:cs="Arial"/>
          <w:b/>
          <w:bCs/>
          <w:color w:val="000000"/>
        </w:rPr>
      </w:pPr>
      <w:r w:rsidRPr="00402781">
        <w:rPr>
          <w:rFonts w:ascii="Arial" w:hAnsi="Arial" w:cs="Arial"/>
          <w:b/>
          <w:bCs/>
          <w:color w:val="000000"/>
        </w:rPr>
        <w:lastRenderedPageBreak/>
        <w:t>Table S-</w:t>
      </w:r>
      <w:r w:rsidR="00907754" w:rsidRPr="00402781">
        <w:rPr>
          <w:rFonts w:ascii="Arial" w:hAnsi="Arial" w:cs="Arial"/>
          <w:b/>
          <w:bCs/>
          <w:color w:val="000000"/>
        </w:rPr>
        <w:t>3</w:t>
      </w:r>
      <w:r w:rsidRPr="00402781">
        <w:rPr>
          <w:rFonts w:ascii="Arial" w:hAnsi="Arial" w:cs="Arial"/>
          <w:b/>
          <w:bCs/>
          <w:color w:val="000000"/>
        </w:rPr>
        <w:t>. Costs of Units, Adverse Events, and Monitoring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2" w:space="0" w:color="DDDDDD"/>
        </w:tblBorders>
        <w:tblLook w:val="04A0" w:firstRow="1" w:lastRow="0" w:firstColumn="1" w:lastColumn="0" w:noHBand="0" w:noVBand="1"/>
      </w:tblPr>
      <w:tblGrid>
        <w:gridCol w:w="3378"/>
        <w:gridCol w:w="2202"/>
        <w:gridCol w:w="3780"/>
      </w:tblGrid>
      <w:tr w:rsidR="00084B4C" w:rsidRPr="00402781" w14:paraId="3C8D1D25" w14:textId="77777777" w:rsidTr="009C41F7">
        <w:trPr>
          <w:cantSplit/>
          <w:tblHeader/>
        </w:trPr>
        <w:tc>
          <w:tcPr>
            <w:tcW w:w="1804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4BEDDAA6" w14:textId="77777777" w:rsidR="00084B4C" w:rsidRPr="00402781" w:rsidRDefault="00084B4C" w:rsidP="001236D9">
            <w:pPr>
              <w:pStyle w:val="Tableheadings"/>
              <w:rPr>
                <w:color w:val="000000"/>
              </w:rPr>
            </w:pPr>
          </w:p>
        </w:tc>
        <w:tc>
          <w:tcPr>
            <w:tcW w:w="1176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7EE9F86E" w14:textId="77777777" w:rsidR="00084B4C" w:rsidRPr="00402781" w:rsidRDefault="00084B4C" w:rsidP="001236D9">
            <w:pPr>
              <w:pStyle w:val="Tableheadings"/>
              <w:rPr>
                <w:color w:val="000000"/>
              </w:rPr>
            </w:pPr>
            <w:r w:rsidRPr="00402781">
              <w:rPr>
                <w:color w:val="000000"/>
              </w:rPr>
              <w:t>Unit costs (CAD$)</w:t>
            </w:r>
          </w:p>
        </w:tc>
        <w:tc>
          <w:tcPr>
            <w:tcW w:w="2019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70EC83E7" w14:textId="4D252C94" w:rsidR="00084B4C" w:rsidRPr="00402781" w:rsidRDefault="00084B4C" w:rsidP="009C41F7">
            <w:pPr>
              <w:pStyle w:val="Tableheadings"/>
              <w:jc w:val="left"/>
              <w:rPr>
                <w:color w:val="000000"/>
              </w:rPr>
            </w:pPr>
            <w:r w:rsidRPr="00402781">
              <w:rPr>
                <w:color w:val="000000"/>
              </w:rPr>
              <w:t>Source</w:t>
            </w:r>
            <w:r w:rsidR="009C41F7" w:rsidRPr="00402781">
              <w:rPr>
                <w:color w:val="000000"/>
              </w:rPr>
              <w:t xml:space="preserve"> </w:t>
            </w:r>
          </w:p>
        </w:tc>
      </w:tr>
      <w:tr w:rsidR="00084B4C" w:rsidRPr="00402781" w14:paraId="359B4022" w14:textId="77777777" w:rsidTr="001236D9">
        <w:trPr>
          <w:cantSplit/>
        </w:trPr>
        <w:tc>
          <w:tcPr>
            <w:tcW w:w="1804" w:type="pct"/>
            <w:tcBorders>
              <w:top w:val="single" w:sz="2" w:space="0" w:color="DDDDDD"/>
            </w:tcBorders>
            <w:shd w:val="clear" w:color="auto" w:fill="auto"/>
          </w:tcPr>
          <w:p w14:paraId="0CA3E165" w14:textId="77777777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GP visit (unscheduled )</w:t>
            </w:r>
          </w:p>
        </w:tc>
        <w:tc>
          <w:tcPr>
            <w:tcW w:w="1176" w:type="pct"/>
            <w:tcBorders>
              <w:top w:val="single" w:sz="2" w:space="0" w:color="DDDDDD"/>
            </w:tcBorders>
            <w:shd w:val="clear" w:color="auto" w:fill="auto"/>
          </w:tcPr>
          <w:p w14:paraId="060AA813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77.20</w:t>
            </w:r>
          </w:p>
        </w:tc>
        <w:tc>
          <w:tcPr>
            <w:tcW w:w="2019" w:type="pct"/>
            <w:tcBorders>
              <w:top w:val="single" w:sz="2" w:space="0" w:color="DDDDDD"/>
            </w:tcBorders>
            <w:shd w:val="clear" w:color="auto" w:fill="auto"/>
          </w:tcPr>
          <w:p w14:paraId="61DEA636" w14:textId="2E91EDB9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Ontario Schedule of Benefits for Physician Services</w:t>
            </w:r>
            <w:bookmarkStart w:id="0" w:name="_Hlk63418156"/>
            <w:r w:rsidR="009C41F7" w:rsidRPr="00402781">
              <w:rPr>
                <w:color w:val="000000"/>
                <w:vertAlign w:val="superscript"/>
              </w:rPr>
              <w:t>a</w:t>
            </w:r>
            <w:bookmarkEnd w:id="0"/>
          </w:p>
        </w:tc>
      </w:tr>
      <w:tr w:rsidR="00084B4C" w:rsidRPr="00402781" w14:paraId="3762C28A" w14:textId="77777777" w:rsidTr="001236D9">
        <w:trPr>
          <w:cantSplit/>
        </w:trPr>
        <w:tc>
          <w:tcPr>
            <w:tcW w:w="1804" w:type="pct"/>
            <w:shd w:val="clear" w:color="auto" w:fill="auto"/>
          </w:tcPr>
          <w:p w14:paraId="1FF81C04" w14:textId="77777777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ED visit</w:t>
            </w:r>
          </w:p>
        </w:tc>
        <w:tc>
          <w:tcPr>
            <w:tcW w:w="1176" w:type="pct"/>
            <w:shd w:val="clear" w:color="auto" w:fill="auto"/>
          </w:tcPr>
          <w:p w14:paraId="0C5779C2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422.05</w:t>
            </w:r>
          </w:p>
        </w:tc>
        <w:tc>
          <w:tcPr>
            <w:tcW w:w="2019" w:type="pct"/>
            <w:shd w:val="clear" w:color="auto" w:fill="auto"/>
          </w:tcPr>
          <w:p w14:paraId="12E6B2B7" w14:textId="2F59ADB2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Ontario Case Costing Tool</w:t>
            </w:r>
            <w:r w:rsidR="009C41F7" w:rsidRPr="00402781">
              <w:rPr>
                <w:color w:val="000000"/>
                <w:vertAlign w:val="superscript"/>
              </w:rPr>
              <w:t>b</w:t>
            </w:r>
          </w:p>
        </w:tc>
      </w:tr>
      <w:tr w:rsidR="00084B4C" w:rsidRPr="00402781" w14:paraId="38297930" w14:textId="77777777" w:rsidTr="001236D9">
        <w:trPr>
          <w:cantSplit/>
        </w:trPr>
        <w:tc>
          <w:tcPr>
            <w:tcW w:w="1804" w:type="pct"/>
            <w:shd w:val="clear" w:color="auto" w:fill="auto"/>
          </w:tcPr>
          <w:p w14:paraId="62CDFA7A" w14:textId="77777777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Hospital (general ward), per stay</w:t>
            </w:r>
          </w:p>
        </w:tc>
        <w:tc>
          <w:tcPr>
            <w:tcW w:w="1176" w:type="pct"/>
            <w:shd w:val="clear" w:color="auto" w:fill="auto"/>
          </w:tcPr>
          <w:p w14:paraId="130F0C11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4,230.88</w:t>
            </w:r>
          </w:p>
        </w:tc>
        <w:tc>
          <w:tcPr>
            <w:tcW w:w="2019" w:type="pct"/>
            <w:shd w:val="clear" w:color="auto" w:fill="auto"/>
          </w:tcPr>
          <w:p w14:paraId="434E9150" w14:textId="1E695730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Ontario Case Costing Tool</w:t>
            </w:r>
            <w:r w:rsidR="009C41F7" w:rsidRPr="00402781">
              <w:rPr>
                <w:color w:val="000000"/>
                <w:vertAlign w:val="superscript"/>
              </w:rPr>
              <w:t>b</w:t>
            </w:r>
          </w:p>
        </w:tc>
      </w:tr>
      <w:tr w:rsidR="00084B4C" w:rsidRPr="00402781" w14:paraId="12D2A186" w14:textId="77777777" w:rsidTr="001236D9">
        <w:trPr>
          <w:cantSplit/>
        </w:trPr>
        <w:tc>
          <w:tcPr>
            <w:tcW w:w="1804" w:type="pct"/>
            <w:shd w:val="clear" w:color="auto" w:fill="auto"/>
          </w:tcPr>
          <w:p w14:paraId="2A1AF916" w14:textId="77777777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Hospital outpatient visits</w:t>
            </w:r>
          </w:p>
        </w:tc>
        <w:tc>
          <w:tcPr>
            <w:tcW w:w="1176" w:type="pct"/>
            <w:shd w:val="clear" w:color="auto" w:fill="auto"/>
          </w:tcPr>
          <w:p w14:paraId="67D281E1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298.15</w:t>
            </w:r>
          </w:p>
        </w:tc>
        <w:tc>
          <w:tcPr>
            <w:tcW w:w="2019" w:type="pct"/>
            <w:shd w:val="clear" w:color="auto" w:fill="auto"/>
          </w:tcPr>
          <w:p w14:paraId="11CD7A1F" w14:textId="4A4297E4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Ontario Case Costing Tool</w:t>
            </w:r>
            <w:r w:rsidR="009C41F7" w:rsidRPr="00402781">
              <w:rPr>
                <w:color w:val="000000"/>
                <w:vertAlign w:val="superscript"/>
              </w:rPr>
              <w:t>b</w:t>
            </w:r>
          </w:p>
        </w:tc>
      </w:tr>
      <w:tr w:rsidR="00084B4C" w:rsidRPr="00402781" w14:paraId="7FDC439C" w14:textId="77777777" w:rsidTr="001236D9">
        <w:trPr>
          <w:cantSplit/>
        </w:trPr>
        <w:tc>
          <w:tcPr>
            <w:tcW w:w="1804" w:type="pct"/>
            <w:shd w:val="clear" w:color="auto" w:fill="auto"/>
          </w:tcPr>
          <w:p w14:paraId="358B563D" w14:textId="77777777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Prednisone</w:t>
            </w:r>
          </w:p>
        </w:tc>
        <w:tc>
          <w:tcPr>
            <w:tcW w:w="1176" w:type="pct"/>
            <w:shd w:val="clear" w:color="auto" w:fill="auto"/>
          </w:tcPr>
          <w:p w14:paraId="3D7843B8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0.17</w:t>
            </w:r>
          </w:p>
        </w:tc>
        <w:tc>
          <w:tcPr>
            <w:tcW w:w="2019" w:type="pct"/>
            <w:shd w:val="clear" w:color="auto" w:fill="auto"/>
          </w:tcPr>
          <w:p w14:paraId="49CAB05A" w14:textId="77C9DC4B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Ontario Drug Benefits eFormulary</w:t>
            </w:r>
            <w:r w:rsidR="009C41F7" w:rsidRPr="00402781">
              <w:rPr>
                <w:color w:val="000000"/>
                <w:vertAlign w:val="superscript"/>
              </w:rPr>
              <w:t>c</w:t>
            </w:r>
          </w:p>
        </w:tc>
      </w:tr>
      <w:tr w:rsidR="00084B4C" w:rsidRPr="00402781" w14:paraId="7CF09E0B" w14:textId="77777777" w:rsidTr="001236D9">
        <w:trPr>
          <w:cantSplit/>
        </w:trPr>
        <w:tc>
          <w:tcPr>
            <w:tcW w:w="1804" w:type="pct"/>
            <w:shd w:val="clear" w:color="auto" w:fill="auto"/>
          </w:tcPr>
          <w:p w14:paraId="401AAC7C" w14:textId="77777777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Nurse educator</w:t>
            </w:r>
          </w:p>
        </w:tc>
        <w:tc>
          <w:tcPr>
            <w:tcW w:w="1176" w:type="pct"/>
            <w:shd w:val="clear" w:color="auto" w:fill="auto"/>
          </w:tcPr>
          <w:p w14:paraId="5A57F1C7" w14:textId="77777777" w:rsidR="00084B4C" w:rsidRPr="00402781" w:rsidRDefault="00084B4C" w:rsidP="001236D9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37.94</w:t>
            </w:r>
          </w:p>
        </w:tc>
        <w:tc>
          <w:tcPr>
            <w:tcW w:w="2019" w:type="pct"/>
            <w:shd w:val="clear" w:color="auto" w:fill="auto"/>
          </w:tcPr>
          <w:p w14:paraId="7AE34C3C" w14:textId="16151A9E" w:rsidR="00084B4C" w:rsidRPr="00402781" w:rsidRDefault="00084B4C" w:rsidP="001236D9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Statistics Canada, Table: 14-10-0307-01 . Employee wages by occupation, annual</w:t>
            </w:r>
            <w:r w:rsidR="009C41F7" w:rsidRPr="00402781">
              <w:rPr>
                <w:color w:val="000000"/>
                <w:vertAlign w:val="superscript"/>
              </w:rPr>
              <w:t>d</w:t>
            </w:r>
            <w:r w:rsidRPr="00402781">
              <w:rPr>
                <w:color w:val="000000"/>
              </w:rPr>
              <w:t xml:space="preserve"> </w:t>
            </w:r>
          </w:p>
        </w:tc>
      </w:tr>
    </w:tbl>
    <w:p w14:paraId="394CACEA" w14:textId="48AA28CD" w:rsidR="00084B4C" w:rsidRPr="00402781" w:rsidRDefault="009C41F7" w:rsidP="001236D9">
      <w:pPr>
        <w:pStyle w:val="tabfignote"/>
        <w:rPr>
          <w:color w:val="000000"/>
        </w:rPr>
      </w:pPr>
      <w:r w:rsidRPr="00402781">
        <w:rPr>
          <w:color w:val="000000"/>
          <w:vertAlign w:val="superscript"/>
        </w:rPr>
        <w:t>a</w:t>
      </w:r>
      <w:r w:rsidR="00084B4C" w:rsidRPr="00402781">
        <w:rPr>
          <w:color w:val="000000"/>
        </w:rPr>
        <w:t xml:space="preserve"> Ontario Ministry of Health and Long Term Care. Schedule of Benefits, Physician Services Under the Health Insurance Act. 2020; </w:t>
      </w:r>
      <w:hyperlink r:id="rId14" w:history="1">
        <w:r w:rsidR="00084B4C" w:rsidRPr="00402781">
          <w:rPr>
            <w:rStyle w:val="Hyperlink"/>
            <w:color w:val="000000"/>
          </w:rPr>
          <w:t>http://www.health.gov.on.ca/en/pro/programs/ohip/sob/physserv/sob_master20200306.pdf</w:t>
        </w:r>
      </w:hyperlink>
      <w:r w:rsidR="00084B4C" w:rsidRPr="00402781">
        <w:rPr>
          <w:color w:val="000000"/>
        </w:rPr>
        <w:t>. Accessed March 5, 2020.</w:t>
      </w:r>
    </w:p>
    <w:p w14:paraId="4D92724F" w14:textId="42EC1238" w:rsidR="00084B4C" w:rsidRPr="00402781" w:rsidRDefault="009C41F7" w:rsidP="001236D9">
      <w:pPr>
        <w:pStyle w:val="tabfignote"/>
        <w:rPr>
          <w:color w:val="000000"/>
        </w:rPr>
      </w:pPr>
      <w:r w:rsidRPr="00402781">
        <w:rPr>
          <w:color w:val="000000"/>
          <w:vertAlign w:val="superscript"/>
        </w:rPr>
        <w:t>b</w:t>
      </w:r>
      <w:r w:rsidR="00084B4C" w:rsidRPr="00402781">
        <w:rPr>
          <w:color w:val="000000"/>
        </w:rPr>
        <w:t xml:space="preserve"> Ontario Case Costing Initiative (OCCI). CIHI patient cost estimator. 2020; </w:t>
      </w:r>
      <w:hyperlink r:id="rId15" w:history="1">
        <w:r w:rsidR="00084B4C" w:rsidRPr="00402781">
          <w:rPr>
            <w:rStyle w:val="Hyperlink"/>
            <w:color w:val="000000"/>
          </w:rPr>
          <w:t>https://www.ontario.ca/data/ontario-case-costing-initiative-occi.49</w:t>
        </w:r>
      </w:hyperlink>
      <w:r w:rsidR="00084B4C" w:rsidRPr="00402781">
        <w:rPr>
          <w:color w:val="000000"/>
        </w:rPr>
        <w:t>. Accessed March 3, 2020.</w:t>
      </w:r>
    </w:p>
    <w:p w14:paraId="34900504" w14:textId="3E8D488D" w:rsidR="009C41F7" w:rsidRPr="00402781" w:rsidRDefault="009C41F7" w:rsidP="001236D9">
      <w:pPr>
        <w:pStyle w:val="tabfignote"/>
        <w:rPr>
          <w:color w:val="000000"/>
        </w:rPr>
      </w:pPr>
      <w:r w:rsidRPr="00402781">
        <w:rPr>
          <w:color w:val="000000"/>
          <w:vertAlign w:val="superscript"/>
        </w:rPr>
        <w:t>c</w:t>
      </w:r>
      <w:r w:rsidRPr="00402781">
        <w:rPr>
          <w:color w:val="000000"/>
        </w:rPr>
        <w:t xml:space="preserve"> Government of Ontario. Ontario Drug Benefit Formulary/Comparative Drug Index Queen's Printer for Ontario 2020. 2020; </w:t>
      </w:r>
      <w:hyperlink r:id="rId16" w:history="1">
        <w:r w:rsidRPr="00402781">
          <w:rPr>
            <w:rStyle w:val="Hyperlink"/>
            <w:color w:val="000000"/>
          </w:rPr>
          <w:t>https://www.formulary.health.gov.on.ca/formulary/</w:t>
        </w:r>
      </w:hyperlink>
      <w:r w:rsidRPr="00402781">
        <w:rPr>
          <w:color w:val="000000"/>
        </w:rPr>
        <w:t>. Accessed March 15, 2020.</w:t>
      </w:r>
      <w:r w:rsidRPr="00402781">
        <w:rPr>
          <w:color w:val="000000"/>
        </w:rPr>
        <w:tab/>
      </w:r>
    </w:p>
    <w:p w14:paraId="063830B9" w14:textId="7583CEB3" w:rsidR="00084B4C" w:rsidRPr="00402781" w:rsidRDefault="009C41F7" w:rsidP="001236D9">
      <w:pPr>
        <w:pStyle w:val="tabfignote"/>
        <w:rPr>
          <w:color w:val="000000"/>
        </w:rPr>
      </w:pPr>
      <w:r w:rsidRPr="00402781">
        <w:rPr>
          <w:color w:val="000000"/>
          <w:vertAlign w:val="superscript"/>
        </w:rPr>
        <w:t>d</w:t>
      </w:r>
      <w:r w:rsidR="00084B4C" w:rsidRPr="00402781">
        <w:rPr>
          <w:color w:val="000000"/>
        </w:rPr>
        <w:t xml:space="preserve"> Statistics Canada. Catalogue no. 82-625-X. Health Fact Sheets, Chronic Conditions, 2016. </w:t>
      </w:r>
      <w:hyperlink r:id="rId17" w:history="1">
        <w:r w:rsidR="00084B4C" w:rsidRPr="00402781">
          <w:rPr>
            <w:rStyle w:val="Hyperlink"/>
            <w:color w:val="000000"/>
          </w:rPr>
          <w:t>https://www150.statcan.gc.ca/n1/pub/82-625-x/2017001/article/54858-eng.htm</w:t>
        </w:r>
      </w:hyperlink>
      <w:r w:rsidR="00084B4C" w:rsidRPr="00402781">
        <w:rPr>
          <w:color w:val="000000"/>
        </w:rPr>
        <w:t>. Accessed November 18, 2019.</w:t>
      </w:r>
    </w:p>
    <w:p w14:paraId="34B1CB86" w14:textId="77777777" w:rsidR="00084B4C" w:rsidRPr="00402781" w:rsidRDefault="00084B4C" w:rsidP="001236D9">
      <w:pPr>
        <w:pStyle w:val="tabfignote"/>
        <w:rPr>
          <w:color w:val="000000"/>
        </w:rPr>
      </w:pPr>
    </w:p>
    <w:p w14:paraId="23D9B4DD" w14:textId="77777777" w:rsidR="00084B4C" w:rsidRPr="00402781" w:rsidRDefault="00084B4C" w:rsidP="001236D9">
      <w:pPr>
        <w:pStyle w:val="tabfignote"/>
        <w:rPr>
          <w:color w:val="000000"/>
        </w:rPr>
      </w:pPr>
    </w:p>
    <w:p w14:paraId="71FC4C50" w14:textId="77777777" w:rsidR="00084B4C" w:rsidRPr="00402781" w:rsidRDefault="00084B4C" w:rsidP="001236D9">
      <w:pPr>
        <w:pStyle w:val="tabfigtitle"/>
        <w:rPr>
          <w:color w:val="000000"/>
        </w:rPr>
        <w:sectPr w:rsidR="00084B4C" w:rsidRPr="00402781" w:rsidSect="001236D9">
          <w:footnotePr>
            <w:numRestart w:val="eachPage"/>
          </w:footnotePr>
          <w:pgSz w:w="12240" w:h="15840" w:code="1"/>
          <w:pgMar w:top="1440" w:right="1440" w:bottom="1440" w:left="1440" w:header="720" w:footer="720" w:gutter="0"/>
          <w:cols w:space="0"/>
          <w:docGrid w:linePitch="326"/>
        </w:sectPr>
      </w:pPr>
    </w:p>
    <w:p w14:paraId="77088495" w14:textId="01461EE4" w:rsidR="00084B4C" w:rsidRPr="00402781" w:rsidRDefault="00084B4C" w:rsidP="00EE7020">
      <w:pPr>
        <w:rPr>
          <w:rFonts w:ascii="Arial" w:hAnsi="Arial" w:cs="Arial"/>
          <w:b/>
          <w:bCs/>
          <w:color w:val="000000"/>
        </w:rPr>
      </w:pPr>
      <w:r w:rsidRPr="00402781">
        <w:rPr>
          <w:rFonts w:ascii="Arial" w:hAnsi="Arial" w:cs="Arial"/>
          <w:b/>
          <w:bCs/>
          <w:color w:val="000000"/>
        </w:rPr>
        <w:lastRenderedPageBreak/>
        <w:t>Table S-</w:t>
      </w:r>
      <w:r w:rsidR="00907754" w:rsidRPr="00402781">
        <w:rPr>
          <w:rFonts w:ascii="Arial" w:hAnsi="Arial" w:cs="Arial"/>
          <w:b/>
          <w:bCs/>
          <w:color w:val="000000"/>
        </w:rPr>
        <w:t>4</w:t>
      </w:r>
      <w:r w:rsidRPr="00402781">
        <w:rPr>
          <w:rFonts w:ascii="Arial" w:hAnsi="Arial" w:cs="Arial"/>
          <w:b/>
          <w:bCs/>
          <w:color w:val="000000"/>
        </w:rPr>
        <w:t>. Parameters for Probabilistic Sensitivity Analyses</w:t>
      </w:r>
      <w:r w:rsidR="001236D9" w:rsidRPr="00402781">
        <w:rPr>
          <w:rFonts w:ascii="Arial" w:hAnsi="Arial" w:cs="Arial"/>
          <w:b/>
          <w:bCs/>
          <w:color w:val="000000"/>
        </w:rPr>
        <w:t xml:space="preserve"> </w:t>
      </w:r>
      <w:r w:rsidR="0049751D" w:rsidRPr="00402781">
        <w:rPr>
          <w:rFonts w:ascii="Arial" w:hAnsi="Arial" w:cs="Arial"/>
          <w:b/>
          <w:bCs/>
          <w:color w:val="000000"/>
        </w:rPr>
        <w:t xml:space="preserve">From </w:t>
      </w:r>
      <w:r w:rsidR="001236D9" w:rsidRPr="00402781">
        <w:rPr>
          <w:rFonts w:ascii="Arial" w:hAnsi="Arial" w:cs="Arial"/>
          <w:b/>
          <w:bCs/>
          <w:color w:val="000000"/>
        </w:rPr>
        <w:t>ARGON Trial</w:t>
      </w:r>
      <w:r w:rsidR="001236D9" w:rsidRPr="00402781">
        <w:rPr>
          <w:rFonts w:ascii="Arial" w:hAnsi="Arial" w:cs="Arial"/>
          <w:b/>
          <w:bCs/>
          <w:color w:val="000000"/>
          <w:vertAlign w:val="superscript"/>
        </w:rPr>
        <w:t>a</w:t>
      </w:r>
    </w:p>
    <w:tbl>
      <w:tblPr>
        <w:tblW w:w="5050" w:type="pct"/>
        <w:tblBorders>
          <w:top w:val="single" w:sz="12" w:space="0" w:color="000000"/>
          <w:bottom w:val="single" w:sz="12" w:space="0" w:color="000000"/>
          <w:insideH w:val="single" w:sz="2" w:space="0" w:color="DDDDDD"/>
        </w:tblBorders>
        <w:tblLook w:val="04A0" w:firstRow="1" w:lastRow="0" w:firstColumn="1" w:lastColumn="0" w:noHBand="0" w:noVBand="1"/>
      </w:tblPr>
      <w:tblGrid>
        <w:gridCol w:w="2963"/>
        <w:gridCol w:w="1478"/>
        <w:gridCol w:w="939"/>
        <w:gridCol w:w="1339"/>
        <w:gridCol w:w="1297"/>
        <w:gridCol w:w="1438"/>
      </w:tblGrid>
      <w:tr w:rsidR="004F12B3" w:rsidRPr="00402781" w14:paraId="3AAE539D" w14:textId="242D665A" w:rsidTr="005A7FEF">
        <w:trPr>
          <w:tblHeader/>
        </w:trPr>
        <w:tc>
          <w:tcPr>
            <w:tcW w:w="1571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  <w:hideMark/>
          </w:tcPr>
          <w:p w14:paraId="1CD33B25" w14:textId="77777777" w:rsidR="00200C1D" w:rsidRPr="00402781" w:rsidRDefault="00200C1D" w:rsidP="004F12B3">
            <w:pPr>
              <w:pStyle w:val="Tableheadings"/>
              <w:jc w:val="left"/>
              <w:rPr>
                <w:color w:val="000000"/>
                <w:sz w:val="22"/>
              </w:rPr>
            </w:pPr>
            <w:r w:rsidRPr="00402781">
              <w:rPr>
                <w:color w:val="000000"/>
              </w:rPr>
              <w:t>Parameter</w:t>
            </w:r>
          </w:p>
        </w:tc>
        <w:tc>
          <w:tcPr>
            <w:tcW w:w="767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  <w:hideMark/>
          </w:tcPr>
          <w:p w14:paraId="6E90CD62" w14:textId="526D0C8E" w:rsidR="00200C1D" w:rsidRPr="00402781" w:rsidRDefault="00200C1D" w:rsidP="004F12B3">
            <w:pPr>
              <w:pStyle w:val="Tableheadings"/>
              <w:jc w:val="left"/>
              <w:rPr>
                <w:color w:val="000000"/>
              </w:rPr>
            </w:pPr>
            <w:r w:rsidRPr="00402781">
              <w:rPr>
                <w:color w:val="000000"/>
              </w:rPr>
              <w:t>Treatment</w:t>
            </w:r>
          </w:p>
        </w:tc>
        <w:tc>
          <w:tcPr>
            <w:tcW w:w="498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002CA06A" w14:textId="0393E1A2" w:rsidR="00200C1D" w:rsidRPr="00402781" w:rsidRDefault="00200C1D" w:rsidP="004F12B3">
            <w:pPr>
              <w:pStyle w:val="Tableheadings"/>
              <w:jc w:val="left"/>
              <w:rPr>
                <w:color w:val="000000"/>
              </w:rPr>
            </w:pPr>
            <w:r w:rsidRPr="00402781">
              <w:rPr>
                <w:color w:val="000000"/>
              </w:rPr>
              <w:t>Mean</w:t>
            </w:r>
          </w:p>
        </w:tc>
        <w:tc>
          <w:tcPr>
            <w:tcW w:w="708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  <w:hideMark/>
          </w:tcPr>
          <w:p w14:paraId="44242BBA" w14:textId="73257CAB" w:rsidR="00200C1D" w:rsidRPr="00402781" w:rsidRDefault="00200C1D" w:rsidP="004F12B3">
            <w:pPr>
              <w:pStyle w:val="Tableheadings"/>
              <w:jc w:val="left"/>
              <w:rPr>
                <w:color w:val="000000"/>
              </w:rPr>
            </w:pPr>
            <w:r w:rsidRPr="00402781">
              <w:rPr>
                <w:color w:val="000000"/>
              </w:rPr>
              <w:t xml:space="preserve">Distribution </w:t>
            </w:r>
          </w:p>
        </w:tc>
        <w:tc>
          <w:tcPr>
            <w:tcW w:w="692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399697E5" w14:textId="300F7535" w:rsidR="00200C1D" w:rsidRPr="00402781" w:rsidRDefault="00200C1D" w:rsidP="004F12B3">
            <w:pPr>
              <w:pStyle w:val="Tableheadings"/>
              <w:jc w:val="left"/>
              <w:rPr>
                <w:color w:val="000000"/>
                <w:spacing w:val="-6"/>
              </w:rPr>
            </w:pPr>
            <w:r w:rsidRPr="00402781">
              <w:rPr>
                <w:color w:val="000000"/>
                <w:spacing w:val="-6"/>
              </w:rPr>
              <w:t>Parameter 1</w:t>
            </w:r>
          </w:p>
        </w:tc>
        <w:tc>
          <w:tcPr>
            <w:tcW w:w="764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7CBC60A2" w14:textId="5804F43F" w:rsidR="00200C1D" w:rsidRPr="00402781" w:rsidRDefault="00200C1D" w:rsidP="004F12B3">
            <w:pPr>
              <w:pStyle w:val="Tableheadings"/>
              <w:jc w:val="left"/>
              <w:rPr>
                <w:color w:val="000000"/>
              </w:rPr>
            </w:pPr>
            <w:r w:rsidRPr="00402781">
              <w:rPr>
                <w:color w:val="000000"/>
              </w:rPr>
              <w:t>Parameter 2</w:t>
            </w:r>
          </w:p>
        </w:tc>
      </w:tr>
      <w:tr w:rsidR="00200C1D" w:rsidRPr="00402781" w14:paraId="1FA6E3CF" w14:textId="61D4342A" w:rsidTr="005A7FEF">
        <w:tc>
          <w:tcPr>
            <w:tcW w:w="1571" w:type="pct"/>
            <w:tcBorders>
              <w:top w:val="single" w:sz="2" w:space="0" w:color="DDDDDD"/>
            </w:tcBorders>
            <w:shd w:val="clear" w:color="auto" w:fill="auto"/>
            <w:hideMark/>
          </w:tcPr>
          <w:p w14:paraId="4CCA8E18" w14:textId="77777777" w:rsidR="00200C1D" w:rsidRPr="00402781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Efficacy – exacerbation rates</w:t>
            </w:r>
          </w:p>
        </w:tc>
        <w:tc>
          <w:tcPr>
            <w:tcW w:w="767" w:type="pct"/>
            <w:tcBorders>
              <w:top w:val="single" w:sz="2" w:space="0" w:color="DDDDDD"/>
            </w:tcBorders>
            <w:shd w:val="clear" w:color="auto" w:fill="auto"/>
            <w:hideMark/>
          </w:tcPr>
          <w:p w14:paraId="11BA0351" w14:textId="706B4F8C" w:rsidR="00200C1D" w:rsidRPr="00402781" w:rsidRDefault="00200C1D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498" w:type="pct"/>
            <w:tcBorders>
              <w:top w:val="single" w:sz="2" w:space="0" w:color="DDDDDD"/>
            </w:tcBorders>
            <w:shd w:val="clear" w:color="auto" w:fill="auto"/>
          </w:tcPr>
          <w:p w14:paraId="27525C6E" w14:textId="77777777" w:rsidR="00200C1D" w:rsidRPr="00402781" w:rsidRDefault="00200C1D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708" w:type="pct"/>
            <w:tcBorders>
              <w:top w:val="single" w:sz="2" w:space="0" w:color="DDDDDD"/>
            </w:tcBorders>
            <w:shd w:val="clear" w:color="auto" w:fill="auto"/>
            <w:hideMark/>
          </w:tcPr>
          <w:p w14:paraId="281DF0AD" w14:textId="4B12B263" w:rsidR="00200C1D" w:rsidRPr="00402781" w:rsidRDefault="00200C1D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692" w:type="pct"/>
            <w:tcBorders>
              <w:top w:val="single" w:sz="2" w:space="0" w:color="DDDDDD"/>
            </w:tcBorders>
            <w:shd w:val="clear" w:color="auto" w:fill="auto"/>
          </w:tcPr>
          <w:p w14:paraId="094192F8" w14:textId="77777777" w:rsidR="00200C1D" w:rsidRPr="00402781" w:rsidRDefault="00200C1D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764" w:type="pct"/>
            <w:tcBorders>
              <w:top w:val="single" w:sz="2" w:space="0" w:color="DDDDDD"/>
            </w:tcBorders>
            <w:shd w:val="clear" w:color="auto" w:fill="auto"/>
          </w:tcPr>
          <w:p w14:paraId="24E21F47" w14:textId="77777777" w:rsidR="00200C1D" w:rsidRPr="00402781" w:rsidRDefault="00200C1D" w:rsidP="004F12B3">
            <w:pPr>
              <w:pStyle w:val="Tabletext"/>
              <w:rPr>
                <w:color w:val="000000"/>
              </w:rPr>
            </w:pPr>
          </w:p>
        </w:tc>
      </w:tr>
      <w:tr w:rsidR="00200C1D" w:rsidRPr="00402781" w14:paraId="743E4DB0" w14:textId="11D6AF7A" w:rsidTr="005A7FEF">
        <w:tc>
          <w:tcPr>
            <w:tcW w:w="1571" w:type="pct"/>
            <w:shd w:val="clear" w:color="auto" w:fill="auto"/>
          </w:tcPr>
          <w:p w14:paraId="4190010A" w14:textId="19996386" w:rsidR="00200C1D" w:rsidRPr="00402781" w:rsidRDefault="00200C1D" w:rsidP="004F12B3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Moderate exacerbation</w:t>
            </w:r>
          </w:p>
        </w:tc>
        <w:tc>
          <w:tcPr>
            <w:tcW w:w="767" w:type="pct"/>
            <w:shd w:val="clear" w:color="auto" w:fill="auto"/>
          </w:tcPr>
          <w:p w14:paraId="4C84A4D3" w14:textId="43F3DC00" w:rsidR="00200C1D" w:rsidRPr="00402781" w:rsidDel="004A20E2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IND/GLY/MF</w:t>
            </w:r>
          </w:p>
        </w:tc>
        <w:tc>
          <w:tcPr>
            <w:tcW w:w="498" w:type="pct"/>
            <w:shd w:val="clear" w:color="auto" w:fill="auto"/>
          </w:tcPr>
          <w:p w14:paraId="1E4486F6" w14:textId="1C845B3A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0.340</w:t>
            </w:r>
          </w:p>
        </w:tc>
        <w:tc>
          <w:tcPr>
            <w:tcW w:w="708" w:type="pct"/>
            <w:shd w:val="clear" w:color="auto" w:fill="auto"/>
          </w:tcPr>
          <w:p w14:paraId="17B4200D" w14:textId="1DB0AF5F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2" w:type="pct"/>
            <w:shd w:val="clear" w:color="auto" w:fill="auto"/>
          </w:tcPr>
          <w:p w14:paraId="001CA927" w14:textId="43F09E6C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-1.081</w:t>
            </w:r>
          </w:p>
        </w:tc>
        <w:tc>
          <w:tcPr>
            <w:tcW w:w="764" w:type="pct"/>
            <w:shd w:val="clear" w:color="auto" w:fill="auto"/>
          </w:tcPr>
          <w:p w14:paraId="74169623" w14:textId="00FA803C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0.060</w:t>
            </w:r>
          </w:p>
        </w:tc>
      </w:tr>
      <w:tr w:rsidR="00200C1D" w:rsidRPr="00402781" w14:paraId="42D15525" w14:textId="218AAD1C" w:rsidTr="005A7FEF">
        <w:tc>
          <w:tcPr>
            <w:tcW w:w="1571" w:type="pct"/>
            <w:shd w:val="clear" w:color="auto" w:fill="auto"/>
          </w:tcPr>
          <w:p w14:paraId="722FAE85" w14:textId="593808D4" w:rsidR="00200C1D" w:rsidRPr="00402781" w:rsidRDefault="00200C1D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767" w:type="pct"/>
            <w:shd w:val="clear" w:color="auto" w:fill="auto"/>
          </w:tcPr>
          <w:p w14:paraId="2A47160F" w14:textId="60FFEBEF" w:rsidR="00200C1D" w:rsidRPr="00402781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SAL/FLU+TIO</w:t>
            </w:r>
          </w:p>
        </w:tc>
        <w:tc>
          <w:tcPr>
            <w:tcW w:w="498" w:type="pct"/>
            <w:shd w:val="clear" w:color="auto" w:fill="auto"/>
          </w:tcPr>
          <w:p w14:paraId="2EAB1ABA" w14:textId="1668AEA6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0.540</w:t>
            </w:r>
          </w:p>
        </w:tc>
        <w:tc>
          <w:tcPr>
            <w:tcW w:w="708" w:type="pct"/>
            <w:shd w:val="clear" w:color="auto" w:fill="auto"/>
          </w:tcPr>
          <w:p w14:paraId="04260D1A" w14:textId="45FA4EBA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2" w:type="pct"/>
            <w:shd w:val="clear" w:color="auto" w:fill="auto"/>
          </w:tcPr>
          <w:p w14:paraId="0742A1B2" w14:textId="06AE155C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-0.617</w:t>
            </w:r>
          </w:p>
        </w:tc>
        <w:tc>
          <w:tcPr>
            <w:tcW w:w="764" w:type="pct"/>
            <w:shd w:val="clear" w:color="auto" w:fill="auto"/>
          </w:tcPr>
          <w:p w14:paraId="601FD054" w14:textId="5F7624DD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0.051</w:t>
            </w:r>
          </w:p>
        </w:tc>
      </w:tr>
      <w:tr w:rsidR="00200C1D" w:rsidRPr="00402781" w14:paraId="789A451A" w14:textId="3F881975" w:rsidTr="005A7FEF">
        <w:tc>
          <w:tcPr>
            <w:tcW w:w="1571" w:type="pct"/>
            <w:shd w:val="clear" w:color="auto" w:fill="auto"/>
          </w:tcPr>
          <w:p w14:paraId="7395DA48" w14:textId="3A8122A8" w:rsidR="00200C1D" w:rsidRPr="00402781" w:rsidRDefault="00200C1D" w:rsidP="004F12B3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Severe exacerbation</w:t>
            </w:r>
          </w:p>
        </w:tc>
        <w:tc>
          <w:tcPr>
            <w:tcW w:w="767" w:type="pct"/>
            <w:shd w:val="clear" w:color="auto" w:fill="auto"/>
          </w:tcPr>
          <w:p w14:paraId="56E401C1" w14:textId="2DE6534C" w:rsidR="00200C1D" w:rsidRPr="00402781" w:rsidDel="004A20E2" w:rsidRDefault="00200C1D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498" w:type="pct"/>
            <w:shd w:val="clear" w:color="auto" w:fill="auto"/>
          </w:tcPr>
          <w:p w14:paraId="5C63A0CE" w14:textId="77777777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08" w:type="pct"/>
            <w:shd w:val="clear" w:color="auto" w:fill="auto"/>
          </w:tcPr>
          <w:p w14:paraId="04241DDC" w14:textId="752D0D49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692" w:type="pct"/>
            <w:shd w:val="clear" w:color="auto" w:fill="auto"/>
          </w:tcPr>
          <w:p w14:paraId="562C0476" w14:textId="77777777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64" w:type="pct"/>
            <w:shd w:val="clear" w:color="auto" w:fill="auto"/>
          </w:tcPr>
          <w:p w14:paraId="63456968" w14:textId="77777777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200C1D" w:rsidRPr="00402781" w14:paraId="58D01D0F" w14:textId="78E994B1" w:rsidTr="005A7FEF">
        <w:tc>
          <w:tcPr>
            <w:tcW w:w="1571" w:type="pct"/>
            <w:shd w:val="clear" w:color="auto" w:fill="auto"/>
          </w:tcPr>
          <w:p w14:paraId="11D57463" w14:textId="13D154A5" w:rsidR="00200C1D" w:rsidRPr="00402781" w:rsidRDefault="00200C1D" w:rsidP="004F12B3">
            <w:pPr>
              <w:pStyle w:val="Tabletext"/>
              <w:ind w:left="256"/>
              <w:rPr>
                <w:color w:val="000000"/>
              </w:rPr>
            </w:pPr>
            <w:r w:rsidRPr="00402781">
              <w:rPr>
                <w:color w:val="000000"/>
              </w:rPr>
              <w:t>Hospitalized exacerbation</w:t>
            </w:r>
          </w:p>
        </w:tc>
        <w:tc>
          <w:tcPr>
            <w:tcW w:w="767" w:type="pct"/>
            <w:shd w:val="clear" w:color="auto" w:fill="auto"/>
          </w:tcPr>
          <w:p w14:paraId="44DEC0FF" w14:textId="5CCDD26C" w:rsidR="00200C1D" w:rsidRPr="00402781" w:rsidDel="004A20E2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IND/GLY/MF</w:t>
            </w:r>
          </w:p>
        </w:tc>
        <w:tc>
          <w:tcPr>
            <w:tcW w:w="498" w:type="pct"/>
            <w:shd w:val="clear" w:color="auto" w:fill="auto"/>
          </w:tcPr>
          <w:p w14:paraId="6FAE2B23" w14:textId="31FCA42A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0.018</w:t>
            </w:r>
          </w:p>
        </w:tc>
        <w:tc>
          <w:tcPr>
            <w:tcW w:w="708" w:type="pct"/>
            <w:shd w:val="clear" w:color="auto" w:fill="auto"/>
          </w:tcPr>
          <w:p w14:paraId="309ED7F8" w14:textId="751CDF44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2" w:type="pct"/>
            <w:shd w:val="clear" w:color="auto" w:fill="auto"/>
          </w:tcPr>
          <w:p w14:paraId="22CCC817" w14:textId="06CEF2F1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-4.026</w:t>
            </w:r>
          </w:p>
        </w:tc>
        <w:tc>
          <w:tcPr>
            <w:tcW w:w="764" w:type="pct"/>
            <w:shd w:val="clear" w:color="auto" w:fill="auto"/>
          </w:tcPr>
          <w:p w14:paraId="33FA494E" w14:textId="4C4AB089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0.134</w:t>
            </w:r>
          </w:p>
        </w:tc>
      </w:tr>
      <w:tr w:rsidR="00200C1D" w:rsidRPr="00402781" w14:paraId="25702526" w14:textId="23DB0AAE" w:rsidTr="005A7FEF">
        <w:tc>
          <w:tcPr>
            <w:tcW w:w="1571" w:type="pct"/>
            <w:shd w:val="clear" w:color="auto" w:fill="auto"/>
          </w:tcPr>
          <w:p w14:paraId="515A01E3" w14:textId="3B982004" w:rsidR="00200C1D" w:rsidRPr="00402781" w:rsidRDefault="00200C1D" w:rsidP="004F12B3">
            <w:pPr>
              <w:pStyle w:val="Tabletext"/>
              <w:ind w:left="256"/>
              <w:rPr>
                <w:color w:val="000000"/>
              </w:rPr>
            </w:pPr>
          </w:p>
        </w:tc>
        <w:tc>
          <w:tcPr>
            <w:tcW w:w="767" w:type="pct"/>
            <w:shd w:val="clear" w:color="auto" w:fill="auto"/>
          </w:tcPr>
          <w:p w14:paraId="05073CA8" w14:textId="550B272F" w:rsidR="00200C1D" w:rsidRPr="00402781" w:rsidDel="004A20E2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SAL/FLU+TIO</w:t>
            </w:r>
          </w:p>
        </w:tc>
        <w:tc>
          <w:tcPr>
            <w:tcW w:w="498" w:type="pct"/>
            <w:shd w:val="clear" w:color="auto" w:fill="auto"/>
          </w:tcPr>
          <w:p w14:paraId="7DDCF0A3" w14:textId="0F780EF4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0.016</w:t>
            </w:r>
          </w:p>
        </w:tc>
        <w:tc>
          <w:tcPr>
            <w:tcW w:w="708" w:type="pct"/>
            <w:shd w:val="clear" w:color="auto" w:fill="auto"/>
          </w:tcPr>
          <w:p w14:paraId="01AEAEAF" w14:textId="07B9CC3D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2" w:type="pct"/>
            <w:shd w:val="clear" w:color="auto" w:fill="auto"/>
          </w:tcPr>
          <w:p w14:paraId="11802477" w14:textId="106B8695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-4.144</w:t>
            </w:r>
          </w:p>
        </w:tc>
        <w:tc>
          <w:tcPr>
            <w:tcW w:w="764" w:type="pct"/>
            <w:shd w:val="clear" w:color="auto" w:fill="auto"/>
          </w:tcPr>
          <w:p w14:paraId="25358AC8" w14:textId="0816C438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0.135</w:t>
            </w:r>
          </w:p>
        </w:tc>
      </w:tr>
      <w:tr w:rsidR="00200C1D" w:rsidRPr="00402781" w14:paraId="468974CE" w14:textId="1219DEC5" w:rsidTr="005A7FEF">
        <w:tc>
          <w:tcPr>
            <w:tcW w:w="1571" w:type="pct"/>
            <w:shd w:val="clear" w:color="auto" w:fill="auto"/>
          </w:tcPr>
          <w:p w14:paraId="765AB097" w14:textId="58250E52" w:rsidR="00200C1D" w:rsidRPr="00402781" w:rsidRDefault="00200C1D" w:rsidP="004F12B3">
            <w:pPr>
              <w:pStyle w:val="Tabletext"/>
              <w:ind w:left="256"/>
              <w:rPr>
                <w:color w:val="000000"/>
              </w:rPr>
            </w:pPr>
            <w:r w:rsidRPr="00402781">
              <w:rPr>
                <w:color w:val="000000"/>
              </w:rPr>
              <w:t>ED exacerbation</w:t>
            </w:r>
          </w:p>
        </w:tc>
        <w:tc>
          <w:tcPr>
            <w:tcW w:w="767" w:type="pct"/>
            <w:shd w:val="clear" w:color="auto" w:fill="auto"/>
          </w:tcPr>
          <w:p w14:paraId="1035939C" w14:textId="3E60EFAE" w:rsidR="00200C1D" w:rsidRPr="00402781" w:rsidDel="004A20E2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IND/GLY/MF</w:t>
            </w:r>
          </w:p>
        </w:tc>
        <w:tc>
          <w:tcPr>
            <w:tcW w:w="498" w:type="pct"/>
            <w:shd w:val="clear" w:color="auto" w:fill="auto"/>
          </w:tcPr>
          <w:p w14:paraId="02CBA362" w14:textId="7F16F26F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0.018</w:t>
            </w:r>
          </w:p>
        </w:tc>
        <w:tc>
          <w:tcPr>
            <w:tcW w:w="708" w:type="pct"/>
            <w:shd w:val="clear" w:color="auto" w:fill="auto"/>
          </w:tcPr>
          <w:p w14:paraId="726C79CC" w14:textId="20088B10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2" w:type="pct"/>
            <w:shd w:val="clear" w:color="auto" w:fill="auto"/>
          </w:tcPr>
          <w:p w14:paraId="33CD4456" w14:textId="17B37123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-4.026</w:t>
            </w:r>
          </w:p>
        </w:tc>
        <w:tc>
          <w:tcPr>
            <w:tcW w:w="764" w:type="pct"/>
            <w:shd w:val="clear" w:color="auto" w:fill="auto"/>
          </w:tcPr>
          <w:p w14:paraId="0583E351" w14:textId="5A080CC0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0.134</w:t>
            </w:r>
          </w:p>
        </w:tc>
      </w:tr>
      <w:tr w:rsidR="00200C1D" w:rsidRPr="00402781" w14:paraId="04E53BCB" w14:textId="2FB4534C" w:rsidTr="005A7FEF">
        <w:tc>
          <w:tcPr>
            <w:tcW w:w="1571" w:type="pct"/>
            <w:shd w:val="clear" w:color="auto" w:fill="auto"/>
          </w:tcPr>
          <w:p w14:paraId="1E486C12" w14:textId="32106E31" w:rsidR="00200C1D" w:rsidRPr="00402781" w:rsidRDefault="00200C1D" w:rsidP="004F12B3">
            <w:pPr>
              <w:pStyle w:val="Tabletext"/>
              <w:ind w:left="256"/>
              <w:rPr>
                <w:color w:val="000000"/>
              </w:rPr>
            </w:pPr>
          </w:p>
        </w:tc>
        <w:tc>
          <w:tcPr>
            <w:tcW w:w="767" w:type="pct"/>
            <w:shd w:val="clear" w:color="auto" w:fill="auto"/>
          </w:tcPr>
          <w:p w14:paraId="5B66AFE0" w14:textId="27EB1D7A" w:rsidR="00200C1D" w:rsidRPr="00402781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SAL/FLU+TIO</w:t>
            </w:r>
          </w:p>
        </w:tc>
        <w:tc>
          <w:tcPr>
            <w:tcW w:w="498" w:type="pct"/>
            <w:shd w:val="clear" w:color="auto" w:fill="auto"/>
          </w:tcPr>
          <w:p w14:paraId="2908F8CC" w14:textId="2897277B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0.016</w:t>
            </w:r>
          </w:p>
        </w:tc>
        <w:tc>
          <w:tcPr>
            <w:tcW w:w="708" w:type="pct"/>
            <w:shd w:val="clear" w:color="auto" w:fill="auto"/>
          </w:tcPr>
          <w:p w14:paraId="0D760D34" w14:textId="59478D6A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2" w:type="pct"/>
            <w:shd w:val="clear" w:color="auto" w:fill="auto"/>
          </w:tcPr>
          <w:p w14:paraId="39B07A79" w14:textId="7AB8A401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-4.144</w:t>
            </w:r>
          </w:p>
        </w:tc>
        <w:tc>
          <w:tcPr>
            <w:tcW w:w="764" w:type="pct"/>
            <w:shd w:val="clear" w:color="auto" w:fill="auto"/>
          </w:tcPr>
          <w:p w14:paraId="33EC5F48" w14:textId="1878B16D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0.135</w:t>
            </w:r>
          </w:p>
        </w:tc>
      </w:tr>
      <w:tr w:rsidR="00200C1D" w:rsidRPr="00402781" w14:paraId="1FDA1EF7" w14:textId="0E100A60" w:rsidTr="005A7FEF">
        <w:tc>
          <w:tcPr>
            <w:tcW w:w="1571" w:type="pct"/>
            <w:shd w:val="clear" w:color="auto" w:fill="auto"/>
          </w:tcPr>
          <w:p w14:paraId="38DD2ADF" w14:textId="6DA5C30C" w:rsidR="00200C1D" w:rsidRPr="00402781" w:rsidRDefault="00200C1D" w:rsidP="004F12B3">
            <w:pPr>
              <w:pStyle w:val="Tabletext"/>
              <w:ind w:left="256"/>
              <w:rPr>
                <w:color w:val="000000"/>
              </w:rPr>
            </w:pPr>
            <w:r w:rsidRPr="00402781">
              <w:rPr>
                <w:color w:val="000000"/>
              </w:rPr>
              <w:t>OCS burst exacerbation</w:t>
            </w:r>
          </w:p>
        </w:tc>
        <w:tc>
          <w:tcPr>
            <w:tcW w:w="767" w:type="pct"/>
            <w:shd w:val="clear" w:color="auto" w:fill="auto"/>
          </w:tcPr>
          <w:p w14:paraId="17C26C2E" w14:textId="016AFDEC" w:rsidR="00200C1D" w:rsidRPr="00402781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IND/GLY/MF</w:t>
            </w:r>
          </w:p>
        </w:tc>
        <w:tc>
          <w:tcPr>
            <w:tcW w:w="498" w:type="pct"/>
            <w:shd w:val="clear" w:color="auto" w:fill="auto"/>
          </w:tcPr>
          <w:p w14:paraId="49806405" w14:textId="12DD64E8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0.324</w:t>
            </w:r>
          </w:p>
        </w:tc>
        <w:tc>
          <w:tcPr>
            <w:tcW w:w="708" w:type="pct"/>
            <w:shd w:val="clear" w:color="auto" w:fill="auto"/>
          </w:tcPr>
          <w:p w14:paraId="18BCD8E9" w14:textId="583D7A0F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2" w:type="pct"/>
            <w:shd w:val="clear" w:color="auto" w:fill="auto"/>
          </w:tcPr>
          <w:p w14:paraId="294DA86C" w14:textId="067E8439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-1.136</w:t>
            </w:r>
          </w:p>
        </w:tc>
        <w:tc>
          <w:tcPr>
            <w:tcW w:w="764" w:type="pct"/>
            <w:shd w:val="clear" w:color="auto" w:fill="auto"/>
          </w:tcPr>
          <w:p w14:paraId="186AC7B7" w14:textId="3EA32AEA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0.134</w:t>
            </w:r>
          </w:p>
        </w:tc>
      </w:tr>
      <w:tr w:rsidR="00200C1D" w:rsidRPr="00402781" w14:paraId="13BA4FDD" w14:textId="537C6BDB" w:rsidTr="005A7FEF">
        <w:tc>
          <w:tcPr>
            <w:tcW w:w="1571" w:type="pct"/>
            <w:shd w:val="clear" w:color="auto" w:fill="auto"/>
          </w:tcPr>
          <w:p w14:paraId="31A2C9EA" w14:textId="77777777" w:rsidR="00200C1D" w:rsidRPr="00402781" w:rsidRDefault="00200C1D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767" w:type="pct"/>
            <w:shd w:val="clear" w:color="auto" w:fill="auto"/>
          </w:tcPr>
          <w:p w14:paraId="4D28D147" w14:textId="406B580A" w:rsidR="00200C1D" w:rsidRPr="00402781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SAL/FLU+TIO</w:t>
            </w:r>
          </w:p>
        </w:tc>
        <w:tc>
          <w:tcPr>
            <w:tcW w:w="498" w:type="pct"/>
            <w:shd w:val="clear" w:color="auto" w:fill="auto"/>
          </w:tcPr>
          <w:p w14:paraId="10664C96" w14:textId="5E9306E3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0.288</w:t>
            </w:r>
          </w:p>
        </w:tc>
        <w:tc>
          <w:tcPr>
            <w:tcW w:w="708" w:type="pct"/>
            <w:shd w:val="clear" w:color="auto" w:fill="auto"/>
          </w:tcPr>
          <w:p w14:paraId="31F15E45" w14:textId="5D89F419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2" w:type="pct"/>
            <w:shd w:val="clear" w:color="auto" w:fill="auto"/>
          </w:tcPr>
          <w:p w14:paraId="5CF8EE56" w14:textId="58B7CC2E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-1.254</w:t>
            </w:r>
          </w:p>
        </w:tc>
        <w:tc>
          <w:tcPr>
            <w:tcW w:w="764" w:type="pct"/>
            <w:shd w:val="clear" w:color="auto" w:fill="auto"/>
          </w:tcPr>
          <w:p w14:paraId="6742891F" w14:textId="1E20E93D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0.135</w:t>
            </w:r>
          </w:p>
        </w:tc>
      </w:tr>
      <w:tr w:rsidR="00200C1D" w:rsidRPr="00402781" w14:paraId="4C908366" w14:textId="7E935EEC" w:rsidTr="005A7FEF">
        <w:tc>
          <w:tcPr>
            <w:tcW w:w="1571" w:type="pct"/>
            <w:shd w:val="clear" w:color="auto" w:fill="auto"/>
            <w:hideMark/>
          </w:tcPr>
          <w:p w14:paraId="607E3033" w14:textId="29FA0B48" w:rsidR="00200C1D" w:rsidRPr="00402781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Disutility</w:t>
            </w:r>
          </w:p>
        </w:tc>
        <w:tc>
          <w:tcPr>
            <w:tcW w:w="767" w:type="pct"/>
            <w:shd w:val="clear" w:color="auto" w:fill="auto"/>
            <w:hideMark/>
          </w:tcPr>
          <w:p w14:paraId="640BF09D" w14:textId="5FD7AA77" w:rsidR="00200C1D" w:rsidRPr="00402781" w:rsidRDefault="00200C1D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498" w:type="pct"/>
            <w:shd w:val="clear" w:color="auto" w:fill="auto"/>
          </w:tcPr>
          <w:p w14:paraId="48A51152" w14:textId="77777777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08" w:type="pct"/>
            <w:shd w:val="clear" w:color="auto" w:fill="auto"/>
            <w:hideMark/>
          </w:tcPr>
          <w:p w14:paraId="391A99F1" w14:textId="3F94C061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692" w:type="pct"/>
            <w:shd w:val="clear" w:color="auto" w:fill="auto"/>
          </w:tcPr>
          <w:p w14:paraId="1E054549" w14:textId="77777777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64" w:type="pct"/>
            <w:shd w:val="clear" w:color="auto" w:fill="auto"/>
          </w:tcPr>
          <w:p w14:paraId="76AD7CD1" w14:textId="77777777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200C1D" w:rsidRPr="00402781" w14:paraId="4A219AF8" w14:textId="789A4C24" w:rsidTr="005A7FEF">
        <w:tc>
          <w:tcPr>
            <w:tcW w:w="1571" w:type="pct"/>
            <w:shd w:val="clear" w:color="auto" w:fill="auto"/>
          </w:tcPr>
          <w:p w14:paraId="20DD3D42" w14:textId="3AE2ED5A" w:rsidR="00200C1D" w:rsidRPr="00402781" w:rsidRDefault="00200C1D" w:rsidP="004F12B3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Hospitalized exacerbation</w:t>
            </w:r>
          </w:p>
        </w:tc>
        <w:tc>
          <w:tcPr>
            <w:tcW w:w="767" w:type="pct"/>
            <w:shd w:val="clear" w:color="auto" w:fill="auto"/>
          </w:tcPr>
          <w:p w14:paraId="6283E205" w14:textId="5B413EBA" w:rsidR="00200C1D" w:rsidRPr="00402781" w:rsidDel="00375B26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8" w:type="pct"/>
            <w:shd w:val="clear" w:color="auto" w:fill="auto"/>
          </w:tcPr>
          <w:p w14:paraId="431ED37D" w14:textId="4625DA20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0.200</w:t>
            </w:r>
          </w:p>
        </w:tc>
        <w:tc>
          <w:tcPr>
            <w:tcW w:w="708" w:type="pct"/>
            <w:shd w:val="clear" w:color="auto" w:fill="auto"/>
          </w:tcPr>
          <w:p w14:paraId="7882B9DF" w14:textId="7F964696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2" w:type="pct"/>
            <w:shd w:val="clear" w:color="auto" w:fill="auto"/>
          </w:tcPr>
          <w:p w14:paraId="6A98B80F" w14:textId="6FFC1CB2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-1.611</w:t>
            </w:r>
          </w:p>
        </w:tc>
        <w:tc>
          <w:tcPr>
            <w:tcW w:w="764" w:type="pct"/>
            <w:shd w:val="clear" w:color="auto" w:fill="auto"/>
          </w:tcPr>
          <w:p w14:paraId="526808C6" w14:textId="35E5D08D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0.051</w:t>
            </w:r>
          </w:p>
        </w:tc>
      </w:tr>
      <w:tr w:rsidR="00200C1D" w:rsidRPr="00402781" w14:paraId="2E6EC275" w14:textId="7C256BF8" w:rsidTr="005A7FEF">
        <w:tc>
          <w:tcPr>
            <w:tcW w:w="1571" w:type="pct"/>
            <w:shd w:val="clear" w:color="auto" w:fill="auto"/>
          </w:tcPr>
          <w:p w14:paraId="2AEFA8FA" w14:textId="7E093D85" w:rsidR="00200C1D" w:rsidRPr="00402781" w:rsidRDefault="00200C1D" w:rsidP="004F12B3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ED exacerbation</w:t>
            </w:r>
          </w:p>
        </w:tc>
        <w:tc>
          <w:tcPr>
            <w:tcW w:w="767" w:type="pct"/>
            <w:shd w:val="clear" w:color="auto" w:fill="auto"/>
          </w:tcPr>
          <w:p w14:paraId="473237D7" w14:textId="6005579E" w:rsidR="00200C1D" w:rsidRPr="00402781" w:rsidDel="00375B26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8" w:type="pct"/>
            <w:shd w:val="clear" w:color="auto" w:fill="auto"/>
          </w:tcPr>
          <w:p w14:paraId="09DB9B94" w14:textId="352DCC73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0.100</w:t>
            </w:r>
          </w:p>
        </w:tc>
        <w:tc>
          <w:tcPr>
            <w:tcW w:w="708" w:type="pct"/>
            <w:shd w:val="clear" w:color="auto" w:fill="auto"/>
          </w:tcPr>
          <w:p w14:paraId="6C9515B5" w14:textId="10A44AF0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2" w:type="pct"/>
            <w:shd w:val="clear" w:color="auto" w:fill="auto"/>
          </w:tcPr>
          <w:p w14:paraId="6A6E8E7F" w14:textId="4C7E7CAD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-2.304</w:t>
            </w:r>
          </w:p>
        </w:tc>
        <w:tc>
          <w:tcPr>
            <w:tcW w:w="764" w:type="pct"/>
            <w:shd w:val="clear" w:color="auto" w:fill="auto"/>
          </w:tcPr>
          <w:p w14:paraId="42ABF358" w14:textId="2B81CF51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0.051</w:t>
            </w:r>
          </w:p>
        </w:tc>
      </w:tr>
      <w:tr w:rsidR="00200C1D" w:rsidRPr="00402781" w14:paraId="57F29936" w14:textId="59A34053" w:rsidTr="005A7FEF">
        <w:tc>
          <w:tcPr>
            <w:tcW w:w="1571" w:type="pct"/>
            <w:shd w:val="clear" w:color="auto" w:fill="auto"/>
          </w:tcPr>
          <w:p w14:paraId="315F8D60" w14:textId="5C29977C" w:rsidR="00200C1D" w:rsidRPr="00402781" w:rsidRDefault="00200C1D" w:rsidP="004F12B3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OCS burst exacerbation</w:t>
            </w:r>
          </w:p>
        </w:tc>
        <w:tc>
          <w:tcPr>
            <w:tcW w:w="767" w:type="pct"/>
            <w:shd w:val="clear" w:color="auto" w:fill="auto"/>
          </w:tcPr>
          <w:p w14:paraId="39BF7544" w14:textId="34E1AF3C" w:rsidR="00200C1D" w:rsidRPr="00402781" w:rsidDel="00375B26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8" w:type="pct"/>
            <w:shd w:val="clear" w:color="auto" w:fill="auto"/>
          </w:tcPr>
          <w:p w14:paraId="27A1D098" w14:textId="390934EA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0.100</w:t>
            </w:r>
          </w:p>
        </w:tc>
        <w:tc>
          <w:tcPr>
            <w:tcW w:w="708" w:type="pct"/>
            <w:shd w:val="clear" w:color="auto" w:fill="auto"/>
          </w:tcPr>
          <w:p w14:paraId="01027FEF" w14:textId="48EC2DB2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2" w:type="pct"/>
            <w:shd w:val="clear" w:color="auto" w:fill="auto"/>
          </w:tcPr>
          <w:p w14:paraId="55F55F48" w14:textId="2DFB216E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-2.304</w:t>
            </w:r>
          </w:p>
        </w:tc>
        <w:tc>
          <w:tcPr>
            <w:tcW w:w="764" w:type="pct"/>
            <w:shd w:val="clear" w:color="auto" w:fill="auto"/>
          </w:tcPr>
          <w:p w14:paraId="66E78352" w14:textId="163E4BFC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0.051</w:t>
            </w:r>
          </w:p>
        </w:tc>
      </w:tr>
      <w:tr w:rsidR="00200C1D" w:rsidRPr="00402781" w14:paraId="1393A8DE" w14:textId="5AA5D274" w:rsidTr="005A7FEF">
        <w:tc>
          <w:tcPr>
            <w:tcW w:w="1571" w:type="pct"/>
            <w:shd w:val="clear" w:color="auto" w:fill="auto"/>
          </w:tcPr>
          <w:p w14:paraId="60D5FF76" w14:textId="0117DDFE" w:rsidR="00200C1D" w:rsidRPr="00402781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Utility</w:t>
            </w:r>
          </w:p>
        </w:tc>
        <w:tc>
          <w:tcPr>
            <w:tcW w:w="767" w:type="pct"/>
            <w:shd w:val="clear" w:color="auto" w:fill="auto"/>
          </w:tcPr>
          <w:p w14:paraId="0CB62FE8" w14:textId="77777777" w:rsidR="00200C1D" w:rsidRPr="00402781" w:rsidDel="00375B26" w:rsidRDefault="00200C1D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498" w:type="pct"/>
            <w:shd w:val="clear" w:color="auto" w:fill="auto"/>
          </w:tcPr>
          <w:p w14:paraId="0371F5EC" w14:textId="77777777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08" w:type="pct"/>
            <w:shd w:val="clear" w:color="auto" w:fill="auto"/>
          </w:tcPr>
          <w:p w14:paraId="4458892F" w14:textId="13347D0A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692" w:type="pct"/>
            <w:shd w:val="clear" w:color="auto" w:fill="auto"/>
          </w:tcPr>
          <w:p w14:paraId="7A419C41" w14:textId="77777777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64" w:type="pct"/>
            <w:shd w:val="clear" w:color="auto" w:fill="auto"/>
          </w:tcPr>
          <w:p w14:paraId="26879B09" w14:textId="77777777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200C1D" w:rsidRPr="00402781" w14:paraId="5AA0DEAD" w14:textId="3B537B84" w:rsidTr="005A7FEF">
        <w:tc>
          <w:tcPr>
            <w:tcW w:w="1571" w:type="pct"/>
            <w:shd w:val="clear" w:color="auto" w:fill="auto"/>
          </w:tcPr>
          <w:p w14:paraId="4AB36592" w14:textId="464F3D6F" w:rsidR="00200C1D" w:rsidRPr="00402781" w:rsidRDefault="00200C1D" w:rsidP="004F12B3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Day</w:t>
            </w:r>
            <w:r w:rsidR="0049751D" w:rsidRPr="00402781">
              <w:rPr>
                <w:color w:val="000000"/>
              </w:rPr>
              <w:t>-</w:t>
            </w:r>
            <w:r w:rsidRPr="00402781">
              <w:rPr>
                <w:color w:val="000000"/>
              </w:rPr>
              <w:t>to</w:t>
            </w:r>
            <w:r w:rsidR="0049751D" w:rsidRPr="00402781">
              <w:rPr>
                <w:color w:val="000000"/>
              </w:rPr>
              <w:t>-</w:t>
            </w:r>
            <w:r w:rsidRPr="00402781">
              <w:rPr>
                <w:color w:val="000000"/>
              </w:rPr>
              <w:t>day symptom</w:t>
            </w:r>
          </w:p>
        </w:tc>
        <w:tc>
          <w:tcPr>
            <w:tcW w:w="767" w:type="pct"/>
            <w:shd w:val="clear" w:color="auto" w:fill="auto"/>
          </w:tcPr>
          <w:p w14:paraId="5F4C71F2" w14:textId="1E207188" w:rsidR="00200C1D" w:rsidRPr="00402781" w:rsidDel="00375B26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IND/GLY/MF</w:t>
            </w:r>
          </w:p>
        </w:tc>
        <w:tc>
          <w:tcPr>
            <w:tcW w:w="498" w:type="pct"/>
            <w:shd w:val="clear" w:color="auto" w:fill="auto"/>
          </w:tcPr>
          <w:p w14:paraId="3E014396" w14:textId="25BE72C4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0.755</w:t>
            </w:r>
          </w:p>
        </w:tc>
        <w:tc>
          <w:tcPr>
            <w:tcW w:w="708" w:type="pct"/>
            <w:shd w:val="clear" w:color="auto" w:fill="auto"/>
          </w:tcPr>
          <w:p w14:paraId="12BC3DF0" w14:textId="45F408C5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2" w:type="pct"/>
            <w:shd w:val="clear" w:color="auto" w:fill="auto"/>
          </w:tcPr>
          <w:p w14:paraId="23C4CD55" w14:textId="07ADB0E0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-1.410</w:t>
            </w:r>
          </w:p>
        </w:tc>
        <w:tc>
          <w:tcPr>
            <w:tcW w:w="764" w:type="pct"/>
            <w:shd w:val="clear" w:color="auto" w:fill="auto"/>
          </w:tcPr>
          <w:p w14:paraId="0CB6493A" w14:textId="2D6748A2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0.078</w:t>
            </w:r>
          </w:p>
        </w:tc>
      </w:tr>
      <w:tr w:rsidR="00200C1D" w:rsidRPr="00402781" w14:paraId="1D0B832A" w14:textId="4823FA7B" w:rsidTr="005A7FEF">
        <w:tc>
          <w:tcPr>
            <w:tcW w:w="1571" w:type="pct"/>
            <w:shd w:val="clear" w:color="auto" w:fill="auto"/>
          </w:tcPr>
          <w:p w14:paraId="283EF244" w14:textId="0E094708" w:rsidR="00200C1D" w:rsidRPr="00402781" w:rsidRDefault="00200C1D" w:rsidP="004F12B3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Day</w:t>
            </w:r>
            <w:r w:rsidR="0049751D" w:rsidRPr="00402781">
              <w:rPr>
                <w:color w:val="000000"/>
              </w:rPr>
              <w:t>-</w:t>
            </w:r>
            <w:r w:rsidRPr="00402781">
              <w:rPr>
                <w:color w:val="000000"/>
              </w:rPr>
              <w:t>to</w:t>
            </w:r>
            <w:r w:rsidR="0049751D" w:rsidRPr="00402781">
              <w:rPr>
                <w:color w:val="000000"/>
              </w:rPr>
              <w:t>-</w:t>
            </w:r>
            <w:r w:rsidRPr="00402781">
              <w:rPr>
                <w:color w:val="000000"/>
              </w:rPr>
              <w:t>day symptom</w:t>
            </w:r>
          </w:p>
        </w:tc>
        <w:tc>
          <w:tcPr>
            <w:tcW w:w="767" w:type="pct"/>
            <w:shd w:val="clear" w:color="auto" w:fill="auto"/>
          </w:tcPr>
          <w:p w14:paraId="11E0E81B" w14:textId="08D4881C" w:rsidR="00200C1D" w:rsidRPr="00402781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SAL/FLU+TIO</w:t>
            </w:r>
          </w:p>
        </w:tc>
        <w:tc>
          <w:tcPr>
            <w:tcW w:w="498" w:type="pct"/>
            <w:shd w:val="clear" w:color="auto" w:fill="auto"/>
          </w:tcPr>
          <w:p w14:paraId="4D1E4D1B" w14:textId="608F2291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0.742</w:t>
            </w:r>
          </w:p>
        </w:tc>
        <w:tc>
          <w:tcPr>
            <w:tcW w:w="708" w:type="pct"/>
            <w:shd w:val="clear" w:color="auto" w:fill="auto"/>
          </w:tcPr>
          <w:p w14:paraId="7C351FA2" w14:textId="518A990C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2" w:type="pct"/>
            <w:shd w:val="clear" w:color="auto" w:fill="auto"/>
          </w:tcPr>
          <w:p w14:paraId="0E0CB747" w14:textId="170CE790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-1.357</w:t>
            </w:r>
          </w:p>
        </w:tc>
        <w:tc>
          <w:tcPr>
            <w:tcW w:w="764" w:type="pct"/>
            <w:shd w:val="clear" w:color="auto" w:fill="auto"/>
          </w:tcPr>
          <w:p w14:paraId="274D144E" w14:textId="651C3F13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0.073</w:t>
            </w:r>
          </w:p>
        </w:tc>
      </w:tr>
      <w:tr w:rsidR="00200C1D" w:rsidRPr="00402781" w14:paraId="4DEE340F" w14:textId="5310C316" w:rsidTr="005A7FEF">
        <w:tc>
          <w:tcPr>
            <w:tcW w:w="1571" w:type="pct"/>
            <w:shd w:val="clear" w:color="auto" w:fill="auto"/>
            <w:hideMark/>
          </w:tcPr>
          <w:p w14:paraId="5F0DB984" w14:textId="77777777" w:rsidR="00200C1D" w:rsidRPr="00402781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Costs</w:t>
            </w:r>
          </w:p>
        </w:tc>
        <w:tc>
          <w:tcPr>
            <w:tcW w:w="767" w:type="pct"/>
            <w:shd w:val="clear" w:color="auto" w:fill="auto"/>
          </w:tcPr>
          <w:p w14:paraId="2C92F883" w14:textId="6FB373C4" w:rsidR="00200C1D" w:rsidRPr="00402781" w:rsidRDefault="00200C1D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498" w:type="pct"/>
            <w:shd w:val="clear" w:color="auto" w:fill="auto"/>
          </w:tcPr>
          <w:p w14:paraId="520F8AC9" w14:textId="77777777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08" w:type="pct"/>
            <w:shd w:val="clear" w:color="auto" w:fill="auto"/>
            <w:hideMark/>
          </w:tcPr>
          <w:p w14:paraId="1D548139" w14:textId="1E80E64B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692" w:type="pct"/>
            <w:shd w:val="clear" w:color="auto" w:fill="auto"/>
          </w:tcPr>
          <w:p w14:paraId="5D44D63B" w14:textId="77777777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64" w:type="pct"/>
            <w:shd w:val="clear" w:color="auto" w:fill="auto"/>
          </w:tcPr>
          <w:p w14:paraId="4518F929" w14:textId="77777777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200C1D" w:rsidRPr="00402781" w14:paraId="707FB91D" w14:textId="6A1B6F63" w:rsidTr="005A7FEF">
        <w:tc>
          <w:tcPr>
            <w:tcW w:w="1571" w:type="pct"/>
            <w:shd w:val="clear" w:color="auto" w:fill="auto"/>
          </w:tcPr>
          <w:p w14:paraId="4759EB64" w14:textId="3E62A72B" w:rsidR="00200C1D" w:rsidRPr="00402781" w:rsidRDefault="00200C1D" w:rsidP="004F12B3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Drug</w:t>
            </w:r>
          </w:p>
        </w:tc>
        <w:tc>
          <w:tcPr>
            <w:tcW w:w="767" w:type="pct"/>
            <w:shd w:val="clear" w:color="auto" w:fill="auto"/>
          </w:tcPr>
          <w:p w14:paraId="5FA84965" w14:textId="760F590A" w:rsidR="00200C1D" w:rsidRPr="00402781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IND/GLY/MF</w:t>
            </w:r>
          </w:p>
        </w:tc>
        <w:tc>
          <w:tcPr>
            <w:tcW w:w="498" w:type="pct"/>
            <w:shd w:val="clear" w:color="auto" w:fill="auto"/>
          </w:tcPr>
          <w:p w14:paraId="37DD3986" w14:textId="40B7DCFE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1251.8</w:t>
            </w:r>
            <w:r w:rsidR="00211C12" w:rsidRPr="00402781">
              <w:rPr>
                <w:color w:val="000000"/>
              </w:rPr>
              <w:t>2</w:t>
            </w:r>
          </w:p>
        </w:tc>
        <w:tc>
          <w:tcPr>
            <w:tcW w:w="708" w:type="pct"/>
            <w:shd w:val="clear" w:color="auto" w:fill="auto"/>
          </w:tcPr>
          <w:p w14:paraId="5614A160" w14:textId="394C1C0F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Gamma</w:t>
            </w:r>
          </w:p>
        </w:tc>
        <w:tc>
          <w:tcPr>
            <w:tcW w:w="692" w:type="pct"/>
            <w:shd w:val="clear" w:color="auto" w:fill="auto"/>
          </w:tcPr>
          <w:p w14:paraId="60A4C979" w14:textId="0C769E08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384.146</w:t>
            </w:r>
          </w:p>
        </w:tc>
        <w:tc>
          <w:tcPr>
            <w:tcW w:w="764" w:type="pct"/>
            <w:shd w:val="clear" w:color="auto" w:fill="auto"/>
          </w:tcPr>
          <w:p w14:paraId="398D0C78" w14:textId="3D996170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3.259</w:t>
            </w:r>
          </w:p>
        </w:tc>
      </w:tr>
      <w:tr w:rsidR="00200C1D" w:rsidRPr="00402781" w14:paraId="3065C30E" w14:textId="732439D2" w:rsidTr="005A7FEF">
        <w:tc>
          <w:tcPr>
            <w:tcW w:w="1571" w:type="pct"/>
            <w:shd w:val="clear" w:color="auto" w:fill="auto"/>
          </w:tcPr>
          <w:p w14:paraId="3347A1C6" w14:textId="120AAB84" w:rsidR="00200C1D" w:rsidRPr="00402781" w:rsidRDefault="00200C1D" w:rsidP="004F12B3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Drug</w:t>
            </w:r>
          </w:p>
        </w:tc>
        <w:tc>
          <w:tcPr>
            <w:tcW w:w="767" w:type="pct"/>
            <w:shd w:val="clear" w:color="auto" w:fill="auto"/>
          </w:tcPr>
          <w:p w14:paraId="5E15EDDD" w14:textId="5C764614" w:rsidR="00200C1D" w:rsidRPr="00402781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SAL/FLU+TIO</w:t>
            </w:r>
          </w:p>
        </w:tc>
        <w:tc>
          <w:tcPr>
            <w:tcW w:w="498" w:type="pct"/>
            <w:shd w:val="clear" w:color="auto" w:fill="auto"/>
          </w:tcPr>
          <w:p w14:paraId="11BEA525" w14:textId="68A5D79C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1976.6</w:t>
            </w:r>
            <w:r w:rsidR="00211C12" w:rsidRPr="00402781">
              <w:rPr>
                <w:color w:val="000000"/>
              </w:rPr>
              <w:t>2</w:t>
            </w:r>
          </w:p>
        </w:tc>
        <w:tc>
          <w:tcPr>
            <w:tcW w:w="708" w:type="pct"/>
            <w:shd w:val="clear" w:color="auto" w:fill="auto"/>
          </w:tcPr>
          <w:p w14:paraId="0A531553" w14:textId="3CF4ADDC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Gamma</w:t>
            </w:r>
          </w:p>
        </w:tc>
        <w:tc>
          <w:tcPr>
            <w:tcW w:w="692" w:type="pct"/>
            <w:shd w:val="clear" w:color="auto" w:fill="auto"/>
          </w:tcPr>
          <w:p w14:paraId="10193C6A" w14:textId="0B85BD7E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384.146</w:t>
            </w:r>
          </w:p>
        </w:tc>
        <w:tc>
          <w:tcPr>
            <w:tcW w:w="764" w:type="pct"/>
            <w:shd w:val="clear" w:color="auto" w:fill="auto"/>
          </w:tcPr>
          <w:p w14:paraId="4FCB3283" w14:textId="24C331E3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5.145</w:t>
            </w:r>
          </w:p>
        </w:tc>
      </w:tr>
      <w:tr w:rsidR="00200C1D" w:rsidRPr="00402781" w14:paraId="2B2DCE3B" w14:textId="415DA3EE" w:rsidTr="005A7FEF">
        <w:tc>
          <w:tcPr>
            <w:tcW w:w="1571" w:type="pct"/>
            <w:shd w:val="clear" w:color="auto" w:fill="auto"/>
          </w:tcPr>
          <w:p w14:paraId="06F4F265" w14:textId="396F5253" w:rsidR="00200C1D" w:rsidRPr="00402781" w:rsidRDefault="00200C1D" w:rsidP="004F12B3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Moderate exacerbation</w:t>
            </w:r>
          </w:p>
        </w:tc>
        <w:tc>
          <w:tcPr>
            <w:tcW w:w="767" w:type="pct"/>
            <w:shd w:val="clear" w:color="auto" w:fill="auto"/>
          </w:tcPr>
          <w:p w14:paraId="7E03BD04" w14:textId="0FB9E280" w:rsidR="00200C1D" w:rsidRPr="00402781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8" w:type="pct"/>
            <w:shd w:val="clear" w:color="auto" w:fill="auto"/>
          </w:tcPr>
          <w:p w14:paraId="7076912D" w14:textId="35DEF890" w:rsidR="00200C1D" w:rsidRPr="00402781" w:rsidRDefault="005A7FEF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0.521</w:t>
            </w:r>
          </w:p>
        </w:tc>
        <w:tc>
          <w:tcPr>
            <w:tcW w:w="708" w:type="pct"/>
            <w:shd w:val="clear" w:color="auto" w:fill="auto"/>
          </w:tcPr>
          <w:p w14:paraId="707748B9" w14:textId="59D23636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Gamma</w:t>
            </w:r>
          </w:p>
        </w:tc>
        <w:tc>
          <w:tcPr>
            <w:tcW w:w="692" w:type="pct"/>
            <w:shd w:val="clear" w:color="auto" w:fill="auto"/>
          </w:tcPr>
          <w:p w14:paraId="3B087B25" w14:textId="4CE0E0E6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384.146</w:t>
            </w:r>
          </w:p>
        </w:tc>
        <w:tc>
          <w:tcPr>
            <w:tcW w:w="764" w:type="pct"/>
            <w:shd w:val="clear" w:color="auto" w:fill="auto"/>
          </w:tcPr>
          <w:p w14:paraId="4066C138" w14:textId="6A20AF71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0.001</w:t>
            </w:r>
          </w:p>
        </w:tc>
      </w:tr>
      <w:tr w:rsidR="00200C1D" w:rsidRPr="00402781" w14:paraId="6829D836" w14:textId="410F606E" w:rsidTr="005A7FEF">
        <w:tc>
          <w:tcPr>
            <w:tcW w:w="1571" w:type="pct"/>
            <w:shd w:val="clear" w:color="auto" w:fill="auto"/>
          </w:tcPr>
          <w:p w14:paraId="3E3C86CD" w14:textId="48D7469B" w:rsidR="00200C1D" w:rsidRPr="00402781" w:rsidRDefault="00200C1D" w:rsidP="004F12B3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Severe exacerbation</w:t>
            </w:r>
          </w:p>
        </w:tc>
        <w:tc>
          <w:tcPr>
            <w:tcW w:w="767" w:type="pct"/>
            <w:shd w:val="clear" w:color="auto" w:fill="auto"/>
          </w:tcPr>
          <w:p w14:paraId="330C3A78" w14:textId="39B56609" w:rsidR="00200C1D" w:rsidRPr="00402781" w:rsidRDefault="00200C1D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498" w:type="pct"/>
            <w:shd w:val="clear" w:color="auto" w:fill="auto"/>
          </w:tcPr>
          <w:p w14:paraId="6473144C" w14:textId="249CFE92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08" w:type="pct"/>
            <w:shd w:val="clear" w:color="auto" w:fill="auto"/>
          </w:tcPr>
          <w:p w14:paraId="772BD8D2" w14:textId="45F277C4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692" w:type="pct"/>
            <w:shd w:val="clear" w:color="auto" w:fill="auto"/>
          </w:tcPr>
          <w:p w14:paraId="09C96789" w14:textId="77777777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64" w:type="pct"/>
            <w:shd w:val="clear" w:color="auto" w:fill="auto"/>
          </w:tcPr>
          <w:p w14:paraId="05F322B2" w14:textId="77777777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200C1D" w:rsidRPr="00402781" w14:paraId="3ED5AEF6" w14:textId="5B86CC1F" w:rsidTr="005A7FEF">
        <w:tc>
          <w:tcPr>
            <w:tcW w:w="1571" w:type="pct"/>
            <w:shd w:val="clear" w:color="auto" w:fill="auto"/>
          </w:tcPr>
          <w:p w14:paraId="48D01437" w14:textId="6FFC4E58" w:rsidR="00200C1D" w:rsidRPr="00402781" w:rsidRDefault="00200C1D" w:rsidP="004F12B3">
            <w:pPr>
              <w:pStyle w:val="Tabletext"/>
              <w:ind w:left="346"/>
              <w:rPr>
                <w:color w:val="000000"/>
              </w:rPr>
            </w:pPr>
            <w:r w:rsidRPr="00402781">
              <w:rPr>
                <w:color w:val="000000"/>
              </w:rPr>
              <w:t>Hospitalized exacerbation</w:t>
            </w:r>
          </w:p>
        </w:tc>
        <w:tc>
          <w:tcPr>
            <w:tcW w:w="767" w:type="pct"/>
            <w:shd w:val="clear" w:color="auto" w:fill="auto"/>
          </w:tcPr>
          <w:p w14:paraId="71A44B55" w14:textId="68A45BF1" w:rsidR="00200C1D" w:rsidRPr="00402781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8" w:type="pct"/>
            <w:shd w:val="clear" w:color="auto" w:fill="auto"/>
          </w:tcPr>
          <w:p w14:paraId="4CB14398" w14:textId="50E32142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4649.3</w:t>
            </w:r>
            <w:r w:rsidR="00661983" w:rsidRPr="00402781">
              <w:rPr>
                <w:color w:val="000000"/>
              </w:rPr>
              <w:t>8</w:t>
            </w:r>
          </w:p>
        </w:tc>
        <w:tc>
          <w:tcPr>
            <w:tcW w:w="708" w:type="pct"/>
            <w:shd w:val="clear" w:color="auto" w:fill="auto"/>
          </w:tcPr>
          <w:p w14:paraId="46EAF56A" w14:textId="2DDE856C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Gamma</w:t>
            </w:r>
          </w:p>
        </w:tc>
        <w:tc>
          <w:tcPr>
            <w:tcW w:w="692" w:type="pct"/>
            <w:shd w:val="clear" w:color="auto" w:fill="auto"/>
          </w:tcPr>
          <w:p w14:paraId="1DE6B2C2" w14:textId="70005257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384.146</w:t>
            </w:r>
          </w:p>
        </w:tc>
        <w:tc>
          <w:tcPr>
            <w:tcW w:w="764" w:type="pct"/>
            <w:shd w:val="clear" w:color="auto" w:fill="auto"/>
          </w:tcPr>
          <w:p w14:paraId="5D51A9B6" w14:textId="5763BAB5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12.103</w:t>
            </w:r>
          </w:p>
        </w:tc>
      </w:tr>
      <w:tr w:rsidR="00200C1D" w:rsidRPr="00402781" w14:paraId="18A57B8C" w14:textId="20E88CE7" w:rsidTr="005A7FEF">
        <w:tc>
          <w:tcPr>
            <w:tcW w:w="1571" w:type="pct"/>
            <w:shd w:val="clear" w:color="auto" w:fill="auto"/>
          </w:tcPr>
          <w:p w14:paraId="23012C83" w14:textId="49EA5A14" w:rsidR="00200C1D" w:rsidRPr="00402781" w:rsidRDefault="00200C1D" w:rsidP="004F12B3">
            <w:pPr>
              <w:pStyle w:val="Tabletext"/>
              <w:ind w:left="346"/>
              <w:rPr>
                <w:color w:val="000000"/>
              </w:rPr>
            </w:pPr>
            <w:r w:rsidRPr="00402781">
              <w:rPr>
                <w:color w:val="000000"/>
              </w:rPr>
              <w:t>ED exacerbation</w:t>
            </w:r>
          </w:p>
        </w:tc>
        <w:tc>
          <w:tcPr>
            <w:tcW w:w="767" w:type="pct"/>
            <w:shd w:val="clear" w:color="auto" w:fill="auto"/>
          </w:tcPr>
          <w:p w14:paraId="7F156E5C" w14:textId="6FC01AD6" w:rsidR="00200C1D" w:rsidRPr="00402781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8" w:type="pct"/>
            <w:shd w:val="clear" w:color="auto" w:fill="auto"/>
          </w:tcPr>
          <w:p w14:paraId="553D3598" w14:textId="0AF216ED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538.06</w:t>
            </w:r>
          </w:p>
        </w:tc>
        <w:tc>
          <w:tcPr>
            <w:tcW w:w="708" w:type="pct"/>
            <w:shd w:val="clear" w:color="auto" w:fill="auto"/>
          </w:tcPr>
          <w:p w14:paraId="7437B847" w14:textId="477B035F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Gamma</w:t>
            </w:r>
          </w:p>
        </w:tc>
        <w:tc>
          <w:tcPr>
            <w:tcW w:w="692" w:type="pct"/>
            <w:shd w:val="clear" w:color="auto" w:fill="auto"/>
          </w:tcPr>
          <w:p w14:paraId="4AD65F62" w14:textId="27FE8932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384.146</w:t>
            </w:r>
          </w:p>
        </w:tc>
        <w:tc>
          <w:tcPr>
            <w:tcW w:w="764" w:type="pct"/>
            <w:shd w:val="clear" w:color="auto" w:fill="auto"/>
          </w:tcPr>
          <w:p w14:paraId="14722EF8" w14:textId="6AE21C07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1.401</w:t>
            </w:r>
          </w:p>
        </w:tc>
      </w:tr>
      <w:tr w:rsidR="00200C1D" w:rsidRPr="00402781" w14:paraId="7FFDBCF0" w14:textId="7B80AAA5" w:rsidTr="005A7FEF">
        <w:tc>
          <w:tcPr>
            <w:tcW w:w="1571" w:type="pct"/>
            <w:shd w:val="clear" w:color="auto" w:fill="auto"/>
          </w:tcPr>
          <w:p w14:paraId="173966DF" w14:textId="5F3A90AC" w:rsidR="00200C1D" w:rsidRPr="00402781" w:rsidRDefault="00200C1D" w:rsidP="004F12B3">
            <w:pPr>
              <w:pStyle w:val="Tabletext"/>
              <w:ind w:left="346"/>
              <w:rPr>
                <w:color w:val="000000"/>
              </w:rPr>
            </w:pPr>
            <w:r w:rsidRPr="00402781">
              <w:rPr>
                <w:color w:val="000000"/>
              </w:rPr>
              <w:t>OCS burst exacerbation</w:t>
            </w:r>
          </w:p>
        </w:tc>
        <w:tc>
          <w:tcPr>
            <w:tcW w:w="767" w:type="pct"/>
            <w:shd w:val="clear" w:color="auto" w:fill="auto"/>
          </w:tcPr>
          <w:p w14:paraId="102C4A03" w14:textId="708DE604" w:rsidR="00200C1D" w:rsidRPr="00402781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8" w:type="pct"/>
            <w:shd w:val="clear" w:color="auto" w:fill="auto"/>
          </w:tcPr>
          <w:p w14:paraId="67C01A82" w14:textId="04663E1F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78.07</w:t>
            </w:r>
          </w:p>
        </w:tc>
        <w:tc>
          <w:tcPr>
            <w:tcW w:w="708" w:type="pct"/>
            <w:shd w:val="clear" w:color="auto" w:fill="auto"/>
          </w:tcPr>
          <w:p w14:paraId="0E201622" w14:textId="283DD925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Gamma</w:t>
            </w:r>
          </w:p>
        </w:tc>
        <w:tc>
          <w:tcPr>
            <w:tcW w:w="692" w:type="pct"/>
            <w:shd w:val="clear" w:color="auto" w:fill="auto"/>
          </w:tcPr>
          <w:p w14:paraId="7304AFEB" w14:textId="7F5A22B6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384.146</w:t>
            </w:r>
          </w:p>
        </w:tc>
        <w:tc>
          <w:tcPr>
            <w:tcW w:w="764" w:type="pct"/>
            <w:shd w:val="clear" w:color="auto" w:fill="auto"/>
          </w:tcPr>
          <w:p w14:paraId="121F71E2" w14:textId="3FF2AF28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0.203</w:t>
            </w:r>
          </w:p>
        </w:tc>
      </w:tr>
      <w:tr w:rsidR="00200C1D" w:rsidRPr="00402781" w14:paraId="1ED12F95" w14:textId="5B609AFB" w:rsidTr="005A7FEF">
        <w:tc>
          <w:tcPr>
            <w:tcW w:w="1571" w:type="pct"/>
            <w:shd w:val="clear" w:color="auto" w:fill="auto"/>
          </w:tcPr>
          <w:p w14:paraId="51DA3435" w14:textId="0B777226" w:rsidR="00200C1D" w:rsidRPr="00402781" w:rsidRDefault="00200C1D" w:rsidP="004F12B3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Discount cost</w:t>
            </w:r>
          </w:p>
        </w:tc>
        <w:tc>
          <w:tcPr>
            <w:tcW w:w="767" w:type="pct"/>
            <w:shd w:val="clear" w:color="auto" w:fill="auto"/>
          </w:tcPr>
          <w:p w14:paraId="3B11B29D" w14:textId="604DB14C" w:rsidR="00200C1D" w:rsidRPr="00402781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8" w:type="pct"/>
            <w:shd w:val="clear" w:color="auto" w:fill="auto"/>
          </w:tcPr>
          <w:p w14:paraId="75E215C3" w14:textId="2B4E3A1A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1.50%</w:t>
            </w:r>
          </w:p>
        </w:tc>
        <w:tc>
          <w:tcPr>
            <w:tcW w:w="708" w:type="pct"/>
            <w:shd w:val="clear" w:color="auto" w:fill="auto"/>
          </w:tcPr>
          <w:p w14:paraId="30FE1750" w14:textId="0ACA6591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Normal</w:t>
            </w:r>
          </w:p>
        </w:tc>
        <w:tc>
          <w:tcPr>
            <w:tcW w:w="692" w:type="pct"/>
            <w:shd w:val="clear" w:color="auto" w:fill="auto"/>
          </w:tcPr>
          <w:p w14:paraId="74F9C5E1" w14:textId="052CC6AE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0.015</w:t>
            </w:r>
          </w:p>
        </w:tc>
        <w:tc>
          <w:tcPr>
            <w:tcW w:w="764" w:type="pct"/>
            <w:shd w:val="clear" w:color="auto" w:fill="auto"/>
          </w:tcPr>
          <w:p w14:paraId="24266BA6" w14:textId="21CEC446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0.001</w:t>
            </w:r>
          </w:p>
        </w:tc>
      </w:tr>
      <w:tr w:rsidR="00200C1D" w:rsidRPr="00402781" w14:paraId="2B4E7ED6" w14:textId="70FC7853" w:rsidTr="005A7FEF">
        <w:tc>
          <w:tcPr>
            <w:tcW w:w="1571" w:type="pct"/>
            <w:shd w:val="clear" w:color="auto" w:fill="auto"/>
          </w:tcPr>
          <w:p w14:paraId="27B68118" w14:textId="447CDE61" w:rsidR="00200C1D" w:rsidRPr="00402781" w:rsidRDefault="00200C1D" w:rsidP="004F12B3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Discount outcome</w:t>
            </w:r>
          </w:p>
        </w:tc>
        <w:tc>
          <w:tcPr>
            <w:tcW w:w="767" w:type="pct"/>
            <w:shd w:val="clear" w:color="auto" w:fill="auto"/>
          </w:tcPr>
          <w:p w14:paraId="1F832AC5" w14:textId="4C3F236E" w:rsidR="00200C1D" w:rsidRPr="00402781" w:rsidRDefault="00200C1D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8" w:type="pct"/>
            <w:shd w:val="clear" w:color="auto" w:fill="auto"/>
          </w:tcPr>
          <w:p w14:paraId="5E522706" w14:textId="7317C6DE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1.50%</w:t>
            </w:r>
          </w:p>
        </w:tc>
        <w:tc>
          <w:tcPr>
            <w:tcW w:w="708" w:type="pct"/>
            <w:shd w:val="clear" w:color="auto" w:fill="auto"/>
          </w:tcPr>
          <w:p w14:paraId="060C9220" w14:textId="5FFE2994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Normal</w:t>
            </w:r>
          </w:p>
        </w:tc>
        <w:tc>
          <w:tcPr>
            <w:tcW w:w="692" w:type="pct"/>
            <w:shd w:val="clear" w:color="auto" w:fill="auto"/>
          </w:tcPr>
          <w:p w14:paraId="21425582" w14:textId="144C7AB6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0.015</w:t>
            </w:r>
          </w:p>
        </w:tc>
        <w:tc>
          <w:tcPr>
            <w:tcW w:w="764" w:type="pct"/>
            <w:shd w:val="clear" w:color="auto" w:fill="auto"/>
          </w:tcPr>
          <w:p w14:paraId="20A0EAC3" w14:textId="550C6451" w:rsidR="00200C1D" w:rsidRPr="00402781" w:rsidRDefault="00200C1D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0.001</w:t>
            </w:r>
          </w:p>
        </w:tc>
      </w:tr>
    </w:tbl>
    <w:p w14:paraId="465000CF" w14:textId="27C665C3" w:rsidR="00084B4C" w:rsidRPr="00402781" w:rsidRDefault="00332C46" w:rsidP="001236D9">
      <w:pPr>
        <w:pStyle w:val="tabfignote"/>
        <w:rPr>
          <w:color w:val="000000"/>
        </w:rPr>
      </w:pPr>
      <w:r w:rsidRPr="00402781">
        <w:rPr>
          <w:b/>
          <w:bCs/>
          <w:color w:val="000000"/>
        </w:rPr>
        <w:t>Abbreviations:</w:t>
      </w:r>
      <w:r w:rsidRPr="00402781">
        <w:rPr>
          <w:color w:val="000000"/>
        </w:rPr>
        <w:t xml:space="preserve"> </w:t>
      </w:r>
      <w:r w:rsidR="00084B4C" w:rsidRPr="00402781">
        <w:rPr>
          <w:color w:val="000000"/>
        </w:rPr>
        <w:t>ED</w:t>
      </w:r>
      <w:r w:rsidR="0049751D" w:rsidRPr="00402781">
        <w:rPr>
          <w:color w:val="000000"/>
        </w:rPr>
        <w:t>,</w:t>
      </w:r>
      <w:r w:rsidR="00084B4C" w:rsidRPr="00402781">
        <w:rPr>
          <w:color w:val="000000"/>
        </w:rPr>
        <w:t xml:space="preserve"> emergency department visit; </w:t>
      </w:r>
      <w:r w:rsidR="00BA0222" w:rsidRPr="00402781">
        <w:rPr>
          <w:color w:val="000000"/>
        </w:rPr>
        <w:t>IND/GLY/MF, indacaterol acetate/glycopyrronium bromide/mometasone furoate;</w:t>
      </w:r>
      <w:r w:rsidR="0049751D" w:rsidRPr="00402781">
        <w:rPr>
          <w:color w:val="000000"/>
        </w:rPr>
        <w:t xml:space="preserve"> N/A, not applicable;</w:t>
      </w:r>
      <w:r w:rsidR="00BA0222" w:rsidRPr="00402781">
        <w:rPr>
          <w:color w:val="000000"/>
        </w:rPr>
        <w:t xml:space="preserve"> OCS, oral corticosteroid; SAL/FLU, salmeterol/ fluticasone; TIO, tiotropium</w:t>
      </w:r>
      <w:r w:rsidR="0049751D" w:rsidRPr="00402781">
        <w:rPr>
          <w:color w:val="000000"/>
        </w:rPr>
        <w:t>.</w:t>
      </w:r>
    </w:p>
    <w:p w14:paraId="063BEB7B" w14:textId="6FEB6B26" w:rsidR="00084B4C" w:rsidRPr="00402781" w:rsidRDefault="001236D9" w:rsidP="001236D9">
      <w:pPr>
        <w:pStyle w:val="tabfignote"/>
        <w:rPr>
          <w:rFonts w:cs="Arial"/>
          <w:color w:val="000000"/>
        </w:rPr>
      </w:pPr>
      <w:r w:rsidRPr="00402781">
        <w:rPr>
          <w:rFonts w:cs="Arial"/>
          <w:color w:val="000000"/>
          <w:vertAlign w:val="superscript"/>
        </w:rPr>
        <w:t>a</w:t>
      </w:r>
      <w:r w:rsidRPr="00402781">
        <w:rPr>
          <w:rFonts w:cs="Arial"/>
          <w:color w:val="000000"/>
        </w:rPr>
        <w:t xml:space="preserve"> ClinicalTrials.gov: NCT03158311. Study to </w:t>
      </w:r>
      <w:r w:rsidR="0049751D" w:rsidRPr="00402781">
        <w:rPr>
          <w:rFonts w:cs="Arial"/>
          <w:color w:val="000000"/>
        </w:rPr>
        <w:t xml:space="preserve">compare </w:t>
      </w:r>
      <w:r w:rsidRPr="00402781">
        <w:rPr>
          <w:rFonts w:cs="Arial"/>
          <w:color w:val="000000"/>
        </w:rPr>
        <w:t xml:space="preserve">QVM149 and </w:t>
      </w:r>
      <w:r w:rsidR="0049751D" w:rsidRPr="00402781">
        <w:rPr>
          <w:rFonts w:cs="Arial"/>
          <w:color w:val="000000"/>
        </w:rPr>
        <w:t>free triple combination of salmeterol/fluticasone + tiotropium</w:t>
      </w:r>
      <w:r w:rsidRPr="00402781">
        <w:rPr>
          <w:rFonts w:cs="Arial"/>
          <w:color w:val="000000"/>
        </w:rPr>
        <w:t xml:space="preserve"> (ARGON). 2020. https://clinicaltrials.gov/ct2/show/NCT03158311. Accessed June 4, 2020</w:t>
      </w:r>
      <w:r w:rsidR="0049751D" w:rsidRPr="00402781">
        <w:rPr>
          <w:rFonts w:cs="Arial"/>
          <w:color w:val="000000"/>
        </w:rPr>
        <w:t>.</w:t>
      </w:r>
    </w:p>
    <w:p w14:paraId="36741758" w14:textId="77777777" w:rsidR="00332C46" w:rsidRPr="00402781" w:rsidRDefault="00332C46">
      <w:pPr>
        <w:rPr>
          <w:color w:val="000000"/>
        </w:rPr>
        <w:sectPr w:rsidR="00332C46" w:rsidRPr="0040278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536F53" w14:textId="00471A8F" w:rsidR="001236D9" w:rsidRPr="00402781" w:rsidRDefault="001236D9" w:rsidP="001236D9">
      <w:pPr>
        <w:rPr>
          <w:rFonts w:ascii="Arial" w:hAnsi="Arial" w:cs="Arial"/>
          <w:b/>
          <w:bCs/>
          <w:color w:val="000000"/>
        </w:rPr>
      </w:pPr>
      <w:r w:rsidRPr="00402781">
        <w:rPr>
          <w:rFonts w:ascii="Arial" w:hAnsi="Arial" w:cs="Arial"/>
          <w:b/>
          <w:bCs/>
          <w:color w:val="000000"/>
        </w:rPr>
        <w:lastRenderedPageBreak/>
        <w:t>Table S-</w:t>
      </w:r>
      <w:r w:rsidR="00661983" w:rsidRPr="00402781">
        <w:rPr>
          <w:rFonts w:ascii="Arial" w:hAnsi="Arial" w:cs="Arial"/>
          <w:b/>
          <w:bCs/>
          <w:color w:val="000000"/>
        </w:rPr>
        <w:t>5</w:t>
      </w:r>
      <w:r w:rsidRPr="00402781">
        <w:rPr>
          <w:rFonts w:ascii="Arial" w:hAnsi="Arial" w:cs="Arial"/>
          <w:b/>
          <w:bCs/>
          <w:color w:val="000000"/>
        </w:rPr>
        <w:t xml:space="preserve">. Parameters for Probabilistic Sensitivity Analyses </w:t>
      </w:r>
      <w:r w:rsidR="0049751D" w:rsidRPr="00402781">
        <w:rPr>
          <w:rFonts w:ascii="Arial" w:hAnsi="Arial" w:cs="Arial"/>
          <w:b/>
          <w:bCs/>
          <w:color w:val="000000"/>
        </w:rPr>
        <w:t xml:space="preserve">From </w:t>
      </w:r>
      <w:r w:rsidRPr="00402781">
        <w:rPr>
          <w:rFonts w:ascii="Arial" w:hAnsi="Arial" w:cs="Arial"/>
          <w:b/>
          <w:bCs/>
          <w:color w:val="000000"/>
        </w:rPr>
        <w:t>IRIDIUM Trial</w:t>
      </w:r>
      <w:r w:rsidRPr="00402781">
        <w:rPr>
          <w:rFonts w:ascii="Arial" w:hAnsi="Arial" w:cs="Arial"/>
          <w:b/>
          <w:bCs/>
          <w:color w:val="000000"/>
          <w:vertAlign w:val="superscript"/>
        </w:rPr>
        <w:t>a</w:t>
      </w:r>
    </w:p>
    <w:tbl>
      <w:tblPr>
        <w:tblW w:w="5068" w:type="pct"/>
        <w:tblBorders>
          <w:top w:val="single" w:sz="12" w:space="0" w:color="000000"/>
          <w:bottom w:val="single" w:sz="12" w:space="0" w:color="000000"/>
          <w:insideH w:val="single" w:sz="2" w:space="0" w:color="DDDDDD"/>
        </w:tblBorders>
        <w:tblLook w:val="04A0" w:firstRow="1" w:lastRow="0" w:firstColumn="1" w:lastColumn="0" w:noHBand="0" w:noVBand="1"/>
      </w:tblPr>
      <w:tblGrid>
        <w:gridCol w:w="2969"/>
        <w:gridCol w:w="1573"/>
        <w:gridCol w:w="939"/>
        <w:gridCol w:w="1340"/>
        <w:gridCol w:w="1317"/>
        <w:gridCol w:w="1349"/>
      </w:tblGrid>
      <w:tr w:rsidR="004F12B3" w:rsidRPr="00402781" w14:paraId="7694F2A1" w14:textId="77777777" w:rsidTr="008E578D">
        <w:trPr>
          <w:tblHeader/>
        </w:trPr>
        <w:tc>
          <w:tcPr>
            <w:tcW w:w="1565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  <w:hideMark/>
          </w:tcPr>
          <w:p w14:paraId="26E27428" w14:textId="77777777" w:rsidR="001236D9" w:rsidRPr="00402781" w:rsidRDefault="001236D9" w:rsidP="004F12B3">
            <w:pPr>
              <w:pStyle w:val="Tableheadings"/>
              <w:jc w:val="left"/>
              <w:rPr>
                <w:color w:val="000000"/>
                <w:sz w:val="22"/>
              </w:rPr>
            </w:pPr>
            <w:r w:rsidRPr="00402781">
              <w:rPr>
                <w:color w:val="000000"/>
              </w:rPr>
              <w:t>Parameter</w:t>
            </w:r>
          </w:p>
        </w:tc>
        <w:tc>
          <w:tcPr>
            <w:tcW w:w="829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  <w:hideMark/>
          </w:tcPr>
          <w:p w14:paraId="588EF46D" w14:textId="77777777" w:rsidR="001236D9" w:rsidRPr="00402781" w:rsidRDefault="001236D9" w:rsidP="004F12B3">
            <w:pPr>
              <w:pStyle w:val="Tableheadings"/>
              <w:jc w:val="left"/>
              <w:rPr>
                <w:color w:val="000000"/>
              </w:rPr>
            </w:pPr>
            <w:r w:rsidRPr="00402781">
              <w:rPr>
                <w:color w:val="000000"/>
              </w:rPr>
              <w:t>Treatment</w:t>
            </w:r>
          </w:p>
        </w:tc>
        <w:tc>
          <w:tcPr>
            <w:tcW w:w="495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7F43E7E3" w14:textId="77777777" w:rsidR="001236D9" w:rsidRPr="00402781" w:rsidRDefault="001236D9" w:rsidP="004F12B3">
            <w:pPr>
              <w:pStyle w:val="Tableheadings"/>
              <w:jc w:val="left"/>
              <w:rPr>
                <w:color w:val="000000"/>
              </w:rPr>
            </w:pPr>
            <w:r w:rsidRPr="00402781">
              <w:rPr>
                <w:color w:val="000000"/>
              </w:rPr>
              <w:t>Mean</w:t>
            </w:r>
          </w:p>
        </w:tc>
        <w:tc>
          <w:tcPr>
            <w:tcW w:w="706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  <w:hideMark/>
          </w:tcPr>
          <w:p w14:paraId="6B23FE0D" w14:textId="77777777" w:rsidR="001236D9" w:rsidRPr="00402781" w:rsidRDefault="001236D9" w:rsidP="004F12B3">
            <w:pPr>
              <w:pStyle w:val="Tableheadings"/>
              <w:jc w:val="left"/>
              <w:rPr>
                <w:color w:val="000000"/>
              </w:rPr>
            </w:pPr>
            <w:r w:rsidRPr="00402781">
              <w:rPr>
                <w:color w:val="000000"/>
              </w:rPr>
              <w:t xml:space="preserve">Distribution </w:t>
            </w:r>
          </w:p>
        </w:tc>
        <w:tc>
          <w:tcPr>
            <w:tcW w:w="694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5ED62C09" w14:textId="77777777" w:rsidR="001236D9" w:rsidRPr="00402781" w:rsidRDefault="001236D9" w:rsidP="004F12B3">
            <w:pPr>
              <w:pStyle w:val="Tableheadings"/>
              <w:jc w:val="left"/>
              <w:rPr>
                <w:color w:val="000000"/>
                <w:spacing w:val="-6"/>
              </w:rPr>
            </w:pPr>
            <w:r w:rsidRPr="00402781">
              <w:rPr>
                <w:color w:val="000000"/>
                <w:spacing w:val="-6"/>
              </w:rPr>
              <w:t>Parameter 1</w:t>
            </w:r>
          </w:p>
        </w:tc>
        <w:tc>
          <w:tcPr>
            <w:tcW w:w="711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59644416" w14:textId="77777777" w:rsidR="001236D9" w:rsidRPr="00402781" w:rsidRDefault="001236D9" w:rsidP="004F12B3">
            <w:pPr>
              <w:pStyle w:val="Tableheadings"/>
              <w:jc w:val="left"/>
              <w:rPr>
                <w:color w:val="000000"/>
                <w:spacing w:val="-2"/>
              </w:rPr>
            </w:pPr>
            <w:r w:rsidRPr="00402781">
              <w:rPr>
                <w:color w:val="000000"/>
                <w:spacing w:val="-2"/>
              </w:rPr>
              <w:t>Parameter 2</w:t>
            </w:r>
          </w:p>
        </w:tc>
      </w:tr>
      <w:tr w:rsidR="001236D9" w:rsidRPr="00402781" w14:paraId="608F5F12" w14:textId="77777777" w:rsidTr="008E578D">
        <w:tc>
          <w:tcPr>
            <w:tcW w:w="1565" w:type="pct"/>
            <w:tcBorders>
              <w:top w:val="single" w:sz="2" w:space="0" w:color="DDDDDD"/>
            </w:tcBorders>
            <w:shd w:val="clear" w:color="auto" w:fill="auto"/>
            <w:hideMark/>
          </w:tcPr>
          <w:p w14:paraId="4B2D073E" w14:textId="77777777" w:rsidR="001236D9" w:rsidRPr="00402781" w:rsidRDefault="001236D9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Efficacy – exacerbation rates</w:t>
            </w:r>
          </w:p>
        </w:tc>
        <w:tc>
          <w:tcPr>
            <w:tcW w:w="829" w:type="pct"/>
            <w:tcBorders>
              <w:top w:val="single" w:sz="2" w:space="0" w:color="DDDDDD"/>
            </w:tcBorders>
            <w:shd w:val="clear" w:color="auto" w:fill="auto"/>
            <w:hideMark/>
          </w:tcPr>
          <w:p w14:paraId="197BC000" w14:textId="77777777" w:rsidR="001236D9" w:rsidRPr="00402781" w:rsidRDefault="001236D9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495" w:type="pct"/>
            <w:tcBorders>
              <w:top w:val="single" w:sz="2" w:space="0" w:color="DDDDDD"/>
            </w:tcBorders>
            <w:shd w:val="clear" w:color="auto" w:fill="auto"/>
          </w:tcPr>
          <w:p w14:paraId="3B8177BF" w14:textId="77777777" w:rsidR="001236D9" w:rsidRPr="00402781" w:rsidRDefault="001236D9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706" w:type="pct"/>
            <w:tcBorders>
              <w:top w:val="single" w:sz="2" w:space="0" w:color="DDDDDD"/>
            </w:tcBorders>
            <w:shd w:val="clear" w:color="auto" w:fill="auto"/>
            <w:hideMark/>
          </w:tcPr>
          <w:p w14:paraId="70DBB99E" w14:textId="77777777" w:rsidR="001236D9" w:rsidRPr="00402781" w:rsidRDefault="001236D9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694" w:type="pct"/>
            <w:tcBorders>
              <w:top w:val="single" w:sz="2" w:space="0" w:color="DDDDDD"/>
            </w:tcBorders>
            <w:shd w:val="clear" w:color="auto" w:fill="auto"/>
          </w:tcPr>
          <w:p w14:paraId="386CDD6E" w14:textId="77777777" w:rsidR="001236D9" w:rsidRPr="00402781" w:rsidRDefault="001236D9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711" w:type="pct"/>
            <w:tcBorders>
              <w:top w:val="single" w:sz="2" w:space="0" w:color="DDDDDD"/>
            </w:tcBorders>
            <w:shd w:val="clear" w:color="auto" w:fill="auto"/>
          </w:tcPr>
          <w:p w14:paraId="4377A8B1" w14:textId="77777777" w:rsidR="001236D9" w:rsidRPr="00402781" w:rsidRDefault="001236D9" w:rsidP="004F12B3">
            <w:pPr>
              <w:pStyle w:val="Tabletext"/>
              <w:rPr>
                <w:color w:val="000000"/>
              </w:rPr>
            </w:pPr>
          </w:p>
        </w:tc>
      </w:tr>
      <w:tr w:rsidR="005A7FEF" w:rsidRPr="00402781" w14:paraId="6270F888" w14:textId="77777777" w:rsidTr="008E578D">
        <w:tc>
          <w:tcPr>
            <w:tcW w:w="1565" w:type="pct"/>
            <w:shd w:val="clear" w:color="auto" w:fill="auto"/>
          </w:tcPr>
          <w:p w14:paraId="773F2E65" w14:textId="77777777" w:rsidR="005A7FEF" w:rsidRPr="00402781" w:rsidRDefault="005A7FEF" w:rsidP="005A7FEF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Moderate exacerbation</w:t>
            </w:r>
          </w:p>
        </w:tc>
        <w:tc>
          <w:tcPr>
            <w:tcW w:w="829" w:type="pct"/>
            <w:shd w:val="clear" w:color="auto" w:fill="auto"/>
          </w:tcPr>
          <w:p w14:paraId="4DE3D85E" w14:textId="77777777" w:rsidR="005A7FEF" w:rsidRPr="00402781" w:rsidDel="004A20E2" w:rsidRDefault="005A7FEF" w:rsidP="005A7FEF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IND/GLY/MF</w:t>
            </w:r>
          </w:p>
        </w:tc>
        <w:tc>
          <w:tcPr>
            <w:tcW w:w="495" w:type="pct"/>
            <w:shd w:val="clear" w:color="auto" w:fill="auto"/>
          </w:tcPr>
          <w:p w14:paraId="38F07BC5" w14:textId="3BCA9CE5" w:rsidR="005A7FEF" w:rsidRPr="00402781" w:rsidRDefault="005A7FEF" w:rsidP="005A7FEF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0.480</w:t>
            </w:r>
          </w:p>
        </w:tc>
        <w:tc>
          <w:tcPr>
            <w:tcW w:w="706" w:type="pct"/>
            <w:shd w:val="clear" w:color="auto" w:fill="auto"/>
          </w:tcPr>
          <w:p w14:paraId="7CC90470" w14:textId="77777777" w:rsidR="005A7FEF" w:rsidRPr="00402781" w:rsidRDefault="005A7FEF" w:rsidP="005A7FEF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4" w:type="pct"/>
            <w:shd w:val="clear" w:color="auto" w:fill="auto"/>
          </w:tcPr>
          <w:p w14:paraId="46BC2EA7" w14:textId="092F2A9B" w:rsidR="005A7FEF" w:rsidRPr="00402781" w:rsidRDefault="005A7FEF" w:rsidP="005A7FEF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-0.736</w:t>
            </w:r>
          </w:p>
        </w:tc>
        <w:tc>
          <w:tcPr>
            <w:tcW w:w="711" w:type="pct"/>
            <w:shd w:val="clear" w:color="auto" w:fill="auto"/>
          </w:tcPr>
          <w:p w14:paraId="3C56A126" w14:textId="71822A50" w:rsidR="005A7FEF" w:rsidRPr="00402781" w:rsidRDefault="005A7FEF" w:rsidP="005A7FEF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0.064</w:t>
            </w:r>
          </w:p>
        </w:tc>
      </w:tr>
      <w:tr w:rsidR="00955379" w:rsidRPr="00402781" w14:paraId="043693A1" w14:textId="77777777" w:rsidTr="008E578D">
        <w:tc>
          <w:tcPr>
            <w:tcW w:w="1565" w:type="pct"/>
            <w:shd w:val="clear" w:color="auto" w:fill="auto"/>
          </w:tcPr>
          <w:p w14:paraId="22FB6F6C" w14:textId="77777777" w:rsidR="00955379" w:rsidRPr="00402781" w:rsidRDefault="00955379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829" w:type="pct"/>
            <w:shd w:val="clear" w:color="auto" w:fill="auto"/>
          </w:tcPr>
          <w:p w14:paraId="22EE38EF" w14:textId="3317CAC0" w:rsidR="00955379" w:rsidRPr="00402781" w:rsidRDefault="00955379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SAL/FLU</w:t>
            </w:r>
          </w:p>
        </w:tc>
        <w:tc>
          <w:tcPr>
            <w:tcW w:w="495" w:type="pct"/>
            <w:shd w:val="clear" w:color="auto" w:fill="auto"/>
          </w:tcPr>
          <w:p w14:paraId="280AF33B" w14:textId="768E47B4" w:rsidR="00955379" w:rsidRPr="00402781" w:rsidRDefault="00955379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0.780</w:t>
            </w:r>
          </w:p>
        </w:tc>
        <w:tc>
          <w:tcPr>
            <w:tcW w:w="706" w:type="pct"/>
            <w:shd w:val="clear" w:color="auto" w:fill="auto"/>
          </w:tcPr>
          <w:p w14:paraId="4721E012" w14:textId="77777777" w:rsidR="00955379" w:rsidRPr="00402781" w:rsidRDefault="00955379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4" w:type="pct"/>
            <w:shd w:val="clear" w:color="auto" w:fill="auto"/>
          </w:tcPr>
          <w:p w14:paraId="799DF0DF" w14:textId="392CE01C" w:rsidR="00955379" w:rsidRPr="00402781" w:rsidRDefault="00955379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-0.249</w:t>
            </w:r>
          </w:p>
        </w:tc>
        <w:tc>
          <w:tcPr>
            <w:tcW w:w="711" w:type="pct"/>
            <w:shd w:val="clear" w:color="auto" w:fill="auto"/>
          </w:tcPr>
          <w:p w14:paraId="3B2E8F27" w14:textId="598FF971" w:rsidR="00955379" w:rsidRPr="00402781" w:rsidRDefault="00955379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0.026</w:t>
            </w:r>
          </w:p>
        </w:tc>
      </w:tr>
      <w:tr w:rsidR="00955379" w:rsidRPr="00402781" w14:paraId="5C229E7C" w14:textId="77777777" w:rsidTr="008E578D">
        <w:tc>
          <w:tcPr>
            <w:tcW w:w="1565" w:type="pct"/>
            <w:shd w:val="clear" w:color="auto" w:fill="auto"/>
          </w:tcPr>
          <w:p w14:paraId="3CCA2D67" w14:textId="77777777" w:rsidR="00955379" w:rsidRPr="00402781" w:rsidRDefault="00955379" w:rsidP="004F12B3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Severe exacerbation</w:t>
            </w:r>
          </w:p>
        </w:tc>
        <w:tc>
          <w:tcPr>
            <w:tcW w:w="829" w:type="pct"/>
            <w:shd w:val="clear" w:color="auto" w:fill="auto"/>
          </w:tcPr>
          <w:p w14:paraId="333C9ED0" w14:textId="77777777" w:rsidR="00955379" w:rsidRPr="00402781" w:rsidDel="004A20E2" w:rsidRDefault="00955379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495" w:type="pct"/>
            <w:shd w:val="clear" w:color="auto" w:fill="auto"/>
          </w:tcPr>
          <w:p w14:paraId="37A55599" w14:textId="77777777" w:rsidR="00955379" w:rsidRPr="00402781" w:rsidRDefault="00955379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06" w:type="pct"/>
            <w:shd w:val="clear" w:color="auto" w:fill="auto"/>
          </w:tcPr>
          <w:p w14:paraId="5CD1A5B9" w14:textId="77777777" w:rsidR="00955379" w:rsidRPr="00402781" w:rsidRDefault="00955379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694" w:type="pct"/>
            <w:shd w:val="clear" w:color="auto" w:fill="auto"/>
          </w:tcPr>
          <w:p w14:paraId="71CF8D8F" w14:textId="77777777" w:rsidR="00955379" w:rsidRPr="00402781" w:rsidRDefault="00955379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11" w:type="pct"/>
            <w:shd w:val="clear" w:color="auto" w:fill="auto"/>
          </w:tcPr>
          <w:p w14:paraId="4276A19B" w14:textId="77777777" w:rsidR="00955379" w:rsidRPr="00402781" w:rsidRDefault="00955379" w:rsidP="007354EE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A814E8" w:rsidRPr="00402781" w14:paraId="6D770BD5" w14:textId="77777777" w:rsidTr="008E578D">
        <w:tc>
          <w:tcPr>
            <w:tcW w:w="1565" w:type="pct"/>
            <w:shd w:val="clear" w:color="auto" w:fill="auto"/>
          </w:tcPr>
          <w:p w14:paraId="3726D975" w14:textId="77777777" w:rsidR="00A814E8" w:rsidRPr="00402781" w:rsidRDefault="00A814E8" w:rsidP="004F12B3">
            <w:pPr>
              <w:pStyle w:val="Tabletext"/>
              <w:ind w:left="256"/>
              <w:rPr>
                <w:color w:val="000000"/>
              </w:rPr>
            </w:pPr>
            <w:r w:rsidRPr="00402781">
              <w:rPr>
                <w:color w:val="000000"/>
              </w:rPr>
              <w:t>Hospitalized exacerbation</w:t>
            </w:r>
          </w:p>
        </w:tc>
        <w:tc>
          <w:tcPr>
            <w:tcW w:w="829" w:type="pct"/>
            <w:shd w:val="clear" w:color="auto" w:fill="auto"/>
          </w:tcPr>
          <w:p w14:paraId="6871323F" w14:textId="77777777" w:rsidR="00A814E8" w:rsidRPr="00402781" w:rsidDel="004A20E2" w:rsidRDefault="00A814E8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IND/GLY/MF</w:t>
            </w:r>
          </w:p>
        </w:tc>
        <w:tc>
          <w:tcPr>
            <w:tcW w:w="495" w:type="pct"/>
            <w:shd w:val="clear" w:color="auto" w:fill="auto"/>
          </w:tcPr>
          <w:p w14:paraId="59A1856F" w14:textId="34B6C4B6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0.013</w:t>
            </w:r>
          </w:p>
        </w:tc>
        <w:tc>
          <w:tcPr>
            <w:tcW w:w="706" w:type="pct"/>
            <w:shd w:val="clear" w:color="auto" w:fill="auto"/>
          </w:tcPr>
          <w:p w14:paraId="2488D868" w14:textId="77777777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4" w:type="pct"/>
            <w:shd w:val="clear" w:color="auto" w:fill="auto"/>
          </w:tcPr>
          <w:p w14:paraId="30E2C288" w14:textId="573C9C12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-4.347</w:t>
            </w:r>
          </w:p>
        </w:tc>
        <w:tc>
          <w:tcPr>
            <w:tcW w:w="711" w:type="pct"/>
            <w:shd w:val="clear" w:color="auto" w:fill="auto"/>
          </w:tcPr>
          <w:p w14:paraId="064DB074" w14:textId="4B3C34EE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0.088</w:t>
            </w:r>
          </w:p>
        </w:tc>
      </w:tr>
      <w:tr w:rsidR="00A814E8" w:rsidRPr="00402781" w14:paraId="4AEAB8E4" w14:textId="77777777" w:rsidTr="008E578D">
        <w:tc>
          <w:tcPr>
            <w:tcW w:w="1565" w:type="pct"/>
            <w:shd w:val="clear" w:color="auto" w:fill="auto"/>
          </w:tcPr>
          <w:p w14:paraId="0B0DE557" w14:textId="77777777" w:rsidR="00A814E8" w:rsidRPr="00402781" w:rsidRDefault="00A814E8" w:rsidP="004F12B3">
            <w:pPr>
              <w:pStyle w:val="Tabletext"/>
              <w:ind w:left="256"/>
              <w:rPr>
                <w:color w:val="000000"/>
              </w:rPr>
            </w:pPr>
          </w:p>
        </w:tc>
        <w:tc>
          <w:tcPr>
            <w:tcW w:w="829" w:type="pct"/>
            <w:shd w:val="clear" w:color="auto" w:fill="auto"/>
          </w:tcPr>
          <w:p w14:paraId="2F23F0EE" w14:textId="0767552A" w:rsidR="00A814E8" w:rsidRPr="00402781" w:rsidDel="004A20E2" w:rsidRDefault="00A814E8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SAL/FLU</w:t>
            </w:r>
          </w:p>
        </w:tc>
        <w:tc>
          <w:tcPr>
            <w:tcW w:w="495" w:type="pct"/>
            <w:shd w:val="clear" w:color="auto" w:fill="auto"/>
          </w:tcPr>
          <w:p w14:paraId="10DEA864" w14:textId="64C1B652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0.023</w:t>
            </w:r>
          </w:p>
        </w:tc>
        <w:tc>
          <w:tcPr>
            <w:tcW w:w="706" w:type="pct"/>
            <w:shd w:val="clear" w:color="auto" w:fill="auto"/>
          </w:tcPr>
          <w:p w14:paraId="48EEB435" w14:textId="77777777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4" w:type="pct"/>
            <w:shd w:val="clear" w:color="auto" w:fill="auto"/>
          </w:tcPr>
          <w:p w14:paraId="088431B8" w14:textId="73A4CA6E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-3.797</w:t>
            </w:r>
          </w:p>
        </w:tc>
        <w:tc>
          <w:tcPr>
            <w:tcW w:w="711" w:type="pct"/>
            <w:shd w:val="clear" w:color="auto" w:fill="auto"/>
          </w:tcPr>
          <w:p w14:paraId="527418DD" w14:textId="13F6C750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0.079</w:t>
            </w:r>
          </w:p>
        </w:tc>
      </w:tr>
      <w:tr w:rsidR="00A814E8" w:rsidRPr="00402781" w14:paraId="69B4882E" w14:textId="77777777" w:rsidTr="008E578D">
        <w:tc>
          <w:tcPr>
            <w:tcW w:w="1565" w:type="pct"/>
            <w:shd w:val="clear" w:color="auto" w:fill="auto"/>
          </w:tcPr>
          <w:p w14:paraId="29C3DE2B" w14:textId="77777777" w:rsidR="00A814E8" w:rsidRPr="00402781" w:rsidRDefault="00A814E8" w:rsidP="004F12B3">
            <w:pPr>
              <w:pStyle w:val="Tabletext"/>
              <w:ind w:left="256"/>
              <w:rPr>
                <w:color w:val="000000"/>
              </w:rPr>
            </w:pPr>
            <w:r w:rsidRPr="00402781">
              <w:rPr>
                <w:color w:val="000000"/>
              </w:rPr>
              <w:t>ED exacerbation</w:t>
            </w:r>
          </w:p>
        </w:tc>
        <w:tc>
          <w:tcPr>
            <w:tcW w:w="829" w:type="pct"/>
            <w:shd w:val="clear" w:color="auto" w:fill="auto"/>
          </w:tcPr>
          <w:p w14:paraId="5A2EDB35" w14:textId="77777777" w:rsidR="00A814E8" w:rsidRPr="00402781" w:rsidDel="004A20E2" w:rsidRDefault="00A814E8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IND/GLY/MF</w:t>
            </w:r>
          </w:p>
        </w:tc>
        <w:tc>
          <w:tcPr>
            <w:tcW w:w="495" w:type="pct"/>
            <w:shd w:val="clear" w:color="auto" w:fill="auto"/>
          </w:tcPr>
          <w:p w14:paraId="529C53F3" w14:textId="066EF584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0.013</w:t>
            </w:r>
          </w:p>
        </w:tc>
        <w:tc>
          <w:tcPr>
            <w:tcW w:w="706" w:type="pct"/>
            <w:shd w:val="clear" w:color="auto" w:fill="auto"/>
          </w:tcPr>
          <w:p w14:paraId="524D66FF" w14:textId="77777777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4" w:type="pct"/>
            <w:shd w:val="clear" w:color="auto" w:fill="auto"/>
          </w:tcPr>
          <w:p w14:paraId="7E7516AE" w14:textId="76EAC042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-4.347</w:t>
            </w:r>
          </w:p>
        </w:tc>
        <w:tc>
          <w:tcPr>
            <w:tcW w:w="711" w:type="pct"/>
            <w:shd w:val="clear" w:color="auto" w:fill="auto"/>
          </w:tcPr>
          <w:p w14:paraId="6CF40D71" w14:textId="26DE8ADB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0.088</w:t>
            </w:r>
          </w:p>
        </w:tc>
      </w:tr>
      <w:tr w:rsidR="00A814E8" w:rsidRPr="00402781" w14:paraId="4C0DAECE" w14:textId="77777777" w:rsidTr="008E578D">
        <w:tc>
          <w:tcPr>
            <w:tcW w:w="1565" w:type="pct"/>
            <w:shd w:val="clear" w:color="auto" w:fill="auto"/>
          </w:tcPr>
          <w:p w14:paraId="4DD94EB6" w14:textId="77777777" w:rsidR="00A814E8" w:rsidRPr="00402781" w:rsidRDefault="00A814E8" w:rsidP="004F12B3">
            <w:pPr>
              <w:pStyle w:val="Tabletext"/>
              <w:ind w:left="256"/>
              <w:rPr>
                <w:color w:val="000000"/>
              </w:rPr>
            </w:pPr>
          </w:p>
        </w:tc>
        <w:tc>
          <w:tcPr>
            <w:tcW w:w="829" w:type="pct"/>
            <w:shd w:val="clear" w:color="auto" w:fill="auto"/>
          </w:tcPr>
          <w:p w14:paraId="24AD7B94" w14:textId="01B47320" w:rsidR="00A814E8" w:rsidRPr="00402781" w:rsidRDefault="00A814E8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SAL/FLU</w:t>
            </w:r>
          </w:p>
        </w:tc>
        <w:tc>
          <w:tcPr>
            <w:tcW w:w="495" w:type="pct"/>
            <w:shd w:val="clear" w:color="auto" w:fill="auto"/>
          </w:tcPr>
          <w:p w14:paraId="2E6A9FFA" w14:textId="2B93FAC2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0.023</w:t>
            </w:r>
          </w:p>
        </w:tc>
        <w:tc>
          <w:tcPr>
            <w:tcW w:w="706" w:type="pct"/>
            <w:shd w:val="clear" w:color="auto" w:fill="auto"/>
          </w:tcPr>
          <w:p w14:paraId="4B881109" w14:textId="77777777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4" w:type="pct"/>
            <w:shd w:val="clear" w:color="auto" w:fill="auto"/>
          </w:tcPr>
          <w:p w14:paraId="3E027098" w14:textId="075F59A6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-3.797</w:t>
            </w:r>
          </w:p>
        </w:tc>
        <w:tc>
          <w:tcPr>
            <w:tcW w:w="711" w:type="pct"/>
            <w:shd w:val="clear" w:color="auto" w:fill="auto"/>
          </w:tcPr>
          <w:p w14:paraId="7EA64763" w14:textId="6FFEDC0A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0.079</w:t>
            </w:r>
          </w:p>
        </w:tc>
      </w:tr>
      <w:tr w:rsidR="00A814E8" w:rsidRPr="00402781" w14:paraId="1C845B18" w14:textId="77777777" w:rsidTr="008E578D">
        <w:tc>
          <w:tcPr>
            <w:tcW w:w="1565" w:type="pct"/>
            <w:shd w:val="clear" w:color="auto" w:fill="auto"/>
          </w:tcPr>
          <w:p w14:paraId="43F7E8D5" w14:textId="77777777" w:rsidR="00A814E8" w:rsidRPr="00402781" w:rsidRDefault="00A814E8" w:rsidP="004F12B3">
            <w:pPr>
              <w:pStyle w:val="Tabletext"/>
              <w:ind w:left="256"/>
              <w:rPr>
                <w:color w:val="000000"/>
              </w:rPr>
            </w:pPr>
            <w:r w:rsidRPr="00402781">
              <w:rPr>
                <w:color w:val="000000"/>
              </w:rPr>
              <w:t>OCS burst exacerbation</w:t>
            </w:r>
          </w:p>
        </w:tc>
        <w:tc>
          <w:tcPr>
            <w:tcW w:w="829" w:type="pct"/>
            <w:shd w:val="clear" w:color="auto" w:fill="auto"/>
          </w:tcPr>
          <w:p w14:paraId="18ABFE9C" w14:textId="77777777" w:rsidR="00A814E8" w:rsidRPr="00402781" w:rsidRDefault="00A814E8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IND/GLY/MF</w:t>
            </w:r>
          </w:p>
        </w:tc>
        <w:tc>
          <w:tcPr>
            <w:tcW w:w="495" w:type="pct"/>
            <w:shd w:val="clear" w:color="auto" w:fill="auto"/>
          </w:tcPr>
          <w:p w14:paraId="1953683D" w14:textId="522ED707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0.234</w:t>
            </w:r>
          </w:p>
        </w:tc>
        <w:tc>
          <w:tcPr>
            <w:tcW w:w="706" w:type="pct"/>
            <w:shd w:val="clear" w:color="auto" w:fill="auto"/>
          </w:tcPr>
          <w:p w14:paraId="2FD29D2A" w14:textId="77777777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4" w:type="pct"/>
            <w:shd w:val="clear" w:color="auto" w:fill="auto"/>
          </w:tcPr>
          <w:p w14:paraId="3DE42628" w14:textId="771FBA05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-1.456</w:t>
            </w:r>
          </w:p>
        </w:tc>
        <w:tc>
          <w:tcPr>
            <w:tcW w:w="711" w:type="pct"/>
            <w:shd w:val="clear" w:color="auto" w:fill="auto"/>
          </w:tcPr>
          <w:p w14:paraId="74989476" w14:textId="173039E5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0.088</w:t>
            </w:r>
          </w:p>
        </w:tc>
      </w:tr>
      <w:tr w:rsidR="00A814E8" w:rsidRPr="00402781" w14:paraId="22CCC4A5" w14:textId="77777777" w:rsidTr="008E578D">
        <w:tc>
          <w:tcPr>
            <w:tcW w:w="1565" w:type="pct"/>
            <w:shd w:val="clear" w:color="auto" w:fill="auto"/>
          </w:tcPr>
          <w:p w14:paraId="1CA774AC" w14:textId="77777777" w:rsidR="00A814E8" w:rsidRPr="00402781" w:rsidRDefault="00A814E8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829" w:type="pct"/>
            <w:shd w:val="clear" w:color="auto" w:fill="auto"/>
          </w:tcPr>
          <w:p w14:paraId="5F33B2DD" w14:textId="69C5F298" w:rsidR="00A814E8" w:rsidRPr="00402781" w:rsidRDefault="00A814E8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SAL/FLU</w:t>
            </w:r>
          </w:p>
        </w:tc>
        <w:tc>
          <w:tcPr>
            <w:tcW w:w="495" w:type="pct"/>
            <w:shd w:val="clear" w:color="auto" w:fill="auto"/>
          </w:tcPr>
          <w:p w14:paraId="5D61B3F5" w14:textId="08F2BC40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0.405</w:t>
            </w:r>
          </w:p>
        </w:tc>
        <w:tc>
          <w:tcPr>
            <w:tcW w:w="706" w:type="pct"/>
            <w:shd w:val="clear" w:color="auto" w:fill="auto"/>
          </w:tcPr>
          <w:p w14:paraId="08419885" w14:textId="77777777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4" w:type="pct"/>
            <w:shd w:val="clear" w:color="auto" w:fill="auto"/>
          </w:tcPr>
          <w:p w14:paraId="5784E9FA" w14:textId="73D93066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-0.907</w:t>
            </w:r>
          </w:p>
        </w:tc>
        <w:tc>
          <w:tcPr>
            <w:tcW w:w="711" w:type="pct"/>
            <w:shd w:val="clear" w:color="auto" w:fill="auto"/>
          </w:tcPr>
          <w:p w14:paraId="2110F67C" w14:textId="6E229DD5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0.079</w:t>
            </w:r>
          </w:p>
        </w:tc>
      </w:tr>
      <w:tr w:rsidR="00955379" w:rsidRPr="00402781" w14:paraId="73BABB7C" w14:textId="77777777" w:rsidTr="008E578D">
        <w:tc>
          <w:tcPr>
            <w:tcW w:w="1565" w:type="pct"/>
            <w:shd w:val="clear" w:color="auto" w:fill="auto"/>
            <w:hideMark/>
          </w:tcPr>
          <w:p w14:paraId="24A0C05D" w14:textId="77777777" w:rsidR="00955379" w:rsidRPr="00402781" w:rsidRDefault="00955379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Disutility</w:t>
            </w:r>
          </w:p>
        </w:tc>
        <w:tc>
          <w:tcPr>
            <w:tcW w:w="829" w:type="pct"/>
            <w:shd w:val="clear" w:color="auto" w:fill="auto"/>
            <w:hideMark/>
          </w:tcPr>
          <w:p w14:paraId="46008222" w14:textId="77777777" w:rsidR="00955379" w:rsidRPr="00402781" w:rsidRDefault="00955379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495" w:type="pct"/>
            <w:shd w:val="clear" w:color="auto" w:fill="auto"/>
          </w:tcPr>
          <w:p w14:paraId="1C8D1DBB" w14:textId="77777777" w:rsidR="00955379" w:rsidRPr="00402781" w:rsidRDefault="00955379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06" w:type="pct"/>
            <w:shd w:val="clear" w:color="auto" w:fill="auto"/>
            <w:hideMark/>
          </w:tcPr>
          <w:p w14:paraId="6CBA5E6E" w14:textId="77777777" w:rsidR="00955379" w:rsidRPr="00402781" w:rsidRDefault="00955379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694" w:type="pct"/>
            <w:shd w:val="clear" w:color="auto" w:fill="auto"/>
          </w:tcPr>
          <w:p w14:paraId="44C59773" w14:textId="77777777" w:rsidR="00955379" w:rsidRPr="00402781" w:rsidRDefault="00955379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11" w:type="pct"/>
            <w:shd w:val="clear" w:color="auto" w:fill="auto"/>
          </w:tcPr>
          <w:p w14:paraId="6B4FE96C" w14:textId="77777777" w:rsidR="00955379" w:rsidRPr="00402781" w:rsidRDefault="00955379" w:rsidP="007354EE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A814E8" w:rsidRPr="00402781" w14:paraId="3144684F" w14:textId="77777777" w:rsidTr="008E578D">
        <w:tc>
          <w:tcPr>
            <w:tcW w:w="1565" w:type="pct"/>
            <w:shd w:val="clear" w:color="auto" w:fill="auto"/>
          </w:tcPr>
          <w:p w14:paraId="5DB76993" w14:textId="77777777" w:rsidR="00A814E8" w:rsidRPr="00402781" w:rsidRDefault="00A814E8" w:rsidP="004F12B3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Hospitalized exacerbation</w:t>
            </w:r>
          </w:p>
        </w:tc>
        <w:tc>
          <w:tcPr>
            <w:tcW w:w="829" w:type="pct"/>
            <w:shd w:val="clear" w:color="auto" w:fill="auto"/>
          </w:tcPr>
          <w:p w14:paraId="605A0B09" w14:textId="77777777" w:rsidR="00A814E8" w:rsidRPr="00402781" w:rsidDel="00375B26" w:rsidRDefault="00A814E8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5" w:type="pct"/>
            <w:shd w:val="clear" w:color="auto" w:fill="auto"/>
          </w:tcPr>
          <w:p w14:paraId="796641EA" w14:textId="7E5C6BE9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0.200</w:t>
            </w:r>
          </w:p>
        </w:tc>
        <w:tc>
          <w:tcPr>
            <w:tcW w:w="706" w:type="pct"/>
            <w:shd w:val="clear" w:color="auto" w:fill="auto"/>
          </w:tcPr>
          <w:p w14:paraId="62FBB28E" w14:textId="77777777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4" w:type="pct"/>
            <w:shd w:val="clear" w:color="auto" w:fill="auto"/>
          </w:tcPr>
          <w:p w14:paraId="6CFDD7DC" w14:textId="753EB2DB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-1.611</w:t>
            </w:r>
          </w:p>
        </w:tc>
        <w:tc>
          <w:tcPr>
            <w:tcW w:w="711" w:type="pct"/>
            <w:shd w:val="clear" w:color="auto" w:fill="auto"/>
          </w:tcPr>
          <w:p w14:paraId="614F10CD" w14:textId="01607253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0.051</w:t>
            </w:r>
          </w:p>
        </w:tc>
      </w:tr>
      <w:tr w:rsidR="00A814E8" w:rsidRPr="00402781" w14:paraId="6BC8F7E4" w14:textId="77777777" w:rsidTr="008E578D">
        <w:tc>
          <w:tcPr>
            <w:tcW w:w="1565" w:type="pct"/>
            <w:shd w:val="clear" w:color="auto" w:fill="auto"/>
          </w:tcPr>
          <w:p w14:paraId="28625E64" w14:textId="77777777" w:rsidR="00A814E8" w:rsidRPr="00402781" w:rsidRDefault="00A814E8" w:rsidP="004F12B3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ED exacerbation</w:t>
            </w:r>
          </w:p>
        </w:tc>
        <w:tc>
          <w:tcPr>
            <w:tcW w:w="829" w:type="pct"/>
            <w:shd w:val="clear" w:color="auto" w:fill="auto"/>
          </w:tcPr>
          <w:p w14:paraId="60CBE4F0" w14:textId="77777777" w:rsidR="00A814E8" w:rsidRPr="00402781" w:rsidDel="00375B26" w:rsidRDefault="00A814E8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5" w:type="pct"/>
            <w:shd w:val="clear" w:color="auto" w:fill="auto"/>
          </w:tcPr>
          <w:p w14:paraId="091AB763" w14:textId="3AA4B970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0.100</w:t>
            </w:r>
          </w:p>
        </w:tc>
        <w:tc>
          <w:tcPr>
            <w:tcW w:w="706" w:type="pct"/>
            <w:shd w:val="clear" w:color="auto" w:fill="auto"/>
          </w:tcPr>
          <w:p w14:paraId="60FA0F87" w14:textId="77777777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4" w:type="pct"/>
            <w:shd w:val="clear" w:color="auto" w:fill="auto"/>
          </w:tcPr>
          <w:p w14:paraId="7432A194" w14:textId="6C0E89E1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-2.304</w:t>
            </w:r>
          </w:p>
        </w:tc>
        <w:tc>
          <w:tcPr>
            <w:tcW w:w="711" w:type="pct"/>
            <w:shd w:val="clear" w:color="auto" w:fill="auto"/>
          </w:tcPr>
          <w:p w14:paraId="556DAE6A" w14:textId="04CC71A2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0.051</w:t>
            </w:r>
          </w:p>
        </w:tc>
      </w:tr>
      <w:tr w:rsidR="00A814E8" w:rsidRPr="00402781" w14:paraId="543D8217" w14:textId="77777777" w:rsidTr="008E578D">
        <w:tc>
          <w:tcPr>
            <w:tcW w:w="1565" w:type="pct"/>
            <w:shd w:val="clear" w:color="auto" w:fill="auto"/>
          </w:tcPr>
          <w:p w14:paraId="17DAC870" w14:textId="77777777" w:rsidR="00A814E8" w:rsidRPr="00402781" w:rsidRDefault="00A814E8" w:rsidP="004F12B3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OCS burst exacerbation</w:t>
            </w:r>
          </w:p>
        </w:tc>
        <w:tc>
          <w:tcPr>
            <w:tcW w:w="829" w:type="pct"/>
            <w:shd w:val="clear" w:color="auto" w:fill="auto"/>
          </w:tcPr>
          <w:p w14:paraId="3F4825AA" w14:textId="77777777" w:rsidR="00A814E8" w:rsidRPr="00402781" w:rsidDel="00375B26" w:rsidRDefault="00A814E8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5" w:type="pct"/>
            <w:shd w:val="clear" w:color="auto" w:fill="auto"/>
          </w:tcPr>
          <w:p w14:paraId="4DD9AE58" w14:textId="5C6AD7D3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0.100</w:t>
            </w:r>
          </w:p>
        </w:tc>
        <w:tc>
          <w:tcPr>
            <w:tcW w:w="706" w:type="pct"/>
            <w:shd w:val="clear" w:color="auto" w:fill="auto"/>
          </w:tcPr>
          <w:p w14:paraId="330239AA" w14:textId="77777777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4" w:type="pct"/>
            <w:shd w:val="clear" w:color="auto" w:fill="auto"/>
          </w:tcPr>
          <w:p w14:paraId="776B0479" w14:textId="322FFA4A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-2.304</w:t>
            </w:r>
          </w:p>
        </w:tc>
        <w:tc>
          <w:tcPr>
            <w:tcW w:w="711" w:type="pct"/>
            <w:shd w:val="clear" w:color="auto" w:fill="auto"/>
          </w:tcPr>
          <w:p w14:paraId="5F978E5D" w14:textId="75A1C9B0" w:rsidR="00A814E8" w:rsidRPr="00402781" w:rsidRDefault="00A814E8" w:rsidP="007354EE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0.051</w:t>
            </w:r>
          </w:p>
        </w:tc>
      </w:tr>
      <w:tr w:rsidR="00955379" w:rsidRPr="00402781" w14:paraId="03A61E2A" w14:textId="77777777" w:rsidTr="008E578D">
        <w:tc>
          <w:tcPr>
            <w:tcW w:w="1565" w:type="pct"/>
            <w:shd w:val="clear" w:color="auto" w:fill="auto"/>
          </w:tcPr>
          <w:p w14:paraId="56B4934E" w14:textId="77777777" w:rsidR="00955379" w:rsidRPr="00402781" w:rsidRDefault="00955379" w:rsidP="004F12B3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Utility</w:t>
            </w:r>
          </w:p>
        </w:tc>
        <w:tc>
          <w:tcPr>
            <w:tcW w:w="829" w:type="pct"/>
            <w:shd w:val="clear" w:color="auto" w:fill="auto"/>
          </w:tcPr>
          <w:p w14:paraId="68840734" w14:textId="77777777" w:rsidR="00955379" w:rsidRPr="00402781" w:rsidDel="00375B26" w:rsidRDefault="00955379" w:rsidP="004F12B3">
            <w:pPr>
              <w:pStyle w:val="Tabletext"/>
              <w:rPr>
                <w:color w:val="000000"/>
              </w:rPr>
            </w:pPr>
          </w:p>
        </w:tc>
        <w:tc>
          <w:tcPr>
            <w:tcW w:w="495" w:type="pct"/>
            <w:shd w:val="clear" w:color="auto" w:fill="auto"/>
          </w:tcPr>
          <w:p w14:paraId="2C153700" w14:textId="77777777" w:rsidR="00955379" w:rsidRPr="00402781" w:rsidRDefault="00955379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06" w:type="pct"/>
            <w:shd w:val="clear" w:color="auto" w:fill="auto"/>
          </w:tcPr>
          <w:p w14:paraId="44EBBE10" w14:textId="5AC358DA" w:rsidR="00955379" w:rsidRPr="00402781" w:rsidRDefault="00955379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694" w:type="pct"/>
            <w:shd w:val="clear" w:color="auto" w:fill="auto"/>
          </w:tcPr>
          <w:p w14:paraId="22E73518" w14:textId="77777777" w:rsidR="00955379" w:rsidRPr="00402781" w:rsidRDefault="00955379" w:rsidP="007354EE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11" w:type="pct"/>
            <w:shd w:val="clear" w:color="auto" w:fill="auto"/>
          </w:tcPr>
          <w:p w14:paraId="1AECA5EC" w14:textId="77777777" w:rsidR="00955379" w:rsidRPr="00402781" w:rsidRDefault="00955379" w:rsidP="007354EE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8E578D" w:rsidRPr="00402781" w14:paraId="0016DA07" w14:textId="77777777" w:rsidTr="008E578D">
        <w:tc>
          <w:tcPr>
            <w:tcW w:w="1565" w:type="pct"/>
            <w:shd w:val="clear" w:color="auto" w:fill="auto"/>
          </w:tcPr>
          <w:p w14:paraId="16DFD30E" w14:textId="5A050B7C" w:rsidR="008E578D" w:rsidRPr="00402781" w:rsidRDefault="008E578D" w:rsidP="008E578D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Day-to-day symptom</w:t>
            </w:r>
          </w:p>
        </w:tc>
        <w:tc>
          <w:tcPr>
            <w:tcW w:w="829" w:type="pct"/>
            <w:shd w:val="clear" w:color="auto" w:fill="auto"/>
          </w:tcPr>
          <w:p w14:paraId="23B0707E" w14:textId="77777777" w:rsidR="008E578D" w:rsidRPr="00402781" w:rsidDel="00375B26" w:rsidRDefault="008E578D" w:rsidP="008E578D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IND/GLY/MF</w:t>
            </w:r>
          </w:p>
        </w:tc>
        <w:tc>
          <w:tcPr>
            <w:tcW w:w="495" w:type="pct"/>
            <w:shd w:val="clear" w:color="auto" w:fill="auto"/>
          </w:tcPr>
          <w:p w14:paraId="42D85249" w14:textId="713BE57B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0.775</w:t>
            </w:r>
          </w:p>
        </w:tc>
        <w:tc>
          <w:tcPr>
            <w:tcW w:w="706" w:type="pct"/>
            <w:shd w:val="clear" w:color="auto" w:fill="auto"/>
          </w:tcPr>
          <w:p w14:paraId="7FD9A36A" w14:textId="18B853CD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4" w:type="pct"/>
            <w:shd w:val="clear" w:color="auto" w:fill="auto"/>
          </w:tcPr>
          <w:p w14:paraId="5B5F2519" w14:textId="58FE4D3F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-1.496</w:t>
            </w:r>
          </w:p>
        </w:tc>
        <w:tc>
          <w:tcPr>
            <w:tcW w:w="711" w:type="pct"/>
            <w:shd w:val="clear" w:color="auto" w:fill="auto"/>
          </w:tcPr>
          <w:p w14:paraId="6C1F1934" w14:textId="5578A8F2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0.088</w:t>
            </w:r>
          </w:p>
        </w:tc>
      </w:tr>
      <w:tr w:rsidR="008E578D" w:rsidRPr="00402781" w14:paraId="619B7970" w14:textId="77777777" w:rsidTr="008E578D">
        <w:tc>
          <w:tcPr>
            <w:tcW w:w="1565" w:type="pct"/>
            <w:shd w:val="clear" w:color="auto" w:fill="auto"/>
          </w:tcPr>
          <w:p w14:paraId="07B6F505" w14:textId="3C89890F" w:rsidR="008E578D" w:rsidRPr="00402781" w:rsidRDefault="008E578D" w:rsidP="008E578D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Day-to-day symptom</w:t>
            </w:r>
          </w:p>
        </w:tc>
        <w:tc>
          <w:tcPr>
            <w:tcW w:w="829" w:type="pct"/>
            <w:shd w:val="clear" w:color="auto" w:fill="auto"/>
          </w:tcPr>
          <w:p w14:paraId="10E27652" w14:textId="69F8A043" w:rsidR="008E578D" w:rsidRPr="00402781" w:rsidRDefault="008E578D" w:rsidP="008E578D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SAL/FLU</w:t>
            </w:r>
          </w:p>
        </w:tc>
        <w:tc>
          <w:tcPr>
            <w:tcW w:w="495" w:type="pct"/>
            <w:shd w:val="clear" w:color="auto" w:fill="auto"/>
          </w:tcPr>
          <w:p w14:paraId="5AE1DD15" w14:textId="4E07AF4D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0.766</w:t>
            </w:r>
          </w:p>
        </w:tc>
        <w:tc>
          <w:tcPr>
            <w:tcW w:w="706" w:type="pct"/>
            <w:shd w:val="clear" w:color="auto" w:fill="auto"/>
          </w:tcPr>
          <w:p w14:paraId="25EB463E" w14:textId="155C7F90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Lognormal</w:t>
            </w:r>
          </w:p>
        </w:tc>
        <w:tc>
          <w:tcPr>
            <w:tcW w:w="694" w:type="pct"/>
            <w:shd w:val="clear" w:color="auto" w:fill="auto"/>
          </w:tcPr>
          <w:p w14:paraId="4DF27118" w14:textId="5D8B990E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-1.452</w:t>
            </w:r>
          </w:p>
        </w:tc>
        <w:tc>
          <w:tcPr>
            <w:tcW w:w="711" w:type="pct"/>
            <w:shd w:val="clear" w:color="auto" w:fill="auto"/>
          </w:tcPr>
          <w:p w14:paraId="68E984E0" w14:textId="5109218B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0.000</w:t>
            </w:r>
          </w:p>
        </w:tc>
      </w:tr>
      <w:tr w:rsidR="008E578D" w:rsidRPr="00402781" w14:paraId="57FF6114" w14:textId="77777777" w:rsidTr="008E578D">
        <w:tc>
          <w:tcPr>
            <w:tcW w:w="1565" w:type="pct"/>
            <w:shd w:val="clear" w:color="auto" w:fill="auto"/>
            <w:hideMark/>
          </w:tcPr>
          <w:p w14:paraId="248EA564" w14:textId="77777777" w:rsidR="008E578D" w:rsidRPr="00402781" w:rsidRDefault="008E578D" w:rsidP="008E578D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Costs</w:t>
            </w:r>
          </w:p>
        </w:tc>
        <w:tc>
          <w:tcPr>
            <w:tcW w:w="829" w:type="pct"/>
            <w:shd w:val="clear" w:color="auto" w:fill="auto"/>
          </w:tcPr>
          <w:p w14:paraId="0F6BAFCB" w14:textId="77777777" w:rsidR="008E578D" w:rsidRPr="00402781" w:rsidRDefault="008E578D" w:rsidP="008E578D">
            <w:pPr>
              <w:pStyle w:val="Tabletext"/>
              <w:rPr>
                <w:color w:val="000000"/>
              </w:rPr>
            </w:pPr>
          </w:p>
        </w:tc>
        <w:tc>
          <w:tcPr>
            <w:tcW w:w="495" w:type="pct"/>
            <w:shd w:val="clear" w:color="auto" w:fill="auto"/>
          </w:tcPr>
          <w:p w14:paraId="3143B6A5" w14:textId="77777777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06" w:type="pct"/>
            <w:shd w:val="clear" w:color="auto" w:fill="auto"/>
            <w:hideMark/>
          </w:tcPr>
          <w:p w14:paraId="0DC29EC1" w14:textId="77777777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694" w:type="pct"/>
            <w:shd w:val="clear" w:color="auto" w:fill="auto"/>
          </w:tcPr>
          <w:p w14:paraId="7E50F82C" w14:textId="77777777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11" w:type="pct"/>
            <w:shd w:val="clear" w:color="auto" w:fill="auto"/>
          </w:tcPr>
          <w:p w14:paraId="034DBAAE" w14:textId="77777777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8E578D" w:rsidRPr="00402781" w14:paraId="0FBEA783" w14:textId="77777777" w:rsidTr="008E578D">
        <w:tc>
          <w:tcPr>
            <w:tcW w:w="1565" w:type="pct"/>
            <w:shd w:val="clear" w:color="auto" w:fill="auto"/>
          </w:tcPr>
          <w:p w14:paraId="7B3C1B20" w14:textId="77777777" w:rsidR="008E578D" w:rsidRPr="00402781" w:rsidRDefault="008E578D" w:rsidP="008E578D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Drug</w:t>
            </w:r>
          </w:p>
        </w:tc>
        <w:tc>
          <w:tcPr>
            <w:tcW w:w="829" w:type="pct"/>
            <w:shd w:val="clear" w:color="auto" w:fill="auto"/>
          </w:tcPr>
          <w:p w14:paraId="4BE989D1" w14:textId="77777777" w:rsidR="008E578D" w:rsidRPr="00402781" w:rsidRDefault="008E578D" w:rsidP="008E578D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IND/GLY/MF</w:t>
            </w:r>
          </w:p>
        </w:tc>
        <w:tc>
          <w:tcPr>
            <w:tcW w:w="495" w:type="pct"/>
            <w:shd w:val="clear" w:color="auto" w:fill="auto"/>
          </w:tcPr>
          <w:p w14:paraId="5959060B" w14:textId="3C3995F9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1251.82</w:t>
            </w:r>
          </w:p>
        </w:tc>
        <w:tc>
          <w:tcPr>
            <w:tcW w:w="706" w:type="pct"/>
            <w:shd w:val="clear" w:color="auto" w:fill="auto"/>
          </w:tcPr>
          <w:p w14:paraId="4749BC25" w14:textId="0AEF25E5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Gamma</w:t>
            </w:r>
          </w:p>
        </w:tc>
        <w:tc>
          <w:tcPr>
            <w:tcW w:w="694" w:type="pct"/>
            <w:shd w:val="clear" w:color="auto" w:fill="auto"/>
          </w:tcPr>
          <w:p w14:paraId="72C3C3B6" w14:textId="353E2EEA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384.146</w:t>
            </w:r>
          </w:p>
        </w:tc>
        <w:tc>
          <w:tcPr>
            <w:tcW w:w="711" w:type="pct"/>
            <w:shd w:val="clear" w:color="auto" w:fill="auto"/>
          </w:tcPr>
          <w:p w14:paraId="5B380903" w14:textId="1EC08606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3.259</w:t>
            </w:r>
          </w:p>
        </w:tc>
      </w:tr>
      <w:tr w:rsidR="008E578D" w:rsidRPr="00402781" w14:paraId="7A3D21DB" w14:textId="77777777" w:rsidTr="008E578D">
        <w:tc>
          <w:tcPr>
            <w:tcW w:w="1565" w:type="pct"/>
            <w:shd w:val="clear" w:color="auto" w:fill="auto"/>
          </w:tcPr>
          <w:p w14:paraId="202D03E4" w14:textId="77777777" w:rsidR="008E578D" w:rsidRPr="00402781" w:rsidRDefault="008E578D" w:rsidP="008E578D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Drug</w:t>
            </w:r>
          </w:p>
        </w:tc>
        <w:tc>
          <w:tcPr>
            <w:tcW w:w="829" w:type="pct"/>
            <w:shd w:val="clear" w:color="auto" w:fill="auto"/>
          </w:tcPr>
          <w:p w14:paraId="79FAF740" w14:textId="7BABDDB5" w:rsidR="008E578D" w:rsidRPr="00402781" w:rsidRDefault="008E578D" w:rsidP="008E578D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SAL/FLU</w:t>
            </w:r>
          </w:p>
        </w:tc>
        <w:tc>
          <w:tcPr>
            <w:tcW w:w="495" w:type="pct"/>
            <w:shd w:val="clear" w:color="auto" w:fill="auto"/>
          </w:tcPr>
          <w:p w14:paraId="2BEC3FA6" w14:textId="3AF14F82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1316.00</w:t>
            </w:r>
          </w:p>
        </w:tc>
        <w:tc>
          <w:tcPr>
            <w:tcW w:w="706" w:type="pct"/>
            <w:shd w:val="clear" w:color="auto" w:fill="auto"/>
          </w:tcPr>
          <w:p w14:paraId="21527E47" w14:textId="2030DD21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Gamma</w:t>
            </w:r>
          </w:p>
        </w:tc>
        <w:tc>
          <w:tcPr>
            <w:tcW w:w="694" w:type="pct"/>
            <w:shd w:val="clear" w:color="auto" w:fill="auto"/>
          </w:tcPr>
          <w:p w14:paraId="74C31B65" w14:textId="4D69476F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384.146</w:t>
            </w:r>
          </w:p>
        </w:tc>
        <w:tc>
          <w:tcPr>
            <w:tcW w:w="711" w:type="pct"/>
            <w:shd w:val="clear" w:color="auto" w:fill="auto"/>
          </w:tcPr>
          <w:p w14:paraId="7BFED4F8" w14:textId="502ADD95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3.426</w:t>
            </w:r>
          </w:p>
        </w:tc>
      </w:tr>
      <w:tr w:rsidR="008E578D" w:rsidRPr="00402781" w14:paraId="5294D949" w14:textId="77777777" w:rsidTr="008E578D">
        <w:tc>
          <w:tcPr>
            <w:tcW w:w="1565" w:type="pct"/>
            <w:shd w:val="clear" w:color="auto" w:fill="auto"/>
          </w:tcPr>
          <w:p w14:paraId="1648C0D4" w14:textId="77777777" w:rsidR="008E578D" w:rsidRPr="00402781" w:rsidRDefault="008E578D" w:rsidP="008E578D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Moderate exacerbation</w:t>
            </w:r>
          </w:p>
        </w:tc>
        <w:tc>
          <w:tcPr>
            <w:tcW w:w="829" w:type="pct"/>
            <w:shd w:val="clear" w:color="auto" w:fill="auto"/>
          </w:tcPr>
          <w:p w14:paraId="001A38A5" w14:textId="77777777" w:rsidR="008E578D" w:rsidRPr="00402781" w:rsidRDefault="008E578D" w:rsidP="008E578D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5" w:type="pct"/>
            <w:shd w:val="clear" w:color="auto" w:fill="auto"/>
          </w:tcPr>
          <w:p w14:paraId="08FBCB31" w14:textId="2BBC7FA5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0.52</w:t>
            </w:r>
          </w:p>
        </w:tc>
        <w:tc>
          <w:tcPr>
            <w:tcW w:w="706" w:type="pct"/>
            <w:shd w:val="clear" w:color="auto" w:fill="auto"/>
          </w:tcPr>
          <w:p w14:paraId="3EAEC196" w14:textId="494F9767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Gamma</w:t>
            </w:r>
          </w:p>
        </w:tc>
        <w:tc>
          <w:tcPr>
            <w:tcW w:w="694" w:type="pct"/>
            <w:shd w:val="clear" w:color="auto" w:fill="auto"/>
          </w:tcPr>
          <w:p w14:paraId="514574D8" w14:textId="0D7027DB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384.146</w:t>
            </w:r>
          </w:p>
        </w:tc>
        <w:tc>
          <w:tcPr>
            <w:tcW w:w="711" w:type="pct"/>
            <w:shd w:val="clear" w:color="auto" w:fill="auto"/>
          </w:tcPr>
          <w:p w14:paraId="70A05975" w14:textId="22B5C371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0.001</w:t>
            </w:r>
          </w:p>
        </w:tc>
      </w:tr>
      <w:tr w:rsidR="008E578D" w:rsidRPr="00402781" w14:paraId="1B773DAA" w14:textId="77777777" w:rsidTr="008E578D">
        <w:tc>
          <w:tcPr>
            <w:tcW w:w="1565" w:type="pct"/>
            <w:shd w:val="clear" w:color="auto" w:fill="auto"/>
          </w:tcPr>
          <w:p w14:paraId="3360A20F" w14:textId="77777777" w:rsidR="008E578D" w:rsidRPr="00402781" w:rsidRDefault="008E578D" w:rsidP="008E578D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Severe exacerbation</w:t>
            </w:r>
          </w:p>
        </w:tc>
        <w:tc>
          <w:tcPr>
            <w:tcW w:w="829" w:type="pct"/>
            <w:shd w:val="clear" w:color="auto" w:fill="auto"/>
          </w:tcPr>
          <w:p w14:paraId="1D35D971" w14:textId="77777777" w:rsidR="008E578D" w:rsidRPr="00402781" w:rsidRDefault="008E578D" w:rsidP="008E578D">
            <w:pPr>
              <w:pStyle w:val="Tabletext"/>
              <w:rPr>
                <w:color w:val="000000"/>
              </w:rPr>
            </w:pPr>
          </w:p>
        </w:tc>
        <w:tc>
          <w:tcPr>
            <w:tcW w:w="495" w:type="pct"/>
            <w:shd w:val="clear" w:color="auto" w:fill="auto"/>
          </w:tcPr>
          <w:p w14:paraId="35E37C2C" w14:textId="605437E2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06" w:type="pct"/>
            <w:shd w:val="clear" w:color="auto" w:fill="auto"/>
          </w:tcPr>
          <w:p w14:paraId="731F7FB2" w14:textId="19C2D15D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694" w:type="pct"/>
            <w:shd w:val="clear" w:color="auto" w:fill="auto"/>
          </w:tcPr>
          <w:p w14:paraId="1A72B618" w14:textId="77777777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711" w:type="pct"/>
            <w:shd w:val="clear" w:color="auto" w:fill="auto"/>
          </w:tcPr>
          <w:p w14:paraId="3DC075E2" w14:textId="77777777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8E578D" w:rsidRPr="00402781" w14:paraId="6FA5C654" w14:textId="77777777" w:rsidTr="008E578D">
        <w:tc>
          <w:tcPr>
            <w:tcW w:w="1565" w:type="pct"/>
            <w:shd w:val="clear" w:color="auto" w:fill="auto"/>
          </w:tcPr>
          <w:p w14:paraId="48855F13" w14:textId="77777777" w:rsidR="008E578D" w:rsidRPr="00402781" w:rsidRDefault="008E578D" w:rsidP="008E578D">
            <w:pPr>
              <w:pStyle w:val="Tabletext"/>
              <w:ind w:left="346"/>
              <w:rPr>
                <w:color w:val="000000"/>
              </w:rPr>
            </w:pPr>
            <w:r w:rsidRPr="00402781">
              <w:rPr>
                <w:color w:val="000000"/>
              </w:rPr>
              <w:t>Hospitalized exacerbation</w:t>
            </w:r>
          </w:p>
        </w:tc>
        <w:tc>
          <w:tcPr>
            <w:tcW w:w="829" w:type="pct"/>
            <w:shd w:val="clear" w:color="auto" w:fill="auto"/>
          </w:tcPr>
          <w:p w14:paraId="3F9D3E35" w14:textId="77777777" w:rsidR="008E578D" w:rsidRPr="00402781" w:rsidRDefault="008E578D" w:rsidP="008E578D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5" w:type="pct"/>
            <w:shd w:val="clear" w:color="auto" w:fill="auto"/>
          </w:tcPr>
          <w:p w14:paraId="0E685D16" w14:textId="4E668A9F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4649.38</w:t>
            </w:r>
          </w:p>
        </w:tc>
        <w:tc>
          <w:tcPr>
            <w:tcW w:w="706" w:type="pct"/>
            <w:shd w:val="clear" w:color="auto" w:fill="auto"/>
          </w:tcPr>
          <w:p w14:paraId="54C7C2B3" w14:textId="22D6899E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Gamma</w:t>
            </w:r>
          </w:p>
        </w:tc>
        <w:tc>
          <w:tcPr>
            <w:tcW w:w="694" w:type="pct"/>
            <w:shd w:val="clear" w:color="auto" w:fill="auto"/>
          </w:tcPr>
          <w:p w14:paraId="0E851F3A" w14:textId="5543F121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384.146</w:t>
            </w:r>
          </w:p>
        </w:tc>
        <w:tc>
          <w:tcPr>
            <w:tcW w:w="711" w:type="pct"/>
            <w:shd w:val="clear" w:color="auto" w:fill="auto"/>
          </w:tcPr>
          <w:p w14:paraId="240BB183" w14:textId="7EF38FB8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12.103</w:t>
            </w:r>
          </w:p>
        </w:tc>
      </w:tr>
      <w:tr w:rsidR="008E578D" w:rsidRPr="00402781" w14:paraId="5B792C65" w14:textId="77777777" w:rsidTr="008E578D">
        <w:tc>
          <w:tcPr>
            <w:tcW w:w="1565" w:type="pct"/>
            <w:shd w:val="clear" w:color="auto" w:fill="auto"/>
          </w:tcPr>
          <w:p w14:paraId="45B67941" w14:textId="77777777" w:rsidR="008E578D" w:rsidRPr="00402781" w:rsidRDefault="008E578D" w:rsidP="008E578D">
            <w:pPr>
              <w:pStyle w:val="Tabletext"/>
              <w:ind w:left="346"/>
              <w:rPr>
                <w:color w:val="000000"/>
              </w:rPr>
            </w:pPr>
            <w:r w:rsidRPr="00402781">
              <w:rPr>
                <w:color w:val="000000"/>
              </w:rPr>
              <w:t>ED exacerbation</w:t>
            </w:r>
          </w:p>
        </w:tc>
        <w:tc>
          <w:tcPr>
            <w:tcW w:w="829" w:type="pct"/>
            <w:shd w:val="clear" w:color="auto" w:fill="auto"/>
          </w:tcPr>
          <w:p w14:paraId="04568C75" w14:textId="77777777" w:rsidR="008E578D" w:rsidRPr="00402781" w:rsidRDefault="008E578D" w:rsidP="008E578D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5" w:type="pct"/>
            <w:shd w:val="clear" w:color="auto" w:fill="auto"/>
          </w:tcPr>
          <w:p w14:paraId="07570FD1" w14:textId="2C8C1632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538.06</w:t>
            </w:r>
          </w:p>
        </w:tc>
        <w:tc>
          <w:tcPr>
            <w:tcW w:w="706" w:type="pct"/>
            <w:shd w:val="clear" w:color="auto" w:fill="auto"/>
          </w:tcPr>
          <w:p w14:paraId="320677F4" w14:textId="442433E9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Gamma</w:t>
            </w:r>
          </w:p>
        </w:tc>
        <w:tc>
          <w:tcPr>
            <w:tcW w:w="694" w:type="pct"/>
            <w:shd w:val="clear" w:color="auto" w:fill="auto"/>
          </w:tcPr>
          <w:p w14:paraId="3D3499DE" w14:textId="588252C8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384.146</w:t>
            </w:r>
          </w:p>
        </w:tc>
        <w:tc>
          <w:tcPr>
            <w:tcW w:w="711" w:type="pct"/>
            <w:shd w:val="clear" w:color="auto" w:fill="auto"/>
          </w:tcPr>
          <w:p w14:paraId="25FFA567" w14:textId="36C7F08B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1.401</w:t>
            </w:r>
          </w:p>
        </w:tc>
      </w:tr>
      <w:tr w:rsidR="008E578D" w:rsidRPr="00402781" w14:paraId="38885C0C" w14:textId="77777777" w:rsidTr="008E578D">
        <w:tc>
          <w:tcPr>
            <w:tcW w:w="1565" w:type="pct"/>
            <w:shd w:val="clear" w:color="auto" w:fill="auto"/>
          </w:tcPr>
          <w:p w14:paraId="52A8FF93" w14:textId="77777777" w:rsidR="008E578D" w:rsidRPr="00402781" w:rsidRDefault="008E578D" w:rsidP="008E578D">
            <w:pPr>
              <w:pStyle w:val="Tabletext"/>
              <w:ind w:left="346"/>
              <w:rPr>
                <w:color w:val="000000"/>
              </w:rPr>
            </w:pPr>
            <w:r w:rsidRPr="00402781">
              <w:rPr>
                <w:color w:val="000000"/>
              </w:rPr>
              <w:t>OCS burst exacerbation</w:t>
            </w:r>
          </w:p>
        </w:tc>
        <w:tc>
          <w:tcPr>
            <w:tcW w:w="829" w:type="pct"/>
            <w:shd w:val="clear" w:color="auto" w:fill="auto"/>
          </w:tcPr>
          <w:p w14:paraId="38617EEC" w14:textId="77777777" w:rsidR="008E578D" w:rsidRPr="00402781" w:rsidRDefault="008E578D" w:rsidP="008E578D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5" w:type="pct"/>
            <w:shd w:val="clear" w:color="auto" w:fill="auto"/>
          </w:tcPr>
          <w:p w14:paraId="0F4EF961" w14:textId="24C88141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78.07</w:t>
            </w:r>
          </w:p>
        </w:tc>
        <w:tc>
          <w:tcPr>
            <w:tcW w:w="706" w:type="pct"/>
            <w:shd w:val="clear" w:color="auto" w:fill="auto"/>
          </w:tcPr>
          <w:p w14:paraId="63C1C951" w14:textId="701A6957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Gamma</w:t>
            </w:r>
          </w:p>
        </w:tc>
        <w:tc>
          <w:tcPr>
            <w:tcW w:w="694" w:type="pct"/>
            <w:shd w:val="clear" w:color="auto" w:fill="auto"/>
          </w:tcPr>
          <w:p w14:paraId="1C55026B" w14:textId="2CF9245C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384.146</w:t>
            </w:r>
          </w:p>
        </w:tc>
        <w:tc>
          <w:tcPr>
            <w:tcW w:w="711" w:type="pct"/>
            <w:shd w:val="clear" w:color="auto" w:fill="auto"/>
          </w:tcPr>
          <w:p w14:paraId="044A7C1F" w14:textId="7E4AAF02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0.203</w:t>
            </w:r>
          </w:p>
        </w:tc>
      </w:tr>
      <w:tr w:rsidR="008E578D" w:rsidRPr="00402781" w14:paraId="349C68D5" w14:textId="77777777" w:rsidTr="008E578D">
        <w:tc>
          <w:tcPr>
            <w:tcW w:w="1565" w:type="pct"/>
            <w:shd w:val="clear" w:color="auto" w:fill="auto"/>
          </w:tcPr>
          <w:p w14:paraId="62400755" w14:textId="77777777" w:rsidR="008E578D" w:rsidRPr="00402781" w:rsidRDefault="008E578D" w:rsidP="008E578D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Discount cost</w:t>
            </w:r>
          </w:p>
        </w:tc>
        <w:tc>
          <w:tcPr>
            <w:tcW w:w="829" w:type="pct"/>
            <w:shd w:val="clear" w:color="auto" w:fill="auto"/>
          </w:tcPr>
          <w:p w14:paraId="4D6632F3" w14:textId="77777777" w:rsidR="008E578D" w:rsidRPr="00402781" w:rsidRDefault="008E578D" w:rsidP="008E578D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5" w:type="pct"/>
            <w:shd w:val="clear" w:color="auto" w:fill="auto"/>
          </w:tcPr>
          <w:p w14:paraId="64BD83C5" w14:textId="4249600F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1.50%</w:t>
            </w:r>
          </w:p>
        </w:tc>
        <w:tc>
          <w:tcPr>
            <w:tcW w:w="706" w:type="pct"/>
            <w:shd w:val="clear" w:color="auto" w:fill="auto"/>
          </w:tcPr>
          <w:p w14:paraId="55750132" w14:textId="01A461A4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Normal</w:t>
            </w:r>
          </w:p>
        </w:tc>
        <w:tc>
          <w:tcPr>
            <w:tcW w:w="694" w:type="pct"/>
            <w:shd w:val="clear" w:color="auto" w:fill="auto"/>
          </w:tcPr>
          <w:p w14:paraId="04BBB2D6" w14:textId="0494817B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0.015</w:t>
            </w:r>
          </w:p>
        </w:tc>
        <w:tc>
          <w:tcPr>
            <w:tcW w:w="711" w:type="pct"/>
            <w:shd w:val="clear" w:color="auto" w:fill="auto"/>
          </w:tcPr>
          <w:p w14:paraId="2FC85CC9" w14:textId="0CA567C4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0.001</w:t>
            </w:r>
          </w:p>
        </w:tc>
      </w:tr>
      <w:tr w:rsidR="008E578D" w:rsidRPr="00402781" w14:paraId="32B12352" w14:textId="77777777" w:rsidTr="008E578D">
        <w:tc>
          <w:tcPr>
            <w:tcW w:w="1565" w:type="pct"/>
            <w:shd w:val="clear" w:color="auto" w:fill="auto"/>
          </w:tcPr>
          <w:p w14:paraId="6F6E76BD" w14:textId="77777777" w:rsidR="008E578D" w:rsidRPr="00402781" w:rsidRDefault="008E578D" w:rsidP="008E578D">
            <w:pPr>
              <w:pStyle w:val="Tabletext"/>
              <w:ind w:left="76"/>
              <w:rPr>
                <w:color w:val="000000"/>
              </w:rPr>
            </w:pPr>
            <w:r w:rsidRPr="00402781">
              <w:rPr>
                <w:color w:val="000000"/>
              </w:rPr>
              <w:t>Discount outcome</w:t>
            </w:r>
          </w:p>
        </w:tc>
        <w:tc>
          <w:tcPr>
            <w:tcW w:w="829" w:type="pct"/>
            <w:shd w:val="clear" w:color="auto" w:fill="auto"/>
          </w:tcPr>
          <w:p w14:paraId="7BCE15CF" w14:textId="77777777" w:rsidR="008E578D" w:rsidRPr="00402781" w:rsidRDefault="008E578D" w:rsidP="008E578D">
            <w:pPr>
              <w:pStyle w:val="Tabletext"/>
              <w:rPr>
                <w:color w:val="000000"/>
              </w:rPr>
            </w:pPr>
            <w:r w:rsidRPr="00402781">
              <w:rPr>
                <w:color w:val="000000"/>
              </w:rPr>
              <w:t>N/A</w:t>
            </w:r>
          </w:p>
        </w:tc>
        <w:tc>
          <w:tcPr>
            <w:tcW w:w="495" w:type="pct"/>
            <w:shd w:val="clear" w:color="auto" w:fill="auto"/>
          </w:tcPr>
          <w:p w14:paraId="2C27AECC" w14:textId="1F4E87FE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1.50%</w:t>
            </w:r>
          </w:p>
        </w:tc>
        <w:tc>
          <w:tcPr>
            <w:tcW w:w="706" w:type="pct"/>
            <w:shd w:val="clear" w:color="auto" w:fill="auto"/>
          </w:tcPr>
          <w:p w14:paraId="096980AF" w14:textId="4FD36B69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Normal</w:t>
            </w:r>
          </w:p>
        </w:tc>
        <w:tc>
          <w:tcPr>
            <w:tcW w:w="694" w:type="pct"/>
            <w:shd w:val="clear" w:color="auto" w:fill="auto"/>
          </w:tcPr>
          <w:p w14:paraId="2F7A725F" w14:textId="492CAAAD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0.015</w:t>
            </w:r>
          </w:p>
        </w:tc>
        <w:tc>
          <w:tcPr>
            <w:tcW w:w="711" w:type="pct"/>
            <w:shd w:val="clear" w:color="auto" w:fill="auto"/>
          </w:tcPr>
          <w:p w14:paraId="07827437" w14:textId="0008F906" w:rsidR="008E578D" w:rsidRPr="00402781" w:rsidRDefault="008E578D" w:rsidP="008E578D">
            <w:pPr>
              <w:pStyle w:val="Tabletext"/>
              <w:jc w:val="center"/>
              <w:rPr>
                <w:color w:val="000000"/>
              </w:rPr>
            </w:pPr>
            <w:r w:rsidRPr="00402781">
              <w:rPr>
                <w:color w:val="000000"/>
              </w:rPr>
              <w:t>0.001</w:t>
            </w:r>
          </w:p>
        </w:tc>
      </w:tr>
    </w:tbl>
    <w:p w14:paraId="50A4C340" w14:textId="788F9894" w:rsidR="001236D9" w:rsidRPr="00402781" w:rsidRDefault="00332C46" w:rsidP="001236D9">
      <w:pPr>
        <w:pStyle w:val="tabfignote"/>
        <w:rPr>
          <w:color w:val="000000"/>
        </w:rPr>
      </w:pPr>
      <w:r w:rsidRPr="00402781">
        <w:rPr>
          <w:b/>
          <w:bCs/>
          <w:color w:val="000000"/>
        </w:rPr>
        <w:t>Abbreviations:</w:t>
      </w:r>
      <w:r w:rsidRPr="00402781">
        <w:rPr>
          <w:color w:val="000000"/>
        </w:rPr>
        <w:t xml:space="preserve"> </w:t>
      </w:r>
      <w:r w:rsidR="001236D9" w:rsidRPr="00402781">
        <w:rPr>
          <w:color w:val="000000"/>
        </w:rPr>
        <w:t>ED</w:t>
      </w:r>
      <w:r w:rsidR="0049751D" w:rsidRPr="00402781">
        <w:rPr>
          <w:color w:val="000000"/>
        </w:rPr>
        <w:t>,</w:t>
      </w:r>
      <w:r w:rsidR="001236D9" w:rsidRPr="00402781">
        <w:rPr>
          <w:color w:val="000000"/>
        </w:rPr>
        <w:t xml:space="preserve"> emergency department visit; IND/GLY/MF, indacaterol acetate/glycopyrronium bromide/mometasone furoate; </w:t>
      </w:r>
      <w:r w:rsidR="0049751D" w:rsidRPr="00402781">
        <w:rPr>
          <w:color w:val="000000"/>
        </w:rPr>
        <w:t xml:space="preserve">N/A, not applicable; </w:t>
      </w:r>
      <w:r w:rsidR="001236D9" w:rsidRPr="00402781">
        <w:rPr>
          <w:color w:val="000000"/>
        </w:rPr>
        <w:t>OCS, oral corticosteroid; SAL/FLU, salmeterol/ fluticasone</w:t>
      </w:r>
      <w:r w:rsidRPr="00402781">
        <w:rPr>
          <w:color w:val="000000"/>
        </w:rPr>
        <w:t>.</w:t>
      </w:r>
    </w:p>
    <w:p w14:paraId="59BD1464" w14:textId="17F53644" w:rsidR="0052779F" w:rsidRPr="00402781" w:rsidRDefault="001236D9" w:rsidP="00661983">
      <w:pPr>
        <w:pStyle w:val="tabfignote"/>
        <w:rPr>
          <w:color w:val="000000"/>
        </w:rPr>
      </w:pPr>
      <w:r w:rsidRPr="00402781">
        <w:rPr>
          <w:rFonts w:cs="Arial"/>
          <w:color w:val="000000"/>
          <w:vertAlign w:val="superscript"/>
        </w:rPr>
        <w:t>a</w:t>
      </w:r>
      <w:r w:rsidRPr="00402781">
        <w:rPr>
          <w:rFonts w:cs="Arial"/>
          <w:color w:val="000000"/>
        </w:rPr>
        <w:t xml:space="preserve"> </w:t>
      </w:r>
      <w:r w:rsidR="00661983" w:rsidRPr="00402781">
        <w:rPr>
          <w:rFonts w:cs="Arial"/>
          <w:color w:val="000000"/>
        </w:rPr>
        <w:t xml:space="preserve">ClinicalTrials.gov: NCT02571777. Study to </w:t>
      </w:r>
      <w:r w:rsidR="00332C46" w:rsidRPr="00402781">
        <w:rPr>
          <w:rFonts w:cs="Arial"/>
          <w:color w:val="000000"/>
        </w:rPr>
        <w:t xml:space="preserve">compare the efficacy and safety </w:t>
      </w:r>
      <w:r w:rsidR="00661983" w:rsidRPr="00402781">
        <w:rPr>
          <w:rFonts w:cs="Arial"/>
          <w:color w:val="000000"/>
        </w:rPr>
        <w:t xml:space="preserve">of QVM149 </w:t>
      </w:r>
      <w:r w:rsidR="00332C46" w:rsidRPr="00402781">
        <w:rPr>
          <w:rFonts w:cs="Arial"/>
          <w:color w:val="000000"/>
        </w:rPr>
        <w:t xml:space="preserve">with </w:t>
      </w:r>
      <w:r w:rsidR="00661983" w:rsidRPr="00402781">
        <w:rPr>
          <w:rFonts w:cs="Arial"/>
          <w:color w:val="000000"/>
        </w:rPr>
        <w:t xml:space="preserve">QMF149 in </w:t>
      </w:r>
      <w:r w:rsidR="00332C46" w:rsidRPr="00402781">
        <w:rPr>
          <w:rFonts w:cs="Arial"/>
          <w:color w:val="000000"/>
        </w:rPr>
        <w:t>patients with asthma</w:t>
      </w:r>
      <w:r w:rsidR="00661983" w:rsidRPr="00402781">
        <w:rPr>
          <w:rFonts w:cs="Arial"/>
          <w:color w:val="000000"/>
        </w:rPr>
        <w:t>. 2020. https://clinicaltrials.gov/ct2/show/NCT02571777. Accessed June 4, 2020.</w:t>
      </w:r>
    </w:p>
    <w:p w14:paraId="7F3390FF" w14:textId="77777777" w:rsidR="00AE3DD6" w:rsidRPr="00402781" w:rsidRDefault="00AE3DD6">
      <w:pPr>
        <w:rPr>
          <w:color w:val="000000"/>
        </w:rPr>
      </w:pPr>
    </w:p>
    <w:p w14:paraId="118E19E1" w14:textId="13838876" w:rsidR="0052779F" w:rsidRPr="00402781" w:rsidRDefault="0052779F">
      <w:pPr>
        <w:rPr>
          <w:color w:val="000000"/>
        </w:rPr>
      </w:pPr>
    </w:p>
    <w:p w14:paraId="406B915F" w14:textId="77777777" w:rsidR="00332C46" w:rsidRPr="00402781" w:rsidRDefault="00332C46" w:rsidP="00AE3DD6">
      <w:pPr>
        <w:rPr>
          <w:rFonts w:ascii="Arial" w:hAnsi="Arial" w:cs="Arial"/>
          <w:b/>
          <w:bCs/>
          <w:color w:val="000000"/>
        </w:rPr>
        <w:sectPr w:rsidR="00332C46" w:rsidRPr="0040278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F537E4" w14:textId="00C92A62" w:rsidR="00AE3DD6" w:rsidRPr="00402781" w:rsidRDefault="00AE3DD6" w:rsidP="00AE3DD6">
      <w:pPr>
        <w:rPr>
          <w:rFonts w:ascii="Arial" w:hAnsi="Arial" w:cs="Arial"/>
          <w:b/>
          <w:bCs/>
          <w:color w:val="000000"/>
        </w:rPr>
      </w:pPr>
      <w:r w:rsidRPr="00402781">
        <w:rPr>
          <w:rFonts w:ascii="Arial" w:hAnsi="Arial" w:cs="Arial"/>
          <w:b/>
          <w:bCs/>
          <w:color w:val="000000"/>
        </w:rPr>
        <w:lastRenderedPageBreak/>
        <w:t>Figure S-1. Incremental Cost-Effectiveness Ratio Formula</w:t>
      </w:r>
      <w:r w:rsidR="009C5085" w:rsidRPr="00402781">
        <w:rPr>
          <w:rFonts w:ascii="Arial" w:hAnsi="Arial" w:cs="Arial"/>
          <w:b/>
          <w:bCs/>
          <w:color w:val="000000"/>
        </w:rPr>
        <w:t>s</w:t>
      </w:r>
    </w:p>
    <w:p w14:paraId="256DEE70" w14:textId="77777777" w:rsidR="00AE3DD6" w:rsidRPr="00402781" w:rsidRDefault="00AE3DD6" w:rsidP="00AE3DD6">
      <w:pPr>
        <w:rPr>
          <w:color w:val="000000"/>
        </w:rPr>
      </w:pPr>
    </w:p>
    <w:p w14:paraId="0560F28B" w14:textId="3B521EBE" w:rsidR="00AE3DD6" w:rsidRPr="00402781" w:rsidRDefault="00AE3DD6" w:rsidP="00AE3DD6">
      <w:pPr>
        <w:rPr>
          <w:i/>
          <w:color w:val="000000"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</w:rPr>
            <m:t>ICER=</m:t>
          </m:r>
          <m:f>
            <m:fPr>
              <m:ctrlPr>
                <w:rPr>
                  <w:rFonts w:ascii="Cambria Math" w:eastAsiaTheme="minorHAnsi" w:hAnsi="Cambria Math" w:cs="Calibri"/>
                  <w:color w:val="000000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 w:cs="Calibri"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Cost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 xml:space="preserve">IND/GLY/MF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</m:t>
              </m:r>
              <m:sSub>
                <m:sSubPr>
                  <m:ctrlPr>
                    <w:rPr>
                      <w:rFonts w:ascii="Cambria Math" w:eastAsiaTheme="minorHAnsi" w:hAnsi="Cambria Math" w:cs="Calibri"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Cost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SAL/FLU+TIO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HAnsi" w:hAnsi="Cambria Math" w:cs="Calibri"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Effectiveness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IND/GLY/MF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</m:t>
              </m:r>
              <m:sSub>
                <m:sSubPr>
                  <m:ctrlPr>
                    <w:rPr>
                      <w:rFonts w:ascii="Cambria Math" w:eastAsiaTheme="minorHAnsi" w:hAnsi="Cambria Math" w:cs="Calibri"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Effectiveness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SAL/FLU+ TIO</m:t>
                  </m:r>
                </m:sub>
              </m:sSub>
            </m:den>
          </m:f>
        </m:oMath>
      </m:oMathPara>
    </w:p>
    <w:p w14:paraId="58722D79" w14:textId="77777777" w:rsidR="00EB604B" w:rsidRPr="00402781" w:rsidRDefault="00EB604B" w:rsidP="00AE3DD6">
      <w:pPr>
        <w:rPr>
          <w:i/>
          <w:iCs/>
          <w:color w:val="000000"/>
          <w:sz w:val="22"/>
        </w:rPr>
      </w:pPr>
    </w:p>
    <w:p w14:paraId="73456648" w14:textId="77777777" w:rsidR="00AE3DD6" w:rsidRPr="00402781" w:rsidRDefault="00AE3DD6" w:rsidP="00AE3DD6">
      <w:pPr>
        <w:rPr>
          <w:color w:val="000000"/>
        </w:rPr>
      </w:pPr>
    </w:p>
    <w:p w14:paraId="7DE95DB1" w14:textId="54F20D82" w:rsidR="00EB604B" w:rsidRPr="00402781" w:rsidRDefault="00EB604B" w:rsidP="00EB604B">
      <w:pPr>
        <w:rPr>
          <w:i/>
          <w:iCs/>
          <w:color w:val="000000"/>
          <w:sz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</w:rPr>
            <m:t>ICER=</m:t>
          </m:r>
          <m:f>
            <m:fPr>
              <m:ctrlPr>
                <w:rPr>
                  <w:rFonts w:ascii="Cambria Math" w:eastAsiaTheme="minorHAnsi" w:hAnsi="Cambria Math" w:cs="Calibri"/>
                  <w:color w:val="000000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 w:cs="Calibri"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Cost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 xml:space="preserve">IND/GLY/MF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</m:t>
              </m:r>
              <m:sSub>
                <m:sSubPr>
                  <m:ctrlPr>
                    <w:rPr>
                      <w:rFonts w:ascii="Cambria Math" w:eastAsiaTheme="minorHAnsi" w:hAnsi="Cambria Math" w:cs="Calibri"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Cost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SAL/FLU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HAnsi" w:hAnsi="Cambria Math" w:cs="Calibri"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Effectiveness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IND/GLY/MF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-</m:t>
              </m:r>
              <m:sSub>
                <m:sSubPr>
                  <m:ctrlPr>
                    <w:rPr>
                      <w:rFonts w:ascii="Cambria Math" w:eastAsiaTheme="minorHAnsi" w:hAnsi="Cambria Math" w:cs="Calibri"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Effectiveness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SAL/FLU</m:t>
                  </m:r>
                </m:sub>
              </m:sSub>
            </m:den>
          </m:f>
        </m:oMath>
      </m:oMathPara>
    </w:p>
    <w:p w14:paraId="7CBC3C05" w14:textId="77777777" w:rsidR="00EB604B" w:rsidRPr="00402781" w:rsidRDefault="00EB604B" w:rsidP="00EB604B">
      <w:pPr>
        <w:rPr>
          <w:color w:val="000000"/>
        </w:rPr>
      </w:pPr>
    </w:p>
    <w:p w14:paraId="3816C16D" w14:textId="0B7378D2" w:rsidR="0052779F" w:rsidRPr="00402781" w:rsidRDefault="0052779F">
      <w:pPr>
        <w:rPr>
          <w:color w:val="000000"/>
        </w:rPr>
      </w:pPr>
    </w:p>
    <w:p w14:paraId="67EEB8C0" w14:textId="2A3DB42E" w:rsidR="00EB604B" w:rsidRPr="00402781" w:rsidRDefault="00332C46" w:rsidP="00D14536">
      <w:pPr>
        <w:pStyle w:val="tabfignote"/>
        <w:rPr>
          <w:color w:val="000000"/>
        </w:rPr>
      </w:pPr>
      <w:r w:rsidRPr="00402781">
        <w:rPr>
          <w:b/>
          <w:bCs/>
          <w:color w:val="000000"/>
        </w:rPr>
        <w:t>Abbreviations:</w:t>
      </w:r>
      <w:r w:rsidRPr="00402781">
        <w:rPr>
          <w:color w:val="000000"/>
        </w:rPr>
        <w:t xml:space="preserve"> </w:t>
      </w:r>
      <w:r w:rsidR="00D14536" w:rsidRPr="00402781">
        <w:rPr>
          <w:color w:val="000000"/>
        </w:rPr>
        <w:t>ICER = Incremental Cost-Effectiveness Ratio; IND/GLY/MF = mometasone furoate/indacaterol acetate/glycopyrronium bromide; SAL/FLU = fluticasone/salmeterol; TIO = tiotropium.</w:t>
      </w:r>
    </w:p>
    <w:sectPr w:rsidR="00EB604B" w:rsidRPr="00402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C9F2" w14:textId="77777777" w:rsidR="004F12B3" w:rsidRDefault="004F12B3" w:rsidP="00A8544E">
      <w:pPr>
        <w:spacing w:line="240" w:lineRule="auto"/>
      </w:pPr>
      <w:r>
        <w:separator/>
      </w:r>
    </w:p>
  </w:endnote>
  <w:endnote w:type="continuationSeparator" w:id="0">
    <w:p w14:paraId="0AF7D1D1" w14:textId="77777777" w:rsidR="004F12B3" w:rsidRDefault="004F12B3" w:rsidP="00A85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B10E" w14:textId="77777777" w:rsidR="004F12B3" w:rsidRDefault="004F1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958E6" w14:textId="77777777" w:rsidR="004F12B3" w:rsidRDefault="004F12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EC81" w14:textId="77777777" w:rsidR="004F12B3" w:rsidRDefault="004F1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3554" w14:textId="77777777" w:rsidR="004F12B3" w:rsidRDefault="004F12B3" w:rsidP="00A8544E">
      <w:pPr>
        <w:spacing w:line="240" w:lineRule="auto"/>
      </w:pPr>
      <w:r>
        <w:separator/>
      </w:r>
    </w:p>
  </w:footnote>
  <w:footnote w:type="continuationSeparator" w:id="0">
    <w:p w14:paraId="3E7C4244" w14:textId="77777777" w:rsidR="004F12B3" w:rsidRDefault="004F12B3" w:rsidP="00A854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AEB7" w14:textId="77777777" w:rsidR="004F12B3" w:rsidRDefault="004F1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A9EE" w14:textId="77777777" w:rsidR="004F12B3" w:rsidRDefault="004F1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5307" w14:textId="77777777" w:rsidR="004F12B3" w:rsidRDefault="004F1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1371A"/>
    <w:multiLevelType w:val="hybridMultilevel"/>
    <w:tmpl w:val="5976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42945"/>
    <w:multiLevelType w:val="hybridMultilevel"/>
    <w:tmpl w:val="9CF4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F4F46"/>
    <w:multiLevelType w:val="hybridMultilevel"/>
    <w:tmpl w:val="535E9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084B4C"/>
    <w:rsid w:val="000006EA"/>
    <w:rsid w:val="00000E02"/>
    <w:rsid w:val="000033DB"/>
    <w:rsid w:val="000035B9"/>
    <w:rsid w:val="000066EC"/>
    <w:rsid w:val="0001213A"/>
    <w:rsid w:val="00012C68"/>
    <w:rsid w:val="00016DEE"/>
    <w:rsid w:val="00017A5D"/>
    <w:rsid w:val="00020A86"/>
    <w:rsid w:val="000214F4"/>
    <w:rsid w:val="00023DF2"/>
    <w:rsid w:val="0002434C"/>
    <w:rsid w:val="00024ABC"/>
    <w:rsid w:val="000322F5"/>
    <w:rsid w:val="0003385E"/>
    <w:rsid w:val="00035F2F"/>
    <w:rsid w:val="00040A84"/>
    <w:rsid w:val="00042486"/>
    <w:rsid w:val="00042D09"/>
    <w:rsid w:val="00042F53"/>
    <w:rsid w:val="00044D9D"/>
    <w:rsid w:val="000453FF"/>
    <w:rsid w:val="00047CB5"/>
    <w:rsid w:val="000519E9"/>
    <w:rsid w:val="0005346F"/>
    <w:rsid w:val="00055207"/>
    <w:rsid w:val="00056BFA"/>
    <w:rsid w:val="00057984"/>
    <w:rsid w:val="00057C81"/>
    <w:rsid w:val="00060B73"/>
    <w:rsid w:val="000620ED"/>
    <w:rsid w:val="000629CB"/>
    <w:rsid w:val="00063F1B"/>
    <w:rsid w:val="000651E2"/>
    <w:rsid w:val="000655D0"/>
    <w:rsid w:val="000664DB"/>
    <w:rsid w:val="0007141D"/>
    <w:rsid w:val="00071B81"/>
    <w:rsid w:val="00072313"/>
    <w:rsid w:val="00076185"/>
    <w:rsid w:val="000808A6"/>
    <w:rsid w:val="0008184B"/>
    <w:rsid w:val="00084B4C"/>
    <w:rsid w:val="000864D7"/>
    <w:rsid w:val="00091E89"/>
    <w:rsid w:val="0009236F"/>
    <w:rsid w:val="00094425"/>
    <w:rsid w:val="000960FD"/>
    <w:rsid w:val="000A01E6"/>
    <w:rsid w:val="000A02B2"/>
    <w:rsid w:val="000A0C64"/>
    <w:rsid w:val="000A0E5E"/>
    <w:rsid w:val="000A1F7C"/>
    <w:rsid w:val="000A3819"/>
    <w:rsid w:val="000A5641"/>
    <w:rsid w:val="000A76E4"/>
    <w:rsid w:val="000A77A3"/>
    <w:rsid w:val="000A7854"/>
    <w:rsid w:val="000A7D92"/>
    <w:rsid w:val="000B0190"/>
    <w:rsid w:val="000B3088"/>
    <w:rsid w:val="000B395D"/>
    <w:rsid w:val="000B4832"/>
    <w:rsid w:val="000C0033"/>
    <w:rsid w:val="000C574E"/>
    <w:rsid w:val="000D1936"/>
    <w:rsid w:val="000D315D"/>
    <w:rsid w:val="000D3795"/>
    <w:rsid w:val="000D5795"/>
    <w:rsid w:val="000E1EC7"/>
    <w:rsid w:val="000E24DA"/>
    <w:rsid w:val="000E372C"/>
    <w:rsid w:val="000E66ED"/>
    <w:rsid w:val="000F1377"/>
    <w:rsid w:val="000F21CC"/>
    <w:rsid w:val="000F40D8"/>
    <w:rsid w:val="000F6085"/>
    <w:rsid w:val="000F60DD"/>
    <w:rsid w:val="001002C5"/>
    <w:rsid w:val="0010069D"/>
    <w:rsid w:val="00101A71"/>
    <w:rsid w:val="0010304B"/>
    <w:rsid w:val="00103364"/>
    <w:rsid w:val="00107232"/>
    <w:rsid w:val="001079D6"/>
    <w:rsid w:val="00112E2D"/>
    <w:rsid w:val="0011619D"/>
    <w:rsid w:val="001164B6"/>
    <w:rsid w:val="00117050"/>
    <w:rsid w:val="00117CD3"/>
    <w:rsid w:val="00122622"/>
    <w:rsid w:val="0012305F"/>
    <w:rsid w:val="001236D9"/>
    <w:rsid w:val="00127009"/>
    <w:rsid w:val="00127D8B"/>
    <w:rsid w:val="001320DE"/>
    <w:rsid w:val="001330DF"/>
    <w:rsid w:val="00133FB4"/>
    <w:rsid w:val="001362BA"/>
    <w:rsid w:val="00136548"/>
    <w:rsid w:val="00136CA4"/>
    <w:rsid w:val="0014720D"/>
    <w:rsid w:val="00153C16"/>
    <w:rsid w:val="00160B9C"/>
    <w:rsid w:val="00163C57"/>
    <w:rsid w:val="0016697C"/>
    <w:rsid w:val="0017073A"/>
    <w:rsid w:val="00171D1E"/>
    <w:rsid w:val="001724C6"/>
    <w:rsid w:val="00176514"/>
    <w:rsid w:val="00176ECF"/>
    <w:rsid w:val="0018419C"/>
    <w:rsid w:val="00186F15"/>
    <w:rsid w:val="001929A8"/>
    <w:rsid w:val="001943A3"/>
    <w:rsid w:val="00195E27"/>
    <w:rsid w:val="001963E2"/>
    <w:rsid w:val="00197698"/>
    <w:rsid w:val="001A5648"/>
    <w:rsid w:val="001A5739"/>
    <w:rsid w:val="001A5C96"/>
    <w:rsid w:val="001B1602"/>
    <w:rsid w:val="001B26EF"/>
    <w:rsid w:val="001B6C29"/>
    <w:rsid w:val="001B74BD"/>
    <w:rsid w:val="001C046D"/>
    <w:rsid w:val="001C63A2"/>
    <w:rsid w:val="001C6E70"/>
    <w:rsid w:val="001D0929"/>
    <w:rsid w:val="001D1A2C"/>
    <w:rsid w:val="001D357C"/>
    <w:rsid w:val="001D5454"/>
    <w:rsid w:val="001D65CB"/>
    <w:rsid w:val="001E144E"/>
    <w:rsid w:val="001E3714"/>
    <w:rsid w:val="001F0174"/>
    <w:rsid w:val="001F1708"/>
    <w:rsid w:val="001F2145"/>
    <w:rsid w:val="001F4306"/>
    <w:rsid w:val="001F4724"/>
    <w:rsid w:val="001F4E79"/>
    <w:rsid w:val="001F75A2"/>
    <w:rsid w:val="00200C1D"/>
    <w:rsid w:val="0020240D"/>
    <w:rsid w:val="00205537"/>
    <w:rsid w:val="0020564F"/>
    <w:rsid w:val="00211C12"/>
    <w:rsid w:val="00213986"/>
    <w:rsid w:val="002152A9"/>
    <w:rsid w:val="002176B4"/>
    <w:rsid w:val="00221D66"/>
    <w:rsid w:val="00222205"/>
    <w:rsid w:val="002234D7"/>
    <w:rsid w:val="00223DF8"/>
    <w:rsid w:val="00226C79"/>
    <w:rsid w:val="002272DB"/>
    <w:rsid w:val="0023229A"/>
    <w:rsid w:val="00233118"/>
    <w:rsid w:val="00233280"/>
    <w:rsid w:val="00236E33"/>
    <w:rsid w:val="00241BF2"/>
    <w:rsid w:val="00243A45"/>
    <w:rsid w:val="00256D17"/>
    <w:rsid w:val="00261CB6"/>
    <w:rsid w:val="002675B6"/>
    <w:rsid w:val="00270B8A"/>
    <w:rsid w:val="002710C1"/>
    <w:rsid w:val="002713D1"/>
    <w:rsid w:val="00275425"/>
    <w:rsid w:val="002809EB"/>
    <w:rsid w:val="002818B6"/>
    <w:rsid w:val="00282E88"/>
    <w:rsid w:val="00283BDD"/>
    <w:rsid w:val="00285B41"/>
    <w:rsid w:val="00285F9E"/>
    <w:rsid w:val="00286AB7"/>
    <w:rsid w:val="00293A54"/>
    <w:rsid w:val="00294192"/>
    <w:rsid w:val="00295CAA"/>
    <w:rsid w:val="00296D56"/>
    <w:rsid w:val="0029764D"/>
    <w:rsid w:val="00297C1A"/>
    <w:rsid w:val="002A3624"/>
    <w:rsid w:val="002A418A"/>
    <w:rsid w:val="002A4B20"/>
    <w:rsid w:val="002A5388"/>
    <w:rsid w:val="002A7966"/>
    <w:rsid w:val="002B18F5"/>
    <w:rsid w:val="002B2E6E"/>
    <w:rsid w:val="002B4C46"/>
    <w:rsid w:val="002B60AA"/>
    <w:rsid w:val="002B623A"/>
    <w:rsid w:val="002B6AD7"/>
    <w:rsid w:val="002C234B"/>
    <w:rsid w:val="002C2FB7"/>
    <w:rsid w:val="002C38C6"/>
    <w:rsid w:val="002C4CAE"/>
    <w:rsid w:val="002C5AC0"/>
    <w:rsid w:val="002C62CF"/>
    <w:rsid w:val="002C6960"/>
    <w:rsid w:val="002C7A3F"/>
    <w:rsid w:val="002D10BA"/>
    <w:rsid w:val="002D36DD"/>
    <w:rsid w:val="002D3C04"/>
    <w:rsid w:val="002D4076"/>
    <w:rsid w:val="002E425F"/>
    <w:rsid w:val="002E7A23"/>
    <w:rsid w:val="002F0207"/>
    <w:rsid w:val="002F228F"/>
    <w:rsid w:val="002F27BA"/>
    <w:rsid w:val="002F469A"/>
    <w:rsid w:val="002F65AC"/>
    <w:rsid w:val="00302B7B"/>
    <w:rsid w:val="0030358B"/>
    <w:rsid w:val="00303CDA"/>
    <w:rsid w:val="00307471"/>
    <w:rsid w:val="00307F36"/>
    <w:rsid w:val="00312990"/>
    <w:rsid w:val="003146FF"/>
    <w:rsid w:val="00320353"/>
    <w:rsid w:val="00320804"/>
    <w:rsid w:val="003227EC"/>
    <w:rsid w:val="0032315D"/>
    <w:rsid w:val="00323569"/>
    <w:rsid w:val="003249CC"/>
    <w:rsid w:val="0032514A"/>
    <w:rsid w:val="00326661"/>
    <w:rsid w:val="00331F7F"/>
    <w:rsid w:val="00332AE9"/>
    <w:rsid w:val="00332C46"/>
    <w:rsid w:val="00334E4F"/>
    <w:rsid w:val="00340F55"/>
    <w:rsid w:val="00344530"/>
    <w:rsid w:val="0034490B"/>
    <w:rsid w:val="00344AD5"/>
    <w:rsid w:val="00344D47"/>
    <w:rsid w:val="00346ADF"/>
    <w:rsid w:val="0034781E"/>
    <w:rsid w:val="00360541"/>
    <w:rsid w:val="003652F1"/>
    <w:rsid w:val="00370C24"/>
    <w:rsid w:val="00371A8F"/>
    <w:rsid w:val="00374823"/>
    <w:rsid w:val="00375B26"/>
    <w:rsid w:val="00377385"/>
    <w:rsid w:val="00380138"/>
    <w:rsid w:val="003805B4"/>
    <w:rsid w:val="003814D7"/>
    <w:rsid w:val="00383693"/>
    <w:rsid w:val="00383C94"/>
    <w:rsid w:val="00384B13"/>
    <w:rsid w:val="00385BB1"/>
    <w:rsid w:val="003875C5"/>
    <w:rsid w:val="003944F8"/>
    <w:rsid w:val="00394556"/>
    <w:rsid w:val="00395115"/>
    <w:rsid w:val="00395A9C"/>
    <w:rsid w:val="003A1CB3"/>
    <w:rsid w:val="003A1FBC"/>
    <w:rsid w:val="003A2877"/>
    <w:rsid w:val="003A5806"/>
    <w:rsid w:val="003A6010"/>
    <w:rsid w:val="003A6789"/>
    <w:rsid w:val="003B0A14"/>
    <w:rsid w:val="003B0CCF"/>
    <w:rsid w:val="003B37AB"/>
    <w:rsid w:val="003B6DF6"/>
    <w:rsid w:val="003B7DA7"/>
    <w:rsid w:val="003C2907"/>
    <w:rsid w:val="003C3A2D"/>
    <w:rsid w:val="003C3B49"/>
    <w:rsid w:val="003D2114"/>
    <w:rsid w:val="003D4695"/>
    <w:rsid w:val="003D5801"/>
    <w:rsid w:val="003D7B3B"/>
    <w:rsid w:val="003E0AE3"/>
    <w:rsid w:val="003E0D37"/>
    <w:rsid w:val="003E191D"/>
    <w:rsid w:val="003E535F"/>
    <w:rsid w:val="003E5956"/>
    <w:rsid w:val="003E606F"/>
    <w:rsid w:val="003F283A"/>
    <w:rsid w:val="003F2B11"/>
    <w:rsid w:val="003F613B"/>
    <w:rsid w:val="00401429"/>
    <w:rsid w:val="00402781"/>
    <w:rsid w:val="00403516"/>
    <w:rsid w:val="0040421C"/>
    <w:rsid w:val="0040725E"/>
    <w:rsid w:val="00410529"/>
    <w:rsid w:val="00411548"/>
    <w:rsid w:val="0041228A"/>
    <w:rsid w:val="004140A4"/>
    <w:rsid w:val="004148B5"/>
    <w:rsid w:val="00417EB7"/>
    <w:rsid w:val="0042686C"/>
    <w:rsid w:val="00430D02"/>
    <w:rsid w:val="0043284A"/>
    <w:rsid w:val="00433342"/>
    <w:rsid w:val="00434F15"/>
    <w:rsid w:val="00435013"/>
    <w:rsid w:val="00436056"/>
    <w:rsid w:val="004436EA"/>
    <w:rsid w:val="00445654"/>
    <w:rsid w:val="0045062A"/>
    <w:rsid w:val="00451662"/>
    <w:rsid w:val="0045255E"/>
    <w:rsid w:val="00453B14"/>
    <w:rsid w:val="00453E90"/>
    <w:rsid w:val="004545A2"/>
    <w:rsid w:val="004565C1"/>
    <w:rsid w:val="00462C5F"/>
    <w:rsid w:val="00462D40"/>
    <w:rsid w:val="004643A7"/>
    <w:rsid w:val="004646A7"/>
    <w:rsid w:val="00465739"/>
    <w:rsid w:val="0046682E"/>
    <w:rsid w:val="00470919"/>
    <w:rsid w:val="00472CBB"/>
    <w:rsid w:val="00473C1A"/>
    <w:rsid w:val="00474B2F"/>
    <w:rsid w:val="00474EA3"/>
    <w:rsid w:val="00475B4A"/>
    <w:rsid w:val="004803E1"/>
    <w:rsid w:val="00487707"/>
    <w:rsid w:val="00494C4E"/>
    <w:rsid w:val="00495A70"/>
    <w:rsid w:val="00496562"/>
    <w:rsid w:val="0049751D"/>
    <w:rsid w:val="004A0289"/>
    <w:rsid w:val="004A20E2"/>
    <w:rsid w:val="004A483C"/>
    <w:rsid w:val="004A4DF8"/>
    <w:rsid w:val="004B0E32"/>
    <w:rsid w:val="004C14EE"/>
    <w:rsid w:val="004C2A67"/>
    <w:rsid w:val="004C4DCB"/>
    <w:rsid w:val="004C5AE1"/>
    <w:rsid w:val="004D0CCF"/>
    <w:rsid w:val="004D0D0B"/>
    <w:rsid w:val="004D1716"/>
    <w:rsid w:val="004D5161"/>
    <w:rsid w:val="004E1D05"/>
    <w:rsid w:val="004E291E"/>
    <w:rsid w:val="004E6EA8"/>
    <w:rsid w:val="004E7F97"/>
    <w:rsid w:val="004F12B3"/>
    <w:rsid w:val="004F2EC0"/>
    <w:rsid w:val="004F52BD"/>
    <w:rsid w:val="00500D11"/>
    <w:rsid w:val="0050520D"/>
    <w:rsid w:val="00505518"/>
    <w:rsid w:val="0051007B"/>
    <w:rsid w:val="00517E36"/>
    <w:rsid w:val="005200F7"/>
    <w:rsid w:val="005213E8"/>
    <w:rsid w:val="00523D37"/>
    <w:rsid w:val="005260FA"/>
    <w:rsid w:val="0052779F"/>
    <w:rsid w:val="00531063"/>
    <w:rsid w:val="00532E58"/>
    <w:rsid w:val="00543745"/>
    <w:rsid w:val="0054479E"/>
    <w:rsid w:val="00544CDF"/>
    <w:rsid w:val="005452C2"/>
    <w:rsid w:val="005454C5"/>
    <w:rsid w:val="0055428A"/>
    <w:rsid w:val="00554786"/>
    <w:rsid w:val="0056005C"/>
    <w:rsid w:val="005613FE"/>
    <w:rsid w:val="00565B68"/>
    <w:rsid w:val="00570E36"/>
    <w:rsid w:val="005757A4"/>
    <w:rsid w:val="00576610"/>
    <w:rsid w:val="005777F5"/>
    <w:rsid w:val="0058094F"/>
    <w:rsid w:val="00580AA4"/>
    <w:rsid w:val="00587EAA"/>
    <w:rsid w:val="005903D3"/>
    <w:rsid w:val="005903E9"/>
    <w:rsid w:val="00590610"/>
    <w:rsid w:val="00590847"/>
    <w:rsid w:val="00590C0D"/>
    <w:rsid w:val="005956B0"/>
    <w:rsid w:val="005A3220"/>
    <w:rsid w:val="005A5185"/>
    <w:rsid w:val="005A56E9"/>
    <w:rsid w:val="005A79BB"/>
    <w:rsid w:val="005A7A2C"/>
    <w:rsid w:val="005A7FEF"/>
    <w:rsid w:val="005B103C"/>
    <w:rsid w:val="005B1858"/>
    <w:rsid w:val="005B38F1"/>
    <w:rsid w:val="005B7317"/>
    <w:rsid w:val="005C2F36"/>
    <w:rsid w:val="005D0845"/>
    <w:rsid w:val="005D37C6"/>
    <w:rsid w:val="005D3CDB"/>
    <w:rsid w:val="005D41A6"/>
    <w:rsid w:val="005E2F84"/>
    <w:rsid w:val="005E3AF3"/>
    <w:rsid w:val="005E7B93"/>
    <w:rsid w:val="00601A8B"/>
    <w:rsid w:val="006037E9"/>
    <w:rsid w:val="00603D17"/>
    <w:rsid w:val="00606164"/>
    <w:rsid w:val="00610CFF"/>
    <w:rsid w:val="006161E3"/>
    <w:rsid w:val="006176E8"/>
    <w:rsid w:val="006206B7"/>
    <w:rsid w:val="00623692"/>
    <w:rsid w:val="006247CC"/>
    <w:rsid w:val="00624E33"/>
    <w:rsid w:val="00625D67"/>
    <w:rsid w:val="00630200"/>
    <w:rsid w:val="00631FD1"/>
    <w:rsid w:val="006347AA"/>
    <w:rsid w:val="00635E99"/>
    <w:rsid w:val="00637001"/>
    <w:rsid w:val="006415AA"/>
    <w:rsid w:val="00643864"/>
    <w:rsid w:val="006438E0"/>
    <w:rsid w:val="00644AB1"/>
    <w:rsid w:val="006476A7"/>
    <w:rsid w:val="00650817"/>
    <w:rsid w:val="00650CCF"/>
    <w:rsid w:val="00651C2B"/>
    <w:rsid w:val="0065575C"/>
    <w:rsid w:val="006559BD"/>
    <w:rsid w:val="00657E71"/>
    <w:rsid w:val="00661223"/>
    <w:rsid w:val="00661983"/>
    <w:rsid w:val="006639A8"/>
    <w:rsid w:val="006639FC"/>
    <w:rsid w:val="00663D0D"/>
    <w:rsid w:val="00664E7C"/>
    <w:rsid w:val="0066691A"/>
    <w:rsid w:val="0067287F"/>
    <w:rsid w:val="006728E8"/>
    <w:rsid w:val="00672F1B"/>
    <w:rsid w:val="00677E3C"/>
    <w:rsid w:val="00680ADE"/>
    <w:rsid w:val="006812FA"/>
    <w:rsid w:val="006813A1"/>
    <w:rsid w:val="00682AEB"/>
    <w:rsid w:val="006869BA"/>
    <w:rsid w:val="006901F8"/>
    <w:rsid w:val="00691C1F"/>
    <w:rsid w:val="006A33B8"/>
    <w:rsid w:val="006B3AD2"/>
    <w:rsid w:val="006B71E3"/>
    <w:rsid w:val="006C0450"/>
    <w:rsid w:val="006C3838"/>
    <w:rsid w:val="006C3BD3"/>
    <w:rsid w:val="006C4A62"/>
    <w:rsid w:val="006C5D44"/>
    <w:rsid w:val="006C5E09"/>
    <w:rsid w:val="006D0DC2"/>
    <w:rsid w:val="006D427D"/>
    <w:rsid w:val="006D4EDE"/>
    <w:rsid w:val="006D5693"/>
    <w:rsid w:val="006D7588"/>
    <w:rsid w:val="006D77E7"/>
    <w:rsid w:val="006E0198"/>
    <w:rsid w:val="006E1AFB"/>
    <w:rsid w:val="006E2A0D"/>
    <w:rsid w:val="006E2BF6"/>
    <w:rsid w:val="006E3D8D"/>
    <w:rsid w:val="006E42E9"/>
    <w:rsid w:val="006F02DC"/>
    <w:rsid w:val="006F0332"/>
    <w:rsid w:val="006F29EF"/>
    <w:rsid w:val="006F329E"/>
    <w:rsid w:val="007059DE"/>
    <w:rsid w:val="00705BBD"/>
    <w:rsid w:val="00706034"/>
    <w:rsid w:val="00711159"/>
    <w:rsid w:val="00711DB7"/>
    <w:rsid w:val="00720C86"/>
    <w:rsid w:val="00724656"/>
    <w:rsid w:val="00732121"/>
    <w:rsid w:val="007331B9"/>
    <w:rsid w:val="007354EE"/>
    <w:rsid w:val="00736610"/>
    <w:rsid w:val="00740890"/>
    <w:rsid w:val="0074367E"/>
    <w:rsid w:val="007454CF"/>
    <w:rsid w:val="00747917"/>
    <w:rsid w:val="00750218"/>
    <w:rsid w:val="00751309"/>
    <w:rsid w:val="0075270A"/>
    <w:rsid w:val="00752A2E"/>
    <w:rsid w:val="00755AA0"/>
    <w:rsid w:val="00757EF2"/>
    <w:rsid w:val="00761810"/>
    <w:rsid w:val="00766C60"/>
    <w:rsid w:val="0077143D"/>
    <w:rsid w:val="007719BD"/>
    <w:rsid w:val="00772105"/>
    <w:rsid w:val="00782193"/>
    <w:rsid w:val="0078247A"/>
    <w:rsid w:val="007830C6"/>
    <w:rsid w:val="007858A0"/>
    <w:rsid w:val="00785AA9"/>
    <w:rsid w:val="00786FD2"/>
    <w:rsid w:val="00791328"/>
    <w:rsid w:val="007A0B3A"/>
    <w:rsid w:val="007A17DA"/>
    <w:rsid w:val="007A4C19"/>
    <w:rsid w:val="007B26DA"/>
    <w:rsid w:val="007B2D7A"/>
    <w:rsid w:val="007B6592"/>
    <w:rsid w:val="007B6A71"/>
    <w:rsid w:val="007C2115"/>
    <w:rsid w:val="007C30D6"/>
    <w:rsid w:val="007D194C"/>
    <w:rsid w:val="007D510B"/>
    <w:rsid w:val="007D648E"/>
    <w:rsid w:val="007E3931"/>
    <w:rsid w:val="007E5167"/>
    <w:rsid w:val="007F08DC"/>
    <w:rsid w:val="007F0F93"/>
    <w:rsid w:val="007F36A7"/>
    <w:rsid w:val="00807A67"/>
    <w:rsid w:val="00810193"/>
    <w:rsid w:val="008102FF"/>
    <w:rsid w:val="00811109"/>
    <w:rsid w:val="00820AEA"/>
    <w:rsid w:val="00820EB0"/>
    <w:rsid w:val="008210F5"/>
    <w:rsid w:val="0082226F"/>
    <w:rsid w:val="008252D7"/>
    <w:rsid w:val="0082667E"/>
    <w:rsid w:val="008348CE"/>
    <w:rsid w:val="00835816"/>
    <w:rsid w:val="00843A03"/>
    <w:rsid w:val="00844AFE"/>
    <w:rsid w:val="008505E9"/>
    <w:rsid w:val="0085182C"/>
    <w:rsid w:val="00851D97"/>
    <w:rsid w:val="008559E6"/>
    <w:rsid w:val="008629CE"/>
    <w:rsid w:val="00864996"/>
    <w:rsid w:val="00864AEB"/>
    <w:rsid w:val="00864D04"/>
    <w:rsid w:val="0086568F"/>
    <w:rsid w:val="0086766E"/>
    <w:rsid w:val="00871BBA"/>
    <w:rsid w:val="008730FC"/>
    <w:rsid w:val="00874259"/>
    <w:rsid w:val="00876831"/>
    <w:rsid w:val="00877E96"/>
    <w:rsid w:val="00877F90"/>
    <w:rsid w:val="008801B5"/>
    <w:rsid w:val="00881B28"/>
    <w:rsid w:val="008847F9"/>
    <w:rsid w:val="00884EC2"/>
    <w:rsid w:val="008873CE"/>
    <w:rsid w:val="008926B8"/>
    <w:rsid w:val="00896C43"/>
    <w:rsid w:val="008A64B6"/>
    <w:rsid w:val="008B29C4"/>
    <w:rsid w:val="008B419A"/>
    <w:rsid w:val="008B6B77"/>
    <w:rsid w:val="008B6CFE"/>
    <w:rsid w:val="008C1BBA"/>
    <w:rsid w:val="008C46ED"/>
    <w:rsid w:val="008C4D16"/>
    <w:rsid w:val="008C4F72"/>
    <w:rsid w:val="008C7E3E"/>
    <w:rsid w:val="008D02DB"/>
    <w:rsid w:val="008D1512"/>
    <w:rsid w:val="008D1B7F"/>
    <w:rsid w:val="008D3994"/>
    <w:rsid w:val="008E0CD4"/>
    <w:rsid w:val="008E578D"/>
    <w:rsid w:val="008F216D"/>
    <w:rsid w:val="008F6412"/>
    <w:rsid w:val="008F7CC5"/>
    <w:rsid w:val="008F7D45"/>
    <w:rsid w:val="00907754"/>
    <w:rsid w:val="00911DC8"/>
    <w:rsid w:val="00916690"/>
    <w:rsid w:val="00916E78"/>
    <w:rsid w:val="009179AE"/>
    <w:rsid w:val="00920A58"/>
    <w:rsid w:val="00922092"/>
    <w:rsid w:val="00922122"/>
    <w:rsid w:val="00924D2B"/>
    <w:rsid w:val="00926A32"/>
    <w:rsid w:val="00927BE8"/>
    <w:rsid w:val="00932EFE"/>
    <w:rsid w:val="00934E6B"/>
    <w:rsid w:val="00935B28"/>
    <w:rsid w:val="00943DDE"/>
    <w:rsid w:val="0095009D"/>
    <w:rsid w:val="0095103C"/>
    <w:rsid w:val="009544E4"/>
    <w:rsid w:val="00954AD6"/>
    <w:rsid w:val="00954B45"/>
    <w:rsid w:val="00955379"/>
    <w:rsid w:val="00957818"/>
    <w:rsid w:val="00965F5C"/>
    <w:rsid w:val="009664DA"/>
    <w:rsid w:val="0096659D"/>
    <w:rsid w:val="00966654"/>
    <w:rsid w:val="00970D6D"/>
    <w:rsid w:val="009716CC"/>
    <w:rsid w:val="00972760"/>
    <w:rsid w:val="009745AC"/>
    <w:rsid w:val="009756A1"/>
    <w:rsid w:val="00976D84"/>
    <w:rsid w:val="00980F88"/>
    <w:rsid w:val="009818AC"/>
    <w:rsid w:val="00982E5A"/>
    <w:rsid w:val="0098603A"/>
    <w:rsid w:val="0098774A"/>
    <w:rsid w:val="00993672"/>
    <w:rsid w:val="00993DF4"/>
    <w:rsid w:val="009963AA"/>
    <w:rsid w:val="00996485"/>
    <w:rsid w:val="009964CE"/>
    <w:rsid w:val="009A3A05"/>
    <w:rsid w:val="009A5DDF"/>
    <w:rsid w:val="009B141B"/>
    <w:rsid w:val="009B14FC"/>
    <w:rsid w:val="009B35E0"/>
    <w:rsid w:val="009B5E39"/>
    <w:rsid w:val="009C2E16"/>
    <w:rsid w:val="009C4041"/>
    <w:rsid w:val="009C41F7"/>
    <w:rsid w:val="009C5085"/>
    <w:rsid w:val="009D0617"/>
    <w:rsid w:val="009D127B"/>
    <w:rsid w:val="009D19F7"/>
    <w:rsid w:val="009D2ACE"/>
    <w:rsid w:val="009D2B18"/>
    <w:rsid w:val="009D43B4"/>
    <w:rsid w:val="009E1D05"/>
    <w:rsid w:val="009E60E6"/>
    <w:rsid w:val="009E6D97"/>
    <w:rsid w:val="009E787D"/>
    <w:rsid w:val="009F247D"/>
    <w:rsid w:val="00A03759"/>
    <w:rsid w:val="00A03B64"/>
    <w:rsid w:val="00A04F46"/>
    <w:rsid w:val="00A1039E"/>
    <w:rsid w:val="00A14C27"/>
    <w:rsid w:val="00A17A99"/>
    <w:rsid w:val="00A207C2"/>
    <w:rsid w:val="00A21896"/>
    <w:rsid w:val="00A22079"/>
    <w:rsid w:val="00A222B9"/>
    <w:rsid w:val="00A2399E"/>
    <w:rsid w:val="00A2664B"/>
    <w:rsid w:val="00A26915"/>
    <w:rsid w:val="00A26925"/>
    <w:rsid w:val="00A269BA"/>
    <w:rsid w:val="00A352D6"/>
    <w:rsid w:val="00A3650D"/>
    <w:rsid w:val="00A3724D"/>
    <w:rsid w:val="00A40678"/>
    <w:rsid w:val="00A448AC"/>
    <w:rsid w:val="00A57A44"/>
    <w:rsid w:val="00A636A8"/>
    <w:rsid w:val="00A64D97"/>
    <w:rsid w:val="00A656F2"/>
    <w:rsid w:val="00A67D06"/>
    <w:rsid w:val="00A70EB0"/>
    <w:rsid w:val="00A72FB9"/>
    <w:rsid w:val="00A814E8"/>
    <w:rsid w:val="00A81FB8"/>
    <w:rsid w:val="00A82F94"/>
    <w:rsid w:val="00A8544E"/>
    <w:rsid w:val="00A85C57"/>
    <w:rsid w:val="00A87504"/>
    <w:rsid w:val="00A91356"/>
    <w:rsid w:val="00A9260B"/>
    <w:rsid w:val="00A96293"/>
    <w:rsid w:val="00AA121B"/>
    <w:rsid w:val="00AA2B99"/>
    <w:rsid w:val="00AA43BA"/>
    <w:rsid w:val="00AA67A9"/>
    <w:rsid w:val="00AA75F4"/>
    <w:rsid w:val="00AA7C3D"/>
    <w:rsid w:val="00AB2A22"/>
    <w:rsid w:val="00AB4E9B"/>
    <w:rsid w:val="00AB538C"/>
    <w:rsid w:val="00AB55E1"/>
    <w:rsid w:val="00AB78AB"/>
    <w:rsid w:val="00AC1033"/>
    <w:rsid w:val="00AC16E0"/>
    <w:rsid w:val="00AC170A"/>
    <w:rsid w:val="00AC78E7"/>
    <w:rsid w:val="00AD02B1"/>
    <w:rsid w:val="00AD05D7"/>
    <w:rsid w:val="00AD11AD"/>
    <w:rsid w:val="00AD7796"/>
    <w:rsid w:val="00AE050C"/>
    <w:rsid w:val="00AE0847"/>
    <w:rsid w:val="00AE19CF"/>
    <w:rsid w:val="00AE214C"/>
    <w:rsid w:val="00AE3DD6"/>
    <w:rsid w:val="00AE6682"/>
    <w:rsid w:val="00B023D2"/>
    <w:rsid w:val="00B04141"/>
    <w:rsid w:val="00B060E8"/>
    <w:rsid w:val="00B06508"/>
    <w:rsid w:val="00B10294"/>
    <w:rsid w:val="00B10E2E"/>
    <w:rsid w:val="00B12397"/>
    <w:rsid w:val="00B164C0"/>
    <w:rsid w:val="00B20F99"/>
    <w:rsid w:val="00B243BE"/>
    <w:rsid w:val="00B26DAC"/>
    <w:rsid w:val="00B27366"/>
    <w:rsid w:val="00B309E4"/>
    <w:rsid w:val="00B3459A"/>
    <w:rsid w:val="00B3574A"/>
    <w:rsid w:val="00B3728F"/>
    <w:rsid w:val="00B414F2"/>
    <w:rsid w:val="00B42681"/>
    <w:rsid w:val="00B45C5B"/>
    <w:rsid w:val="00B5039A"/>
    <w:rsid w:val="00B5071B"/>
    <w:rsid w:val="00B542B9"/>
    <w:rsid w:val="00B55841"/>
    <w:rsid w:val="00B56F81"/>
    <w:rsid w:val="00B63BB1"/>
    <w:rsid w:val="00B65460"/>
    <w:rsid w:val="00B65EAF"/>
    <w:rsid w:val="00B70B3C"/>
    <w:rsid w:val="00B70C78"/>
    <w:rsid w:val="00B75760"/>
    <w:rsid w:val="00B816CD"/>
    <w:rsid w:val="00B81C78"/>
    <w:rsid w:val="00B821B8"/>
    <w:rsid w:val="00B83E47"/>
    <w:rsid w:val="00B908BB"/>
    <w:rsid w:val="00B94570"/>
    <w:rsid w:val="00B95855"/>
    <w:rsid w:val="00BA0222"/>
    <w:rsid w:val="00BA3A59"/>
    <w:rsid w:val="00BA3B30"/>
    <w:rsid w:val="00BA5AB1"/>
    <w:rsid w:val="00BA6758"/>
    <w:rsid w:val="00BB2DDD"/>
    <w:rsid w:val="00BB367F"/>
    <w:rsid w:val="00BB4D05"/>
    <w:rsid w:val="00BB6B3E"/>
    <w:rsid w:val="00BC42C2"/>
    <w:rsid w:val="00BC61B0"/>
    <w:rsid w:val="00BD2FE4"/>
    <w:rsid w:val="00BD30AE"/>
    <w:rsid w:val="00BE1A36"/>
    <w:rsid w:val="00BE2ADC"/>
    <w:rsid w:val="00BF162C"/>
    <w:rsid w:val="00BF1A85"/>
    <w:rsid w:val="00BF21A1"/>
    <w:rsid w:val="00BF5454"/>
    <w:rsid w:val="00BF7C53"/>
    <w:rsid w:val="00C0166E"/>
    <w:rsid w:val="00C030CD"/>
    <w:rsid w:val="00C049BC"/>
    <w:rsid w:val="00C04C06"/>
    <w:rsid w:val="00C1163F"/>
    <w:rsid w:val="00C12207"/>
    <w:rsid w:val="00C1419F"/>
    <w:rsid w:val="00C152CF"/>
    <w:rsid w:val="00C1752D"/>
    <w:rsid w:val="00C21FC5"/>
    <w:rsid w:val="00C3268B"/>
    <w:rsid w:val="00C3269D"/>
    <w:rsid w:val="00C328E4"/>
    <w:rsid w:val="00C33107"/>
    <w:rsid w:val="00C35A71"/>
    <w:rsid w:val="00C36EB7"/>
    <w:rsid w:val="00C374BC"/>
    <w:rsid w:val="00C42E4B"/>
    <w:rsid w:val="00C467FF"/>
    <w:rsid w:val="00C50B67"/>
    <w:rsid w:val="00C572FD"/>
    <w:rsid w:val="00C57CFC"/>
    <w:rsid w:val="00C6092F"/>
    <w:rsid w:val="00C621AB"/>
    <w:rsid w:val="00C63A25"/>
    <w:rsid w:val="00C641B2"/>
    <w:rsid w:val="00C6606B"/>
    <w:rsid w:val="00C669DB"/>
    <w:rsid w:val="00C6740E"/>
    <w:rsid w:val="00C74797"/>
    <w:rsid w:val="00C7712E"/>
    <w:rsid w:val="00C80961"/>
    <w:rsid w:val="00C80A4C"/>
    <w:rsid w:val="00C82679"/>
    <w:rsid w:val="00C84EBA"/>
    <w:rsid w:val="00CA07D2"/>
    <w:rsid w:val="00CA21FB"/>
    <w:rsid w:val="00CA3C46"/>
    <w:rsid w:val="00CA600E"/>
    <w:rsid w:val="00CA6A9A"/>
    <w:rsid w:val="00CB0178"/>
    <w:rsid w:val="00CB49BE"/>
    <w:rsid w:val="00CB79A2"/>
    <w:rsid w:val="00CC112F"/>
    <w:rsid w:val="00CC30AC"/>
    <w:rsid w:val="00CC3B45"/>
    <w:rsid w:val="00CC4FEA"/>
    <w:rsid w:val="00CC607C"/>
    <w:rsid w:val="00CC641D"/>
    <w:rsid w:val="00CD76EA"/>
    <w:rsid w:val="00CD7CE9"/>
    <w:rsid w:val="00CE39C2"/>
    <w:rsid w:val="00CE4CF9"/>
    <w:rsid w:val="00CE7AD8"/>
    <w:rsid w:val="00CF0606"/>
    <w:rsid w:val="00CF0A73"/>
    <w:rsid w:val="00CF0F7F"/>
    <w:rsid w:val="00CF13D0"/>
    <w:rsid w:val="00CF1753"/>
    <w:rsid w:val="00CF39A8"/>
    <w:rsid w:val="00CF3D45"/>
    <w:rsid w:val="00CF4942"/>
    <w:rsid w:val="00CF533D"/>
    <w:rsid w:val="00CF755B"/>
    <w:rsid w:val="00D00297"/>
    <w:rsid w:val="00D01923"/>
    <w:rsid w:val="00D04CD9"/>
    <w:rsid w:val="00D10F3D"/>
    <w:rsid w:val="00D11D14"/>
    <w:rsid w:val="00D1355F"/>
    <w:rsid w:val="00D14536"/>
    <w:rsid w:val="00D157CA"/>
    <w:rsid w:val="00D1747C"/>
    <w:rsid w:val="00D2298F"/>
    <w:rsid w:val="00D257ED"/>
    <w:rsid w:val="00D25C23"/>
    <w:rsid w:val="00D25DA2"/>
    <w:rsid w:val="00D309F3"/>
    <w:rsid w:val="00D30DC2"/>
    <w:rsid w:val="00D30E7C"/>
    <w:rsid w:val="00D32565"/>
    <w:rsid w:val="00D32800"/>
    <w:rsid w:val="00D41090"/>
    <w:rsid w:val="00D43F27"/>
    <w:rsid w:val="00D4682C"/>
    <w:rsid w:val="00D47185"/>
    <w:rsid w:val="00D50630"/>
    <w:rsid w:val="00D51944"/>
    <w:rsid w:val="00D55548"/>
    <w:rsid w:val="00D55561"/>
    <w:rsid w:val="00D57FEE"/>
    <w:rsid w:val="00D61797"/>
    <w:rsid w:val="00D665D1"/>
    <w:rsid w:val="00D710F0"/>
    <w:rsid w:val="00D713B6"/>
    <w:rsid w:val="00D72095"/>
    <w:rsid w:val="00D74117"/>
    <w:rsid w:val="00D75071"/>
    <w:rsid w:val="00D76222"/>
    <w:rsid w:val="00D80261"/>
    <w:rsid w:val="00D80344"/>
    <w:rsid w:val="00D81109"/>
    <w:rsid w:val="00D87F39"/>
    <w:rsid w:val="00D90879"/>
    <w:rsid w:val="00D911BA"/>
    <w:rsid w:val="00D96E06"/>
    <w:rsid w:val="00DA5621"/>
    <w:rsid w:val="00DA7CAF"/>
    <w:rsid w:val="00DB3626"/>
    <w:rsid w:val="00DC0338"/>
    <w:rsid w:val="00DC1486"/>
    <w:rsid w:val="00DC7ADC"/>
    <w:rsid w:val="00DC7EE0"/>
    <w:rsid w:val="00DD33AE"/>
    <w:rsid w:val="00DD68DE"/>
    <w:rsid w:val="00DE0325"/>
    <w:rsid w:val="00DE3AA2"/>
    <w:rsid w:val="00DE4BEA"/>
    <w:rsid w:val="00DE5AFB"/>
    <w:rsid w:val="00DF0CCD"/>
    <w:rsid w:val="00DF1743"/>
    <w:rsid w:val="00DF1CE3"/>
    <w:rsid w:val="00DF3A10"/>
    <w:rsid w:val="00DF4E19"/>
    <w:rsid w:val="00DF6441"/>
    <w:rsid w:val="00DF7C92"/>
    <w:rsid w:val="00E00AF4"/>
    <w:rsid w:val="00E00C83"/>
    <w:rsid w:val="00E01D20"/>
    <w:rsid w:val="00E03C00"/>
    <w:rsid w:val="00E053E4"/>
    <w:rsid w:val="00E05616"/>
    <w:rsid w:val="00E10ACB"/>
    <w:rsid w:val="00E11C81"/>
    <w:rsid w:val="00E1325D"/>
    <w:rsid w:val="00E14899"/>
    <w:rsid w:val="00E15FF5"/>
    <w:rsid w:val="00E20F82"/>
    <w:rsid w:val="00E2281D"/>
    <w:rsid w:val="00E246E3"/>
    <w:rsid w:val="00E259DB"/>
    <w:rsid w:val="00E25A6B"/>
    <w:rsid w:val="00E27F25"/>
    <w:rsid w:val="00E307A7"/>
    <w:rsid w:val="00E32BE1"/>
    <w:rsid w:val="00E35FFA"/>
    <w:rsid w:val="00E37AC0"/>
    <w:rsid w:val="00E4321F"/>
    <w:rsid w:val="00E439C1"/>
    <w:rsid w:val="00E44F6B"/>
    <w:rsid w:val="00E519D8"/>
    <w:rsid w:val="00E5429F"/>
    <w:rsid w:val="00E6172B"/>
    <w:rsid w:val="00E62BA9"/>
    <w:rsid w:val="00E637AF"/>
    <w:rsid w:val="00E66788"/>
    <w:rsid w:val="00E66C0D"/>
    <w:rsid w:val="00E70C1D"/>
    <w:rsid w:val="00E70D10"/>
    <w:rsid w:val="00E70E55"/>
    <w:rsid w:val="00E71321"/>
    <w:rsid w:val="00E71347"/>
    <w:rsid w:val="00E717BE"/>
    <w:rsid w:val="00E72EA3"/>
    <w:rsid w:val="00E72EB7"/>
    <w:rsid w:val="00E76319"/>
    <w:rsid w:val="00E769A0"/>
    <w:rsid w:val="00E77064"/>
    <w:rsid w:val="00E77351"/>
    <w:rsid w:val="00E84726"/>
    <w:rsid w:val="00E85CFF"/>
    <w:rsid w:val="00E9001D"/>
    <w:rsid w:val="00E916C4"/>
    <w:rsid w:val="00E95BBC"/>
    <w:rsid w:val="00E96987"/>
    <w:rsid w:val="00E97E8F"/>
    <w:rsid w:val="00EA1612"/>
    <w:rsid w:val="00EA257F"/>
    <w:rsid w:val="00EA6654"/>
    <w:rsid w:val="00EA77E0"/>
    <w:rsid w:val="00EB0450"/>
    <w:rsid w:val="00EB1077"/>
    <w:rsid w:val="00EB4483"/>
    <w:rsid w:val="00EB4C3C"/>
    <w:rsid w:val="00EB604B"/>
    <w:rsid w:val="00EC07E6"/>
    <w:rsid w:val="00EC16CD"/>
    <w:rsid w:val="00EC3234"/>
    <w:rsid w:val="00EC64CE"/>
    <w:rsid w:val="00ED2CCD"/>
    <w:rsid w:val="00ED37E1"/>
    <w:rsid w:val="00ED4D28"/>
    <w:rsid w:val="00EE0927"/>
    <w:rsid w:val="00EE0C62"/>
    <w:rsid w:val="00EE1C08"/>
    <w:rsid w:val="00EE33C5"/>
    <w:rsid w:val="00EE4597"/>
    <w:rsid w:val="00EE7020"/>
    <w:rsid w:val="00EF196B"/>
    <w:rsid w:val="00F01297"/>
    <w:rsid w:val="00F01B7F"/>
    <w:rsid w:val="00F01BDE"/>
    <w:rsid w:val="00F021F2"/>
    <w:rsid w:val="00F03823"/>
    <w:rsid w:val="00F06084"/>
    <w:rsid w:val="00F0688F"/>
    <w:rsid w:val="00F07BFD"/>
    <w:rsid w:val="00F10832"/>
    <w:rsid w:val="00F12238"/>
    <w:rsid w:val="00F13FAB"/>
    <w:rsid w:val="00F14781"/>
    <w:rsid w:val="00F15562"/>
    <w:rsid w:val="00F208CA"/>
    <w:rsid w:val="00F21A9C"/>
    <w:rsid w:val="00F2203F"/>
    <w:rsid w:val="00F229E6"/>
    <w:rsid w:val="00F253B8"/>
    <w:rsid w:val="00F3072F"/>
    <w:rsid w:val="00F3205F"/>
    <w:rsid w:val="00F321E4"/>
    <w:rsid w:val="00F3395D"/>
    <w:rsid w:val="00F35689"/>
    <w:rsid w:val="00F43806"/>
    <w:rsid w:val="00F43D5D"/>
    <w:rsid w:val="00F44253"/>
    <w:rsid w:val="00F448C6"/>
    <w:rsid w:val="00F530B1"/>
    <w:rsid w:val="00F60252"/>
    <w:rsid w:val="00F60C28"/>
    <w:rsid w:val="00F61DCE"/>
    <w:rsid w:val="00F62578"/>
    <w:rsid w:val="00F64423"/>
    <w:rsid w:val="00F66046"/>
    <w:rsid w:val="00F66208"/>
    <w:rsid w:val="00F66C49"/>
    <w:rsid w:val="00F671CF"/>
    <w:rsid w:val="00F74F19"/>
    <w:rsid w:val="00F75568"/>
    <w:rsid w:val="00F77CBF"/>
    <w:rsid w:val="00F814E2"/>
    <w:rsid w:val="00F81976"/>
    <w:rsid w:val="00F853A6"/>
    <w:rsid w:val="00F93CF0"/>
    <w:rsid w:val="00F97B03"/>
    <w:rsid w:val="00FA1E86"/>
    <w:rsid w:val="00FA2CBE"/>
    <w:rsid w:val="00FA5ADC"/>
    <w:rsid w:val="00FA6966"/>
    <w:rsid w:val="00FA7074"/>
    <w:rsid w:val="00FB1448"/>
    <w:rsid w:val="00FB27C8"/>
    <w:rsid w:val="00FB38F5"/>
    <w:rsid w:val="00FB3FDC"/>
    <w:rsid w:val="00FB53CD"/>
    <w:rsid w:val="00FB6ABA"/>
    <w:rsid w:val="00FC1755"/>
    <w:rsid w:val="00FC2CB6"/>
    <w:rsid w:val="00FC6C5D"/>
    <w:rsid w:val="00FC76D6"/>
    <w:rsid w:val="00FC7887"/>
    <w:rsid w:val="00FD4834"/>
    <w:rsid w:val="00FD5AAF"/>
    <w:rsid w:val="00FD71C3"/>
    <w:rsid w:val="00FE14D1"/>
    <w:rsid w:val="00FE5B98"/>
    <w:rsid w:val="00FE69C7"/>
    <w:rsid w:val="00FE7C4C"/>
    <w:rsid w:val="00FF1062"/>
    <w:rsid w:val="00FF2138"/>
    <w:rsid w:val="00FF706F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D3CC37B"/>
  <w15:chartTrackingRefBased/>
  <w15:docId w15:val="{15235F07-F6E4-4B66-ACFE-7934D616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4B4C"/>
    <w:pPr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4B4C"/>
    <w:rPr>
      <w:color w:val="0000FF"/>
      <w:u w:val="single"/>
    </w:rPr>
  </w:style>
  <w:style w:type="paragraph" w:customStyle="1" w:styleId="Tabletext">
    <w:name w:val="Table text"/>
    <w:qFormat/>
    <w:rsid w:val="00084B4C"/>
    <w:pPr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abfigtitle">
    <w:name w:val="tab/fig title"/>
    <w:basedOn w:val="Normal"/>
    <w:rsid w:val="00084B4C"/>
    <w:pPr>
      <w:keepNext/>
      <w:keepLines/>
      <w:spacing w:before="120" w:line="480" w:lineRule="auto"/>
      <w:outlineLvl w:val="1"/>
    </w:pPr>
    <w:rPr>
      <w:rFonts w:ascii="Arial" w:hAnsi="Arial"/>
      <w:b/>
    </w:rPr>
  </w:style>
  <w:style w:type="paragraph" w:customStyle="1" w:styleId="Tableheadings">
    <w:name w:val="Table headings"/>
    <w:basedOn w:val="Normal"/>
    <w:rsid w:val="00084B4C"/>
    <w:pPr>
      <w:spacing w:before="40" w:line="360" w:lineRule="auto"/>
      <w:jc w:val="center"/>
    </w:pPr>
    <w:rPr>
      <w:rFonts w:ascii="Arial Bold" w:hAnsi="Arial Bold"/>
      <w:b/>
      <w:sz w:val="20"/>
    </w:rPr>
  </w:style>
  <w:style w:type="paragraph" w:customStyle="1" w:styleId="tabfignote">
    <w:name w:val="tab/fig note"/>
    <w:link w:val="tabfignoteChar"/>
    <w:qFormat/>
    <w:rsid w:val="00084B4C"/>
    <w:pPr>
      <w:keepLines/>
      <w:spacing w:before="120" w:after="0" w:line="36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tabfignoteChar">
    <w:name w:val="tab/fig note Char"/>
    <w:basedOn w:val="DefaultParagraphFont"/>
    <w:link w:val="tabfignote"/>
    <w:locked/>
    <w:rsid w:val="00084B4C"/>
    <w:rPr>
      <w:rFonts w:ascii="Arial" w:eastAsia="Times New Roman" w:hAnsi="Arial" w:cs="Times New Roman"/>
      <w:sz w:val="18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C4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C41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C41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1F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64D04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864D04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854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4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854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4E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C50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150.statcan.gc.ca/n1/pub/82-625-x/2017001/article/54858-eng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ormulary.health.gov.on.ca/formulary/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ontario.ca/data/ontario-case-costing-initiative-occi.49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health.gov.on.ca/en/pro/programs/ohip/sob/physserv/sob_master20200306.pd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DB230D-06D4-4C7A-A196-12A455601C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3005A-9878-484E-99FF-BDADD3B3E79B}"/>
</file>

<file path=customXml/itemProps3.xml><?xml version="1.0" encoding="utf-8"?>
<ds:datastoreItem xmlns:ds="http://schemas.openxmlformats.org/officeDocument/2006/customXml" ds:itemID="{EC81F977-7F31-4BB8-AE91-3D5F4F4F4A1E}"/>
</file>

<file path=customXml/itemProps4.xml><?xml version="1.0" encoding="utf-8"?>
<ds:datastoreItem xmlns:ds="http://schemas.openxmlformats.org/officeDocument/2006/customXml" ds:itemID="{85BB05C4-2C79-4B77-995A-DD9E3B3E93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Samsell</dc:creator>
  <cp:keywords/>
  <dc:description/>
  <cp:lastModifiedBy>Thadani, Lavina</cp:lastModifiedBy>
  <cp:revision>2</cp:revision>
  <dcterms:created xsi:type="dcterms:W3CDTF">2021-11-01T21:12:00Z</dcterms:created>
  <dcterms:modified xsi:type="dcterms:W3CDTF">2021-11-01T21:12:00Z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2021-08-24T05:57:03Z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a9dafc9a-398f-4186-af5f-1dd0779ee136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0x010100B689D60CD2ED204EAFDAF0E3751CDEB7</vt:lpwstr>
  </property>
</Properties>
</file>