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D406" w14:textId="77777777" w:rsidR="00DD7BEB" w:rsidRPr="00B11A53" w:rsidRDefault="00DD7BEB" w:rsidP="00DD7BEB">
      <w:pPr>
        <w:pStyle w:val="Caption"/>
        <w:keepNext/>
        <w:rPr>
          <w:color w:val="000000"/>
          <w:lang w:val="en-US"/>
        </w:rPr>
      </w:pPr>
      <w:r w:rsidRPr="00B11A53">
        <w:rPr>
          <w:color w:val="000000"/>
          <w:lang w:val="en-US"/>
        </w:rPr>
        <w:t xml:space="preserve">Supplemental Table </w:t>
      </w:r>
      <w:r w:rsidRPr="00B11A53">
        <w:rPr>
          <w:color w:val="000000"/>
          <w:lang w:val="en-US"/>
        </w:rPr>
        <w:fldChar w:fldCharType="begin"/>
      </w:r>
      <w:r w:rsidRPr="00B11A53">
        <w:rPr>
          <w:color w:val="000000"/>
          <w:lang w:val="en-US"/>
        </w:rPr>
        <w:instrText xml:space="preserve"> SEQ Supplemental_Table \* ARABIC </w:instrText>
      </w:r>
      <w:r w:rsidRPr="00B11A53">
        <w:rPr>
          <w:color w:val="000000"/>
          <w:lang w:val="en-US"/>
        </w:rPr>
        <w:fldChar w:fldCharType="separate"/>
      </w:r>
      <w:r w:rsidRPr="00B11A53">
        <w:rPr>
          <w:color w:val="000000"/>
          <w:lang w:val="en-US"/>
        </w:rPr>
        <w:t>1</w:t>
      </w:r>
      <w:r w:rsidRPr="00B11A53">
        <w:rPr>
          <w:color w:val="000000"/>
          <w:lang w:val="en-US"/>
        </w:rPr>
        <w:fldChar w:fldCharType="end"/>
      </w:r>
      <w:r w:rsidRPr="00B11A53">
        <w:rPr>
          <w:color w:val="000000"/>
          <w:lang w:val="en-US"/>
        </w:rPr>
        <w:t>: Variables included in the propensity score estimation</w:t>
      </w:r>
    </w:p>
    <w:tbl>
      <w:tblPr>
        <w:tblStyle w:val="TableGrid"/>
        <w:tblpPr w:leftFromText="180" w:rightFromText="180" w:vertAnchor="page" w:horzAnchor="margin" w:tblpY="1994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7"/>
      </w:tblGrid>
      <w:tr w:rsidR="00DD7BEB" w:rsidRPr="00B11A53" w14:paraId="45675375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1E5BBED" w14:textId="77777777" w:rsidR="00DD7BEB" w:rsidRPr="00B11A53" w:rsidRDefault="00DD7BEB" w:rsidP="00A26B02">
            <w:pPr>
              <w:rPr>
                <w:b/>
                <w:bCs/>
                <w:color w:val="000000"/>
                <w:lang w:val="en-US"/>
              </w:rPr>
            </w:pPr>
            <w:r w:rsidRPr="00B11A53">
              <w:rPr>
                <w:b/>
                <w:bCs/>
                <w:color w:val="000000"/>
                <w:lang w:val="en-US"/>
              </w:rPr>
              <w:t>Variables</w:t>
            </w:r>
            <w:r w:rsidRPr="00B11A53">
              <w:rPr>
                <w:color w:val="000000"/>
                <w:lang w:val="en-US"/>
              </w:rPr>
              <w:t xml:space="preserve"> </w:t>
            </w:r>
            <w:r w:rsidRPr="00B11A53">
              <w:rPr>
                <w:b/>
                <w:bCs/>
                <w:color w:val="000000"/>
                <w:lang w:val="en-US"/>
              </w:rPr>
              <w:t xml:space="preserve">assessed in the 12-month baseline period that were considered in the PSM   </w:t>
            </w:r>
          </w:p>
        </w:tc>
      </w:tr>
      <w:tr w:rsidR="00DD7BEB" w:rsidRPr="00B11A53" w14:paraId="28BB21CD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7F9799C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Age at index date</w:t>
            </w:r>
          </w:p>
        </w:tc>
      </w:tr>
      <w:tr w:rsidR="00DD7BEB" w:rsidRPr="00B11A53" w14:paraId="3047DFBD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2E0C7DEE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Gender</w:t>
            </w:r>
          </w:p>
        </w:tc>
      </w:tr>
      <w:tr w:rsidR="00DD7BEB" w:rsidRPr="00B11A53" w14:paraId="6E29D91E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05F2C0D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Charlson Comorbidity Index</w:t>
            </w:r>
          </w:p>
        </w:tc>
      </w:tr>
      <w:tr w:rsidR="00DD7BEB" w:rsidRPr="00B11A53" w14:paraId="53EEBFD9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67B5167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CHA</w:t>
            </w:r>
            <w:r w:rsidRPr="00B11A53">
              <w:rPr>
                <w:rFonts w:cstheme="minorHAnsi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DS</w:t>
            </w:r>
            <w:r w:rsidRPr="00B11A53">
              <w:rPr>
                <w:rFonts w:cstheme="minorHAnsi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-VASc Score</w:t>
            </w:r>
          </w:p>
        </w:tc>
      </w:tr>
      <w:tr w:rsidR="00DD7BEB" w:rsidRPr="00B11A53" w14:paraId="614352B3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942C319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Top 5 most frequently observed comorbidities that are not covered by the CCI/CHA</w:t>
            </w:r>
            <w:r w:rsidRPr="00B11A53">
              <w:rPr>
                <w:rFonts w:cstheme="minorHAnsi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DS</w:t>
            </w:r>
            <w:r w:rsidRPr="00B11A53">
              <w:rPr>
                <w:rFonts w:cstheme="minorHAnsi"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-VASc (each comorbidity as separate variable)</w:t>
            </w:r>
          </w:p>
        </w:tc>
      </w:tr>
      <w:tr w:rsidR="00DD7BEB" w:rsidRPr="00B11A53" w14:paraId="1B3757D1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6EC874D7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Level of care</w:t>
            </w:r>
          </w:p>
        </w:tc>
      </w:tr>
      <w:tr w:rsidR="00DD7BEB" w:rsidRPr="00B11A53" w14:paraId="24E56856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5309C35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prescribed medications (counting each agent – ATC code level 5 – with at least two prescriptions)</w:t>
            </w:r>
          </w:p>
        </w:tc>
      </w:tr>
      <w:tr w:rsidR="00DD7BEB" w:rsidRPr="00B11A53" w14:paraId="2DA44A42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0FE05EDF" w14:textId="77777777" w:rsidR="00DD7BEB" w:rsidRPr="00B11A53" w:rsidRDefault="00DD7BEB" w:rsidP="00A26B02">
            <w:pPr>
              <w:rPr>
                <w:color w:val="000000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GP visits</w:t>
            </w:r>
          </w:p>
        </w:tc>
      </w:tr>
      <w:tr w:rsidR="00DD7BEB" w:rsidRPr="00B11A53" w14:paraId="27CF759A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12C19721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specialist visits</w:t>
            </w:r>
          </w:p>
        </w:tc>
      </w:tr>
      <w:tr w:rsidR="00DD7BEB" w:rsidRPr="00B11A53" w14:paraId="7F7F4B28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CDF59A7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antihypertensive agents (Y/N; ATC codes C02-, C03-, C07-C09-, C10BX-, C06A- with at least two prescriptions)</w:t>
            </w:r>
          </w:p>
        </w:tc>
      </w:tr>
      <w:tr w:rsidR="00DD7BEB" w:rsidRPr="00B11A53" w14:paraId="4EB2146C" w14:textId="77777777" w:rsidTr="00A26B02"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51734886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oral antidiabetic agents (Y/N; ATC codes A10B-, A10X- with at least two prescriptions)</w:t>
            </w:r>
          </w:p>
        </w:tc>
      </w:tr>
      <w:tr w:rsidR="00DD7BEB" w:rsidRPr="00B11A53" w14:paraId="70CFD75C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20C6419D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insulin (Y/N; ATC codes A10A- with at least two prescriptions )</w:t>
            </w:r>
          </w:p>
        </w:tc>
      </w:tr>
      <w:tr w:rsidR="00DD7BEB" w:rsidRPr="00B11A53" w14:paraId="5850A5F2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7085CE85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antiarrhythmic agents (Y/N; ATC codes C08-, C01B-, C07A- with at least two prescriptions)</w:t>
            </w:r>
          </w:p>
        </w:tc>
      </w:tr>
      <w:tr w:rsidR="00DD7BEB" w:rsidRPr="00B11A53" w14:paraId="465A26C8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28FB28D4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</w:t>
            </w:r>
            <w:r w:rsidRPr="00B11A53">
              <w:rPr>
                <w:color w:val="000000"/>
                <w:lang w:val="en-US"/>
              </w:rPr>
              <w:t xml:space="preserve"> 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nonsteroidal anti-inflammatory drugs (Y/N; ATC codes M01-, N02- with at least two prescriptions)</w:t>
            </w:r>
          </w:p>
        </w:tc>
      </w:tr>
      <w:tr w:rsidR="00DD7BEB" w:rsidRPr="00B11A53" w14:paraId="776B53EE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0B8E915D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antiplatelets (Y/N; ATC codes B01AC- with at least two prescriptions)</w:t>
            </w:r>
          </w:p>
        </w:tc>
      </w:tr>
      <w:tr w:rsidR="00DD7BEB" w:rsidRPr="00B11A53" w14:paraId="1FCF4D33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6B7FC5AC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</w:t>
            </w:r>
            <w:r w:rsidRPr="00B11A53">
              <w:rPr>
                <w:color w:val="000000"/>
                <w:lang w:val="en-US"/>
              </w:rPr>
              <w:t xml:space="preserve"> </w:t>
            </w: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lipid lowering agents (Y/N; ATC codes C10- with at least two prescriptions)</w:t>
            </w:r>
          </w:p>
        </w:tc>
      </w:tr>
      <w:tr w:rsidR="00DD7BEB" w:rsidRPr="00B11A53" w14:paraId="712E4D3D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6ED15ECA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drugs for peptic ulcer and GORD (Y/N; ATC codes A02B- with at least two prescriptions)</w:t>
            </w:r>
          </w:p>
        </w:tc>
      </w:tr>
      <w:tr w:rsidR="00DD7BEB" w:rsidRPr="00B11A53" w14:paraId="363EFDBF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1855FFB2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cardiac glycosides (Y/N; ATC codes C01A- with at least two prescriptions)</w:t>
            </w:r>
          </w:p>
        </w:tc>
      </w:tr>
      <w:tr w:rsidR="00DD7BEB" w:rsidRPr="00B11A53" w14:paraId="7AADD002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29995710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oral corticosteroids (Y/N; ATC codes H02- with at least two prescriptions)</w:t>
            </w:r>
          </w:p>
        </w:tc>
      </w:tr>
      <w:tr w:rsidR="00DD7BEB" w:rsidRPr="00B11A53" w14:paraId="3D4CC885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7911DCB3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Use of benzodiazepine derivatives (Y/N; ATC codes N03AE-, N05BA-, N05CD-, N05CF- with at least two prescriptions)</w:t>
            </w:r>
          </w:p>
        </w:tc>
      </w:tr>
      <w:tr w:rsidR="00DD7BEB" w:rsidRPr="00B11A53" w14:paraId="5E686B82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45B57C25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Adherence related to cardiovascular medications (ACT code C*) in the 12-month pre-index period (weighted prescription-based Medication Possession Ratio (MPR))</w:t>
            </w:r>
          </w:p>
        </w:tc>
      </w:tr>
      <w:tr w:rsidR="00DD7BEB" w:rsidRPr="00B11A53" w14:paraId="5301CCD3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66F152C9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documented inpatient days</w:t>
            </w:r>
          </w:p>
        </w:tc>
      </w:tr>
      <w:tr w:rsidR="00DD7BEB" w:rsidRPr="00B11A53" w14:paraId="47CBFB11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071B9266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hospitalizations with any cardiovascular diagnosis as main diagnosis</w:t>
            </w:r>
          </w:p>
        </w:tc>
      </w:tr>
      <w:tr w:rsidR="00DD7BEB" w:rsidRPr="00B11A53" w14:paraId="753ACC61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776B94DD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Number of hospitalizations with any non-cardiovascular diagnosis as main diagnosis</w:t>
            </w:r>
          </w:p>
        </w:tc>
      </w:tr>
      <w:tr w:rsidR="00DD7BEB" w:rsidRPr="00B11A53" w14:paraId="3365A459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6BBFAD3B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Participation in a disease management program (DMP)</w:t>
            </w:r>
          </w:p>
        </w:tc>
      </w:tr>
      <w:tr w:rsidR="00DD7BEB" w:rsidRPr="00B11A53" w14:paraId="17989DA9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5D5EC42B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Confirmed diagnosis of dementia (ICD-10 code: F00-F05, G30)</w:t>
            </w:r>
          </w:p>
        </w:tc>
      </w:tr>
      <w:tr w:rsidR="00DD7BEB" w:rsidRPr="00B11A53" w14:paraId="728D7075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54E50F6B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lastRenderedPageBreak/>
              <w:t>Confirmed diagnosis of affective disorders (ICD-10 code: F30-F39)</w:t>
            </w:r>
          </w:p>
        </w:tc>
      </w:tr>
      <w:tr w:rsidR="00DD7BEB" w:rsidRPr="00B11A53" w14:paraId="680FE1D0" w14:textId="77777777" w:rsidTr="00A26B02">
        <w:tc>
          <w:tcPr>
            <w:tcW w:w="9067" w:type="dxa"/>
            <w:shd w:val="clear" w:color="auto" w:fill="F2F2F2" w:themeFill="background1" w:themeFillShade="F2"/>
          </w:tcPr>
          <w:p w14:paraId="37202A9F" w14:textId="77777777" w:rsidR="00DD7BEB" w:rsidRPr="00B11A53" w:rsidRDefault="00DD7BEB" w:rsidP="00A26B02">
            <w:pPr>
              <w:rPr>
                <w:rFonts w:cstheme="minorHAnsi"/>
                <w:color w:val="000000"/>
                <w:sz w:val="24"/>
                <w:szCs w:val="24"/>
                <w:lang w:val="en-US"/>
              </w:rPr>
            </w:pPr>
            <w:r w:rsidRPr="00B11A53">
              <w:rPr>
                <w:rFonts w:cstheme="minorHAnsi"/>
                <w:color w:val="000000"/>
                <w:sz w:val="24"/>
                <w:szCs w:val="24"/>
                <w:lang w:val="en-US"/>
              </w:rPr>
              <w:t>Confirmed mental and behavioral disorders due to psychoactive substance/alcohol use (ICD-10 code: F10-F19)</w:t>
            </w:r>
          </w:p>
        </w:tc>
      </w:tr>
    </w:tbl>
    <w:p w14:paraId="6A12F338" w14:textId="77777777" w:rsidR="00EF5C88" w:rsidRPr="00B11A53" w:rsidRDefault="00EF5C88">
      <w:pPr>
        <w:rPr>
          <w:color w:val="000000"/>
          <w:lang w:val="en-US"/>
        </w:rPr>
      </w:pPr>
    </w:p>
    <w:sectPr w:rsidR="00EF5C88" w:rsidRPr="00B11A53" w:rsidSect="00F36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24"/>
    <w:rsid w:val="00376C24"/>
    <w:rsid w:val="005C6FC4"/>
    <w:rsid w:val="005D36A7"/>
    <w:rsid w:val="00B11A53"/>
    <w:rsid w:val="00DD7BEB"/>
    <w:rsid w:val="00EF5C88"/>
    <w:rsid w:val="00F36A7F"/>
    <w:rsid w:val="00F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1A3EB"/>
  <w15:chartTrackingRefBased/>
  <w15:docId w15:val="{A864C690-AFBD-4B59-A29C-29DCDEBE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EB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D7BEB"/>
    <w:pPr>
      <w:spacing w:line="240" w:lineRule="auto"/>
    </w:pPr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BEB"/>
    <w:rPr>
      <w:rFonts w:eastAsiaTheme="minorEastAs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D7BEB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D7BEB"/>
    <w:pPr>
      <w:spacing w:after="200" w:line="240" w:lineRule="auto"/>
      <w:jc w:val="both"/>
    </w:pPr>
    <w:rPr>
      <w:rFonts w:ascii="Lato" w:hAnsi="Lato"/>
      <w:i/>
      <w:iCs/>
      <w:color w:val="44546A" w:themeColor="text2"/>
      <w:sz w:val="18"/>
      <w:szCs w:val="18"/>
      <w:lang w:val="nl-NL"/>
    </w:rPr>
  </w:style>
  <w:style w:type="table" w:styleId="TableGrid">
    <w:name w:val="Table Grid"/>
    <w:basedOn w:val="TableNormal"/>
    <w:uiPriority w:val="39"/>
    <w:rsid w:val="00DD7BEB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EE898-025C-4F89-8F80-40C17398BE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5003CB-9B39-4A5B-8B66-5C6C29E93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EC6E3D-E592-4032-AE70-085E7BC3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Young</dc:creator>
  <cp:keywords/>
  <dc:description/>
  <cp:lastModifiedBy>Watson, Georgia</cp:lastModifiedBy>
  <cp:revision>2</cp:revision>
  <dcterms:created xsi:type="dcterms:W3CDTF">2021-12-08T20:41:00Z</dcterms:created>
  <dcterms:modified xsi:type="dcterms:W3CDTF">2021-12-08T20:41:00Z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