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580FA" w14:textId="77777777" w:rsidR="00813B6D" w:rsidRPr="003E746B" w:rsidRDefault="00813B6D" w:rsidP="00912D09">
      <w:pPr>
        <w:spacing w:line="480" w:lineRule="auto"/>
        <w:rPr>
          <w:rFonts w:ascii="Arial" w:hAnsi="Arial" w:cs="Arial" w:hint="eastAsia"/>
          <w:b/>
          <w:color w:val="000000"/>
          <w:sz w:val="20"/>
          <w:szCs w:val="20"/>
        </w:rPr>
      </w:pPr>
      <w:r w:rsidRPr="003E746B">
        <w:rPr>
          <w:rFonts w:ascii="Arial" w:hAnsi="Arial" w:cs="Arial" w:hint="eastAsia"/>
          <w:b/>
          <w:color w:val="000000"/>
          <w:sz w:val="20"/>
          <w:szCs w:val="20"/>
        </w:rPr>
        <w:pict w14:anchorId="2236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01pt">
            <v:imagedata r:id="rId6" o:title="Fig S1"/>
          </v:shape>
        </w:pict>
      </w:r>
    </w:p>
    <w:p w14:paraId="5A51C63E" w14:textId="77777777" w:rsidR="00402613" w:rsidRPr="003E746B" w:rsidRDefault="00475308" w:rsidP="00912D09">
      <w:pPr>
        <w:spacing w:line="480" w:lineRule="auto"/>
        <w:rPr>
          <w:rFonts w:ascii="Arial" w:hAnsi="Arial" w:cs="Arial" w:hint="eastAsia"/>
          <w:color w:val="000000"/>
          <w:sz w:val="20"/>
          <w:szCs w:val="20"/>
        </w:rPr>
      </w:pP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F</w:t>
      </w:r>
      <w:r w:rsidRPr="003E746B">
        <w:rPr>
          <w:rFonts w:ascii="Arial" w:hAnsi="Arial" w:cs="Arial"/>
          <w:b/>
          <w:color w:val="000000"/>
          <w:sz w:val="20"/>
          <w:szCs w:val="20"/>
        </w:rPr>
        <w:t>ig</w:t>
      </w: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ure</w:t>
      </w:r>
      <w:r w:rsidRPr="003E746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S</w:t>
      </w:r>
      <w:r w:rsidRPr="003E746B">
        <w:rPr>
          <w:rFonts w:ascii="Arial" w:hAnsi="Arial" w:cs="Arial"/>
          <w:b/>
          <w:color w:val="000000"/>
          <w:sz w:val="20"/>
          <w:szCs w:val="20"/>
        </w:rPr>
        <w:t>1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 (A) </w:t>
      </w:r>
      <w:r w:rsidRPr="003E746B">
        <w:rPr>
          <w:rFonts w:ascii="Arial" w:hAnsi="Arial" w:cs="Arial"/>
          <w:color w:val="000000"/>
          <w:sz w:val="20"/>
          <w:szCs w:val="20"/>
        </w:rPr>
        <w:t>Gating strategy to identify circulating monocyte subsets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. </w:t>
      </w:r>
      <w:r w:rsidRPr="003E746B">
        <w:rPr>
          <w:rFonts w:ascii="Arial" w:hAnsi="Arial" w:cs="Arial"/>
          <w:color w:val="000000"/>
          <w:sz w:val="20"/>
          <w:szCs w:val="20"/>
        </w:rPr>
        <w:t>Total Lin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-</w:t>
      </w:r>
      <w:r w:rsidRPr="003E746B">
        <w:rPr>
          <w:rFonts w:ascii="Arial" w:hAnsi="Arial" w:cs="Arial"/>
          <w:color w:val="000000"/>
          <w:sz w:val="20"/>
          <w:szCs w:val="20"/>
        </w:rPr>
        <w:t>HLA-DR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cells were gated by the forward/side scatter showing Lin/HLA-DR expression patterns. Classical monocytes (CD14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++</w:t>
      </w:r>
      <w:r w:rsidRPr="003E746B">
        <w:rPr>
          <w:rFonts w:ascii="Arial" w:hAnsi="Arial" w:cs="Arial"/>
          <w:color w:val="000000"/>
          <w:sz w:val="20"/>
          <w:szCs w:val="20"/>
        </w:rPr>
        <w:t>CD16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-</w:t>
      </w:r>
      <w:r w:rsidRPr="003E746B">
        <w:rPr>
          <w:rFonts w:ascii="Arial" w:hAnsi="Arial" w:cs="Arial"/>
          <w:color w:val="000000"/>
          <w:sz w:val="20"/>
          <w:szCs w:val="20"/>
        </w:rPr>
        <w:t>), intermediate monocytes (CD14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++</w:t>
      </w:r>
      <w:r w:rsidRPr="003E746B">
        <w:rPr>
          <w:rFonts w:ascii="Arial" w:hAnsi="Arial" w:cs="Arial"/>
          <w:color w:val="000000"/>
          <w:sz w:val="20"/>
          <w:szCs w:val="20"/>
        </w:rPr>
        <w:t>CD16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Pr="003E746B">
        <w:rPr>
          <w:rFonts w:ascii="Arial" w:hAnsi="Arial" w:cs="Arial"/>
          <w:color w:val="000000"/>
          <w:sz w:val="20"/>
          <w:szCs w:val="20"/>
        </w:rPr>
        <w:t>) and non-classical monocytes (CD14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Pr="003E746B">
        <w:rPr>
          <w:rFonts w:ascii="Arial" w:hAnsi="Arial" w:cs="Arial"/>
          <w:color w:val="000000"/>
          <w:sz w:val="20"/>
          <w:szCs w:val="20"/>
        </w:rPr>
        <w:t>CD16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++</w:t>
      </w:r>
      <w:r w:rsidRPr="003E746B">
        <w:rPr>
          <w:rFonts w:ascii="Arial" w:hAnsi="Arial" w:cs="Arial"/>
          <w:color w:val="000000"/>
          <w:sz w:val="20"/>
          <w:szCs w:val="20"/>
        </w:rPr>
        <w:t>) were gated from Lin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-</w:t>
      </w:r>
      <w:r w:rsidRPr="003E746B">
        <w:rPr>
          <w:rFonts w:ascii="Arial" w:hAnsi="Arial" w:cs="Arial"/>
          <w:color w:val="000000"/>
          <w:sz w:val="20"/>
          <w:szCs w:val="20"/>
        </w:rPr>
        <w:t>HLA-DR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cells based on CD14 and CD16. 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Expression of CCR2 on the surface of </w:t>
      </w:r>
      <w:r w:rsidR="001C507D" w:rsidRPr="003E746B">
        <w:rPr>
          <w:rFonts w:ascii="Arial" w:hAnsi="Arial" w:cs="Arial" w:hint="eastAsia"/>
          <w:color w:val="000000"/>
          <w:sz w:val="20"/>
          <w:szCs w:val="20"/>
        </w:rPr>
        <w:t>c</w:t>
      </w:r>
      <w:r w:rsidR="001C507D" w:rsidRPr="003E746B">
        <w:rPr>
          <w:rFonts w:ascii="Arial" w:hAnsi="Arial" w:cs="Arial"/>
          <w:color w:val="000000"/>
          <w:sz w:val="20"/>
          <w:szCs w:val="20"/>
        </w:rPr>
        <w:t>lassical</w:t>
      </w:r>
      <w:r w:rsidR="001C507D" w:rsidRPr="003E746B">
        <w:rPr>
          <w:rFonts w:ascii="Arial" w:hAnsi="Arial" w:cs="Arial" w:hint="eastAsia"/>
          <w:color w:val="000000"/>
          <w:sz w:val="20"/>
          <w:szCs w:val="20"/>
        </w:rPr>
        <w:t xml:space="preserve"> (B)</w:t>
      </w:r>
      <w:r w:rsidR="001C507D" w:rsidRPr="003E746B">
        <w:rPr>
          <w:rFonts w:ascii="Arial" w:hAnsi="Arial" w:cs="Arial"/>
          <w:color w:val="000000"/>
          <w:sz w:val="20"/>
          <w:szCs w:val="20"/>
        </w:rPr>
        <w:t xml:space="preserve">, intermediate </w:t>
      </w:r>
      <w:r w:rsidR="001C507D" w:rsidRPr="003E746B">
        <w:rPr>
          <w:rFonts w:ascii="Arial" w:hAnsi="Arial" w:cs="Arial" w:hint="eastAsia"/>
          <w:color w:val="000000"/>
          <w:sz w:val="20"/>
          <w:szCs w:val="20"/>
        </w:rPr>
        <w:t xml:space="preserve">(C) </w:t>
      </w:r>
      <w:r w:rsidR="001C507D" w:rsidRPr="003E746B">
        <w:rPr>
          <w:rFonts w:ascii="Arial" w:hAnsi="Arial" w:cs="Arial"/>
          <w:color w:val="000000"/>
          <w:sz w:val="20"/>
          <w:szCs w:val="20"/>
        </w:rPr>
        <w:t xml:space="preserve">and non-classical </w:t>
      </w:r>
      <w:r w:rsidR="001C507D" w:rsidRPr="003E746B">
        <w:rPr>
          <w:rFonts w:ascii="Arial" w:hAnsi="Arial" w:cs="Arial" w:hint="eastAsia"/>
          <w:color w:val="000000"/>
          <w:sz w:val="20"/>
          <w:szCs w:val="20"/>
        </w:rPr>
        <w:t xml:space="preserve">(D) </w:t>
      </w:r>
      <w:r w:rsidR="001C507D" w:rsidRPr="003E746B">
        <w:rPr>
          <w:rFonts w:ascii="Arial" w:hAnsi="Arial" w:cs="Arial"/>
          <w:color w:val="000000"/>
          <w:sz w:val="20"/>
          <w:szCs w:val="20"/>
        </w:rPr>
        <w:t>monocytes</w:t>
      </w:r>
      <w:r w:rsidRPr="003E746B">
        <w:rPr>
          <w:rFonts w:ascii="Arial" w:hAnsi="Arial" w:cs="Arial"/>
          <w:color w:val="000000"/>
          <w:sz w:val="20"/>
          <w:szCs w:val="20"/>
        </w:rPr>
        <w:t>.</w:t>
      </w:r>
    </w:p>
    <w:p w14:paraId="0E2F270C" w14:textId="77777777" w:rsidR="00813B6D" w:rsidRPr="003E746B" w:rsidRDefault="00813B6D" w:rsidP="00912D09">
      <w:pPr>
        <w:spacing w:line="480" w:lineRule="auto"/>
        <w:rPr>
          <w:rFonts w:ascii="Arial" w:hAnsi="Arial" w:cs="Arial" w:hint="eastAsia"/>
          <w:color w:val="000000"/>
          <w:sz w:val="20"/>
          <w:szCs w:val="20"/>
        </w:rPr>
      </w:pPr>
      <w:r w:rsidRPr="003E746B">
        <w:rPr>
          <w:rFonts w:ascii="Arial" w:hAnsi="Arial" w:cs="Arial"/>
          <w:color w:val="000000"/>
          <w:sz w:val="20"/>
          <w:szCs w:val="20"/>
        </w:rPr>
        <w:lastRenderedPageBreak/>
        <w:pict w14:anchorId="2398C2C3">
          <v:shape id="_x0000_i1026" type="#_x0000_t75" style="width:340.5pt;height:468pt">
            <v:imagedata r:id="rId7" o:title="Fig S2"/>
          </v:shape>
        </w:pict>
      </w:r>
    </w:p>
    <w:p w14:paraId="41F9A7C3" w14:textId="77777777" w:rsidR="00475308" w:rsidRPr="003E746B" w:rsidRDefault="00475308" w:rsidP="00912D09">
      <w:pPr>
        <w:spacing w:line="480" w:lineRule="auto"/>
        <w:rPr>
          <w:rFonts w:ascii="Arial" w:hAnsi="Arial" w:cs="Arial" w:hint="eastAsia"/>
          <w:color w:val="000000"/>
          <w:sz w:val="20"/>
          <w:szCs w:val="20"/>
        </w:rPr>
      </w:pP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F</w:t>
      </w:r>
      <w:r w:rsidRPr="003E746B">
        <w:rPr>
          <w:rFonts w:ascii="Arial" w:hAnsi="Arial" w:cs="Arial"/>
          <w:b/>
          <w:color w:val="000000"/>
          <w:sz w:val="20"/>
          <w:szCs w:val="20"/>
        </w:rPr>
        <w:t>ig</w:t>
      </w: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ure</w:t>
      </w:r>
      <w:r w:rsidRPr="003E746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S2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 Frequency of intermediate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 and non-classical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monocytes in rosacea patients and HC grouped by gender </w:t>
      </w:r>
      <w:r w:rsidR="003C7AE0" w:rsidRPr="003E746B">
        <w:rPr>
          <w:rFonts w:ascii="Arial" w:hAnsi="Arial" w:cs="Arial"/>
          <w:color w:val="000000"/>
          <w:sz w:val="20"/>
          <w:szCs w:val="20"/>
        </w:rPr>
        <w:t xml:space="preserve">(A and </w:t>
      </w:r>
      <w:r w:rsidR="003C7AE0" w:rsidRPr="003E746B">
        <w:rPr>
          <w:rFonts w:ascii="Arial" w:hAnsi="Arial" w:cs="Arial" w:hint="eastAsia"/>
          <w:color w:val="000000"/>
          <w:sz w:val="20"/>
          <w:szCs w:val="20"/>
        </w:rPr>
        <w:t>B</w:t>
      </w:r>
      <w:r w:rsidR="003C7AE0" w:rsidRPr="003E746B">
        <w:rPr>
          <w:rFonts w:ascii="Arial" w:hAnsi="Arial" w:cs="Arial"/>
          <w:color w:val="000000"/>
          <w:sz w:val="20"/>
          <w:szCs w:val="20"/>
        </w:rPr>
        <w:t>)</w:t>
      </w:r>
      <w:r w:rsidR="003C7AE0" w:rsidRPr="003E746B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/>
          <w:color w:val="000000"/>
          <w:sz w:val="20"/>
          <w:szCs w:val="20"/>
        </w:rPr>
        <w:t>and different subtypes</w:t>
      </w:r>
      <w:r w:rsidR="003C7AE0" w:rsidRPr="003E746B">
        <w:rPr>
          <w:rFonts w:ascii="Arial" w:hAnsi="Arial" w:cs="Arial" w:hint="eastAsia"/>
          <w:color w:val="000000"/>
          <w:sz w:val="20"/>
          <w:szCs w:val="20"/>
        </w:rPr>
        <w:t xml:space="preserve"> (</w:t>
      </w:r>
      <w:r w:rsidR="00813B6D" w:rsidRPr="003E746B">
        <w:rPr>
          <w:rFonts w:ascii="Arial" w:hAnsi="Arial" w:cs="Arial" w:hint="eastAsia"/>
          <w:color w:val="000000"/>
          <w:sz w:val="20"/>
          <w:szCs w:val="20"/>
        </w:rPr>
        <w:t>C</w:t>
      </w:r>
      <w:r w:rsidR="003C7AE0" w:rsidRPr="003E746B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813B6D" w:rsidRPr="003E746B">
        <w:rPr>
          <w:rFonts w:ascii="Arial" w:hAnsi="Arial" w:cs="Arial" w:hint="eastAsia"/>
          <w:color w:val="000000"/>
          <w:sz w:val="20"/>
          <w:szCs w:val="20"/>
        </w:rPr>
        <w:t>D</w:t>
      </w:r>
      <w:r w:rsidR="003C7AE0" w:rsidRPr="003E746B">
        <w:rPr>
          <w:rFonts w:ascii="Arial" w:hAnsi="Arial" w:cs="Arial" w:hint="eastAsia"/>
          <w:color w:val="000000"/>
          <w:sz w:val="20"/>
          <w:szCs w:val="20"/>
        </w:rPr>
        <w:t>)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, respectively. Each plot represented one sample. Significance between two groups was indicated by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value (*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&lt; 0.05, **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&lt; 0.01, ***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&lt; 0.001, 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ns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&gt; 0.05). Correlation between frequency of intermediate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 and non-classical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monocytes and</w:t>
      </w:r>
      <w:r w:rsidR="00446761" w:rsidRPr="003E746B">
        <w:rPr>
          <w:rFonts w:ascii="Arial" w:hAnsi="Arial" w:cs="Arial"/>
          <w:color w:val="000000"/>
          <w:sz w:val="20"/>
          <w:szCs w:val="20"/>
        </w:rPr>
        <w:t xml:space="preserve"> age in HC (</w:t>
      </w:r>
      <w:r w:rsidR="00813B6D" w:rsidRPr="003E746B">
        <w:rPr>
          <w:rFonts w:ascii="Arial" w:hAnsi="Arial" w:cs="Arial" w:hint="eastAsia"/>
          <w:color w:val="000000"/>
          <w:sz w:val="20"/>
          <w:szCs w:val="20"/>
        </w:rPr>
        <w:t>E</w:t>
      </w:r>
      <w:r w:rsidR="00813B6D" w:rsidRPr="003E746B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813B6D" w:rsidRPr="003E746B">
        <w:rPr>
          <w:rFonts w:ascii="Arial" w:hAnsi="Arial" w:cs="Arial" w:hint="eastAsia"/>
          <w:color w:val="000000"/>
          <w:sz w:val="20"/>
          <w:szCs w:val="20"/>
        </w:rPr>
        <w:t>F</w:t>
      </w:r>
      <w:r w:rsidR="00446761" w:rsidRPr="003E746B">
        <w:rPr>
          <w:rFonts w:ascii="Arial" w:hAnsi="Arial" w:cs="Arial"/>
          <w:color w:val="000000"/>
          <w:sz w:val="20"/>
          <w:szCs w:val="20"/>
        </w:rPr>
        <w:t>)</w:t>
      </w:r>
      <w:r w:rsidR="00446761" w:rsidRPr="003E746B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/>
          <w:color w:val="000000"/>
          <w:sz w:val="20"/>
          <w:szCs w:val="20"/>
        </w:rPr>
        <w:t>and rosacea patients</w:t>
      </w:r>
      <w:r w:rsidR="00446761" w:rsidRPr="003E746B">
        <w:rPr>
          <w:rFonts w:ascii="Arial" w:hAnsi="Arial" w:cs="Arial"/>
          <w:color w:val="000000"/>
          <w:sz w:val="20"/>
          <w:szCs w:val="20"/>
        </w:rPr>
        <w:t xml:space="preserve"> (</w:t>
      </w:r>
      <w:r w:rsidR="00813B6D" w:rsidRPr="003E746B">
        <w:rPr>
          <w:rFonts w:ascii="Arial" w:hAnsi="Arial" w:cs="Arial" w:hint="eastAsia"/>
          <w:color w:val="000000"/>
          <w:sz w:val="20"/>
          <w:szCs w:val="20"/>
        </w:rPr>
        <w:t>G</w:t>
      </w:r>
      <w:r w:rsidR="00446761" w:rsidRPr="003E746B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813B6D" w:rsidRPr="003E746B">
        <w:rPr>
          <w:rFonts w:ascii="Arial" w:hAnsi="Arial" w:cs="Arial" w:hint="eastAsia"/>
          <w:color w:val="000000"/>
          <w:sz w:val="20"/>
          <w:szCs w:val="20"/>
        </w:rPr>
        <w:t>H</w:t>
      </w:r>
      <w:r w:rsidR="00446761" w:rsidRPr="003E746B">
        <w:rPr>
          <w:rFonts w:ascii="Arial" w:hAnsi="Arial" w:cs="Arial"/>
          <w:color w:val="000000"/>
          <w:sz w:val="20"/>
          <w:szCs w:val="20"/>
        </w:rPr>
        <w:t>)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. Correlation analysis were conducted using Pearson’s rank correlation coefficient. (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r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: </w:t>
      </w:r>
      <w:r w:rsidRPr="003E746B">
        <w:rPr>
          <w:rFonts w:ascii="Arial" w:hAnsi="Arial" w:cs="Arial"/>
          <w:color w:val="000000"/>
          <w:sz w:val="20"/>
          <w:szCs w:val="20"/>
        </w:rPr>
        <w:t>Pearson’s correlation coefficient; p: p-value).</w:t>
      </w:r>
    </w:p>
    <w:p w14:paraId="21A5CAB8" w14:textId="77777777" w:rsidR="00813B6D" w:rsidRPr="003E746B" w:rsidRDefault="00813B6D" w:rsidP="00912D09">
      <w:pPr>
        <w:spacing w:line="480" w:lineRule="auto"/>
        <w:rPr>
          <w:rFonts w:ascii="Arial" w:hAnsi="Arial" w:cs="Arial" w:hint="eastAsia"/>
          <w:color w:val="000000"/>
          <w:sz w:val="20"/>
          <w:szCs w:val="20"/>
        </w:rPr>
      </w:pPr>
      <w:r w:rsidRPr="003E746B">
        <w:rPr>
          <w:rFonts w:ascii="Arial" w:hAnsi="Arial" w:cs="Arial"/>
          <w:color w:val="000000"/>
          <w:sz w:val="20"/>
          <w:szCs w:val="20"/>
        </w:rPr>
        <w:lastRenderedPageBreak/>
        <w:pict w14:anchorId="36746EEF">
          <v:shape id="_x0000_i1027" type="#_x0000_t75" style="width:197.25pt;height:226.5pt">
            <v:imagedata r:id="rId8" o:title="Fig-s3"/>
          </v:shape>
        </w:pict>
      </w:r>
    </w:p>
    <w:p w14:paraId="705EB761" w14:textId="77777777" w:rsidR="009A64A5" w:rsidRPr="003E746B" w:rsidRDefault="00475308" w:rsidP="00912D09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F</w:t>
      </w:r>
      <w:r w:rsidRPr="003E746B">
        <w:rPr>
          <w:rFonts w:ascii="Arial" w:hAnsi="Arial" w:cs="Arial"/>
          <w:b/>
          <w:color w:val="000000"/>
          <w:sz w:val="20"/>
          <w:szCs w:val="20"/>
        </w:rPr>
        <w:t>ig</w:t>
      </w: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ure</w:t>
      </w:r>
      <w:r w:rsidRPr="003E746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 w:hint="eastAsia"/>
          <w:b/>
          <w:color w:val="000000"/>
          <w:sz w:val="20"/>
          <w:szCs w:val="20"/>
        </w:rPr>
        <w:t>S3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</w:t>
      </w:r>
      <w:bookmarkStart w:id="0" w:name="OLE_LINK27"/>
      <w:r w:rsidRPr="003E746B">
        <w:rPr>
          <w:rFonts w:ascii="Arial" w:hAnsi="Arial" w:cs="Arial"/>
          <w:color w:val="000000"/>
          <w:sz w:val="20"/>
          <w:szCs w:val="20"/>
        </w:rPr>
        <w:t>The percentages of CCR2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among intermediate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991BFC" w:rsidRPr="003E746B">
        <w:rPr>
          <w:rFonts w:ascii="Arial" w:hAnsi="Arial" w:cs="Arial" w:hint="eastAsia"/>
          <w:color w:val="000000"/>
          <w:sz w:val="20"/>
          <w:szCs w:val="20"/>
        </w:rPr>
        <w:t xml:space="preserve">(A) 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and non-classical </w:t>
      </w:r>
      <w:r w:rsidR="00991BFC" w:rsidRPr="003E746B">
        <w:rPr>
          <w:rFonts w:ascii="Arial" w:hAnsi="Arial" w:cs="Arial" w:hint="eastAsia"/>
          <w:color w:val="000000"/>
          <w:sz w:val="20"/>
          <w:szCs w:val="20"/>
        </w:rPr>
        <w:t xml:space="preserve">(B) </w:t>
      </w:r>
      <w:r w:rsidRPr="003E746B">
        <w:rPr>
          <w:rFonts w:ascii="Arial" w:hAnsi="Arial" w:cs="Arial"/>
          <w:color w:val="000000"/>
          <w:sz w:val="20"/>
          <w:szCs w:val="20"/>
        </w:rPr>
        <w:t>monocyte</w:t>
      </w:r>
      <w:r w:rsidRPr="003E746B">
        <w:rPr>
          <w:rFonts w:ascii="Arial" w:hAnsi="Arial" w:cs="Arial" w:hint="eastAsia"/>
          <w:color w:val="000000"/>
          <w:sz w:val="20"/>
          <w:szCs w:val="20"/>
        </w:rPr>
        <w:t>s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 w:hint="eastAsia"/>
          <w:color w:val="000000"/>
          <w:sz w:val="20"/>
          <w:szCs w:val="20"/>
        </w:rPr>
        <w:t>of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patients with rosacea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 and </w:t>
      </w:r>
      <w:r w:rsidRPr="003E746B">
        <w:rPr>
          <w:rFonts w:ascii="Arial" w:hAnsi="Arial" w:cs="Arial"/>
          <w:color w:val="000000"/>
          <w:sz w:val="20"/>
          <w:szCs w:val="20"/>
        </w:rPr>
        <w:t>healthy controls (HC).</w:t>
      </w:r>
      <w:bookmarkEnd w:id="0"/>
      <w:r w:rsidRPr="003E746B">
        <w:rPr>
          <w:rFonts w:ascii="Arial" w:hAnsi="Arial" w:cs="Arial"/>
          <w:color w:val="000000"/>
          <w:sz w:val="20"/>
          <w:szCs w:val="20"/>
        </w:rPr>
        <w:t xml:space="preserve"> Each plot represented individual subject. Comparisons of CCR2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/>
          <w:color w:val="000000"/>
          <w:sz w:val="20"/>
          <w:szCs w:val="20"/>
        </w:rPr>
        <w:t>among intermediate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991BFC" w:rsidRPr="003E746B">
        <w:rPr>
          <w:rFonts w:ascii="Arial" w:hAnsi="Arial" w:cs="Arial" w:hint="eastAsia"/>
          <w:color w:val="000000"/>
          <w:sz w:val="20"/>
          <w:szCs w:val="20"/>
        </w:rPr>
        <w:t xml:space="preserve">(C) </w:t>
      </w:r>
      <w:r w:rsidRPr="003E746B">
        <w:rPr>
          <w:rFonts w:ascii="Arial" w:hAnsi="Arial" w:cs="Arial" w:hint="eastAsia"/>
          <w:color w:val="000000"/>
          <w:sz w:val="20"/>
          <w:szCs w:val="20"/>
        </w:rPr>
        <w:t xml:space="preserve">and non-classical </w:t>
      </w:r>
      <w:r w:rsidR="00991BFC" w:rsidRPr="003E746B">
        <w:rPr>
          <w:rFonts w:ascii="Arial" w:hAnsi="Arial" w:cs="Arial" w:hint="eastAsia"/>
          <w:color w:val="000000"/>
          <w:sz w:val="20"/>
          <w:szCs w:val="20"/>
        </w:rPr>
        <w:t xml:space="preserve">(D) </w:t>
      </w:r>
      <w:r w:rsidRPr="003E746B">
        <w:rPr>
          <w:rFonts w:ascii="Arial" w:hAnsi="Arial" w:cs="Arial"/>
          <w:color w:val="000000"/>
          <w:sz w:val="20"/>
          <w:szCs w:val="20"/>
        </w:rPr>
        <w:t>monocyte</w:t>
      </w:r>
      <w:r w:rsidRPr="003E746B">
        <w:rPr>
          <w:rFonts w:ascii="Arial" w:hAnsi="Arial" w:cs="Arial" w:hint="eastAsia"/>
          <w:color w:val="000000"/>
          <w:sz w:val="20"/>
          <w:szCs w:val="20"/>
        </w:rPr>
        <w:t>s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before and after treatment in patients with rosacea. Each plot represented an individual subject before (left) and after (right) treatment. Significance between two groups was indicated by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value (***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&lt; 0.001</w:t>
      </w:r>
      <w:r w:rsidRPr="003E746B">
        <w:rPr>
          <w:rFonts w:ascii="Arial" w:hAnsi="Arial" w:cs="Arial" w:hint="eastAsia"/>
          <w:color w:val="000000"/>
          <w:sz w:val="20"/>
          <w:szCs w:val="20"/>
        </w:rPr>
        <w:t>,</w:t>
      </w:r>
      <w:r w:rsidRPr="003E746B">
        <w:rPr>
          <w:rFonts w:ascii="Arial" w:hAnsi="Arial" w:cs="Arial" w:hint="eastAsia"/>
          <w:color w:val="000000"/>
          <w:sz w:val="20"/>
          <w:szCs w:val="20"/>
          <w:vertAlign w:val="superscript"/>
        </w:rPr>
        <w:t xml:space="preserve"> </w:t>
      </w:r>
      <w:r w:rsidRPr="003E746B">
        <w:rPr>
          <w:rFonts w:ascii="Arial" w:hAnsi="Arial" w:cs="Arial"/>
          <w:color w:val="000000"/>
          <w:sz w:val="20"/>
          <w:szCs w:val="20"/>
          <w:vertAlign w:val="superscript"/>
        </w:rPr>
        <w:t>ns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</w:t>
      </w:r>
      <w:r w:rsidRPr="003E746B">
        <w:rPr>
          <w:rFonts w:ascii="Arial" w:hAnsi="Arial" w:cs="Arial"/>
          <w:i/>
          <w:color w:val="000000"/>
          <w:sz w:val="20"/>
          <w:szCs w:val="20"/>
        </w:rPr>
        <w:t>p</w:t>
      </w:r>
      <w:r w:rsidRPr="003E746B">
        <w:rPr>
          <w:rFonts w:ascii="Arial" w:hAnsi="Arial" w:cs="Arial"/>
          <w:color w:val="000000"/>
          <w:sz w:val="20"/>
          <w:szCs w:val="20"/>
        </w:rPr>
        <w:t xml:space="preserve"> &gt; 0.05).</w:t>
      </w:r>
    </w:p>
    <w:sectPr w:rsidR="009A64A5" w:rsidRPr="003E746B" w:rsidSect="004026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34334" w14:textId="77777777" w:rsidR="006E22AB" w:rsidRDefault="006E22AB">
      <w:r>
        <w:separator/>
      </w:r>
    </w:p>
  </w:endnote>
  <w:endnote w:type="continuationSeparator" w:id="0">
    <w:p w14:paraId="50FE09E6" w14:textId="77777777" w:rsidR="006E22AB" w:rsidRDefault="006E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DE977" w14:textId="77777777" w:rsidR="006E22AB" w:rsidRDefault="006E22AB">
      <w:r>
        <w:separator/>
      </w:r>
    </w:p>
  </w:footnote>
  <w:footnote w:type="continuationSeparator" w:id="0">
    <w:p w14:paraId="260A6DE8" w14:textId="77777777" w:rsidR="006E22AB" w:rsidRDefault="006E2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1B71"/>
    <w:rsid w:val="0001565B"/>
    <w:rsid w:val="00194F55"/>
    <w:rsid w:val="001B6207"/>
    <w:rsid w:val="001C507D"/>
    <w:rsid w:val="002339E8"/>
    <w:rsid w:val="00283FD5"/>
    <w:rsid w:val="00296F7D"/>
    <w:rsid w:val="00342769"/>
    <w:rsid w:val="003C1B71"/>
    <w:rsid w:val="003C7AE0"/>
    <w:rsid w:val="003E746B"/>
    <w:rsid w:val="00402613"/>
    <w:rsid w:val="004316C5"/>
    <w:rsid w:val="00446761"/>
    <w:rsid w:val="00475308"/>
    <w:rsid w:val="004D418B"/>
    <w:rsid w:val="0059279F"/>
    <w:rsid w:val="005C7C2E"/>
    <w:rsid w:val="005E5175"/>
    <w:rsid w:val="006E22AB"/>
    <w:rsid w:val="007D6F62"/>
    <w:rsid w:val="00804BEC"/>
    <w:rsid w:val="00813B6D"/>
    <w:rsid w:val="00873B0D"/>
    <w:rsid w:val="00880CB2"/>
    <w:rsid w:val="008B422B"/>
    <w:rsid w:val="00912D09"/>
    <w:rsid w:val="00991BFC"/>
    <w:rsid w:val="009959DA"/>
    <w:rsid w:val="009976E7"/>
    <w:rsid w:val="009A64A5"/>
    <w:rsid w:val="00A8018F"/>
    <w:rsid w:val="00AD2B38"/>
    <w:rsid w:val="00BD15AD"/>
    <w:rsid w:val="00DD4E94"/>
    <w:rsid w:val="00E567DC"/>
    <w:rsid w:val="00EA1B32"/>
    <w:rsid w:val="00ED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35D0287"/>
  <w15:chartTrackingRefBased/>
  <w15:docId w15:val="{EFFC1004-CBFC-42DA-9830-24066D7F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613"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B7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B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Watson, Georgia</cp:lastModifiedBy>
  <cp:revision>2</cp:revision>
  <dcterms:created xsi:type="dcterms:W3CDTF">2021-10-18T01:58:00Z</dcterms:created>
  <dcterms:modified xsi:type="dcterms:W3CDTF">2021-10-18T01:58:00Z</dcterms:modified>
</cp:coreProperties>
</file>