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F611" w14:textId="77777777" w:rsidR="00503FA0" w:rsidRPr="00CC66A8" w:rsidRDefault="00503FA0" w:rsidP="00503FA0">
      <w:pPr>
        <w:rPr>
          <w:b/>
          <w:bCs/>
          <w:u w:val="single"/>
        </w:rPr>
      </w:pPr>
      <w:r w:rsidRPr="00CC66A8">
        <w:rPr>
          <w:b/>
          <w:bCs/>
          <w:u w:val="single"/>
        </w:rPr>
        <w:t>Supplementary Appendix</w:t>
      </w:r>
    </w:p>
    <w:p w14:paraId="4F45A4D8" w14:textId="77777777" w:rsidR="00503FA0" w:rsidRPr="00CC66A8" w:rsidRDefault="00503FA0" w:rsidP="00503FA0">
      <w:pPr>
        <w:rPr>
          <w:b/>
          <w:bCs/>
        </w:rPr>
      </w:pPr>
    </w:p>
    <w:p w14:paraId="3DD1D4ED" w14:textId="77777777" w:rsidR="00503FA0" w:rsidRPr="00CC66A8" w:rsidRDefault="00503FA0" w:rsidP="00503FA0">
      <w:pPr>
        <w:rPr>
          <w:b/>
          <w:bCs/>
        </w:rPr>
      </w:pPr>
      <w:r w:rsidRPr="00CC66A8">
        <w:rPr>
          <w:b/>
          <w:bCs/>
        </w:rPr>
        <w:t>Appendix A: Detailed Program Description of the Cost Savings Reinvestment Program &amp; Savings Calculation Methodology</w:t>
      </w:r>
    </w:p>
    <w:p w14:paraId="35E25580" w14:textId="77777777" w:rsidR="00503FA0" w:rsidRPr="00CC66A8" w:rsidRDefault="00503FA0" w:rsidP="00503FA0">
      <w:pPr>
        <w:rPr>
          <w:b/>
          <w:bCs/>
        </w:rPr>
      </w:pPr>
    </w:p>
    <w:p w14:paraId="34B005DE" w14:textId="77777777" w:rsidR="0019364A" w:rsidRPr="00CC66A8" w:rsidRDefault="00503FA0" w:rsidP="009F18B8">
      <w:pPr>
        <w:ind w:firstLine="720"/>
        <w:rPr>
          <w:rFonts w:eastAsia="STSong"/>
        </w:rPr>
      </w:pPr>
      <w:r w:rsidRPr="00CC66A8">
        <w:rPr>
          <w:rFonts w:eastAsia="STSong"/>
        </w:rPr>
        <w:t xml:space="preserve">The Cost Savings Reinvestment Program (CSRP) invites individual or small teams of physicians to apply to lead a project that can reduce direct cost to the health system by an annual minimum of $50,000 sustained over two years. A two-tiered committee </w:t>
      </w:r>
      <w:proofErr w:type="gramStart"/>
      <w:r w:rsidRPr="00CC66A8">
        <w:rPr>
          <w:rFonts w:eastAsia="STSong"/>
        </w:rPr>
        <w:t>vets</w:t>
      </w:r>
      <w:proofErr w:type="gramEnd"/>
      <w:r w:rsidRPr="00CC66A8">
        <w:rPr>
          <w:rFonts w:eastAsia="STSong"/>
        </w:rPr>
        <w:t xml:space="preserve"> proposals for impact on patient quality and safety, likelihood to succeed, and alignment with organizational goals. Savings calculation methodologies are tailored to each project, and physicians with accepted proposals are encouraged to further develop their projects through an institutional quality improvement course</w:t>
      </w:r>
      <w:r w:rsidR="004D1941" w:rsidRPr="00CC66A8">
        <w:rPr>
          <w:rFonts w:eastAsia="STSong"/>
        </w:rPr>
        <w:t xml:space="preserve">. </w:t>
      </w:r>
      <w:r w:rsidRPr="00CC66A8">
        <w:rPr>
          <w:rFonts w:eastAsia="STSong"/>
        </w:rPr>
        <w:t xml:space="preserve">Their academic departments enter into an explicit agreement with the health system whereby successful projects (demonstrated through validated savings surpassing the annual $50,000 threshold without compromise to the quality of care) will trigger the redirection of up to 50% of attributable savings to the lead physicians’ department over the subsequent two years based on a specified distribution schedule, with 20 percent of reinvestment funds withheld until savings are shown to be sustained through year two. </w:t>
      </w:r>
    </w:p>
    <w:p w14:paraId="46F6DB54" w14:textId="62BE2C22" w:rsidR="00503FA0" w:rsidRPr="00CC66A8" w:rsidRDefault="00503FA0" w:rsidP="009F18B8">
      <w:pPr>
        <w:ind w:firstLine="720"/>
        <w:rPr>
          <w:rFonts w:eastAsia="STSong"/>
        </w:rPr>
      </w:pPr>
      <w:r w:rsidRPr="00CC66A8">
        <w:rPr>
          <w:rFonts w:eastAsia="STSong"/>
        </w:rPr>
        <w:t xml:space="preserve">Methodologies to calculate savings are tailored to each project and agreed upon prior to project initiation. Savings are tracked using internal direct cost (not charge) data as measured by the health system’s accounting software and compared with the institution’s historical baseline </w:t>
      </w:r>
      <w:proofErr w:type="gramStart"/>
      <w:r w:rsidRPr="00CC66A8">
        <w:rPr>
          <w:rFonts w:eastAsia="STSong"/>
        </w:rPr>
        <w:t>in a given</w:t>
      </w:r>
      <w:proofErr w:type="gramEnd"/>
      <w:r w:rsidRPr="00CC66A8">
        <w:rPr>
          <w:rFonts w:eastAsia="STSong"/>
        </w:rPr>
        <w:t xml:space="preserve"> category.</w:t>
      </w:r>
    </w:p>
    <w:p w14:paraId="0748F877" w14:textId="3B45F158" w:rsidR="00503FA0" w:rsidRDefault="00503FA0" w:rsidP="009F18B8">
      <w:pPr>
        <w:keepNext/>
        <w:ind w:firstLine="720"/>
        <w:rPr>
          <w:rFonts w:eastAsia="STSong"/>
        </w:rPr>
      </w:pPr>
      <w:r w:rsidRPr="00CC66A8">
        <w:rPr>
          <w:rFonts w:eastAsia="STSong"/>
        </w:rPr>
        <w:t xml:space="preserve">Total year one savings </w:t>
      </w:r>
      <w:proofErr w:type="gramStart"/>
      <w:r w:rsidRPr="00CC66A8">
        <w:rPr>
          <w:rFonts w:eastAsia="STSong"/>
        </w:rPr>
        <w:t>are</w:t>
      </w:r>
      <w:proofErr w:type="gramEnd"/>
      <w:r w:rsidRPr="00CC66A8">
        <w:rPr>
          <w:rFonts w:eastAsia="STSong"/>
        </w:rPr>
        <w:t xml:space="preserve"> reported based on the sum of validated savings for each project. Each project’s savings calculation followed the general formula in which the change in direct cost of the unit of interest (</w:t>
      </w:r>
      <w:proofErr w:type="gramStart"/>
      <w:r w:rsidRPr="00CC66A8">
        <w:rPr>
          <w:rFonts w:eastAsia="STSong"/>
        </w:rPr>
        <w:t>e.g.</w:t>
      </w:r>
      <w:proofErr w:type="gramEnd"/>
      <w:r w:rsidRPr="00CC66A8">
        <w:rPr>
          <w:rFonts w:eastAsia="STSong"/>
        </w:rPr>
        <w:t xml:space="preserve"> direct cost of a medication or the average cost of an inpatient admission to a given service) between the pre and post implementation periods in USD ($) is multiplied by the validated post-implementation utilization rate (# of units)</w:t>
      </w:r>
      <w:r w:rsidRPr="00CC66A8">
        <w:rPr>
          <w:rFonts w:eastAsia="STSong"/>
          <w:i/>
          <w:iCs/>
        </w:rPr>
        <w:t xml:space="preserve">. </w:t>
      </w:r>
      <w:r w:rsidRPr="00CC66A8">
        <w:rPr>
          <w:rFonts w:eastAsia="STSong"/>
        </w:rPr>
        <w:t>For example, if a project’s goal is to have physicians switch from using a more costly drug to a less costly drug, the difference in unit price (one dose) from the health system’s perspective between the two drugs is multiplied by the number of units used in the post-implementation observation period. Proprietary vendor agreements limit our ability to report individual project savings.</w:t>
      </w:r>
    </w:p>
    <w:p w14:paraId="1570A3A2" w14:textId="77777777" w:rsidR="00503FA0" w:rsidRPr="00CC66A8" w:rsidRDefault="00503FA0" w:rsidP="00503FA0">
      <w:pPr>
        <w:spacing w:line="480" w:lineRule="auto"/>
        <w:ind w:firstLine="720"/>
        <w:rPr>
          <w:b/>
          <w:bCs/>
        </w:rPr>
      </w:pPr>
    </w:p>
    <w:p w14:paraId="1D422C62" w14:textId="77777777" w:rsidR="00503FA0" w:rsidRPr="00CC66A8" w:rsidRDefault="00503FA0" w:rsidP="00503FA0">
      <w:pPr>
        <w:rPr>
          <w:b/>
          <w:bCs/>
        </w:rPr>
      </w:pPr>
    </w:p>
    <w:p w14:paraId="5D4E1A21" w14:textId="77777777" w:rsidR="00D060B5" w:rsidRPr="00CC66A8" w:rsidRDefault="00D060B5">
      <w:pPr>
        <w:rPr>
          <w:b/>
          <w:bCs/>
        </w:rPr>
      </w:pPr>
      <w:r w:rsidRPr="00CC66A8">
        <w:rPr>
          <w:b/>
          <w:bCs/>
        </w:rPr>
        <w:br w:type="page"/>
      </w:r>
    </w:p>
    <w:p w14:paraId="0EAD7DBA" w14:textId="50C62A35" w:rsidR="00503FA0" w:rsidRPr="00CC66A8" w:rsidRDefault="00503FA0" w:rsidP="00503FA0">
      <w:pPr>
        <w:rPr>
          <w:b/>
          <w:bCs/>
        </w:rPr>
      </w:pPr>
      <w:r w:rsidRPr="00CC66A8">
        <w:rPr>
          <w:b/>
          <w:bCs/>
        </w:rPr>
        <w:lastRenderedPageBreak/>
        <w:t>Appendix B: Semi-Structured Interview Protocol for Participating Physicians</w:t>
      </w:r>
    </w:p>
    <w:p w14:paraId="30BCFF0B" w14:textId="77777777" w:rsidR="00503FA0" w:rsidRPr="00CC66A8" w:rsidRDefault="00503FA0" w:rsidP="00503FA0">
      <w:pPr>
        <w:rPr>
          <w:u w:val="single"/>
        </w:rPr>
      </w:pPr>
    </w:p>
    <w:p w14:paraId="5D9124DB" w14:textId="77777777" w:rsidR="00503FA0" w:rsidRPr="00CC66A8" w:rsidRDefault="00503FA0" w:rsidP="00503FA0">
      <w:pPr>
        <w:rPr>
          <w:bCs/>
        </w:rPr>
      </w:pPr>
      <w:r w:rsidRPr="00CC66A8">
        <w:rPr>
          <w:bCs/>
        </w:rPr>
        <w:t>Tell me about CSRP in your own words:</w:t>
      </w:r>
    </w:p>
    <w:p w14:paraId="243FD9ED" w14:textId="77777777" w:rsidR="00503FA0" w:rsidRPr="00CC66A8" w:rsidRDefault="00503FA0" w:rsidP="00503FA0">
      <w:pPr>
        <w:pStyle w:val="ListParagraph"/>
        <w:numPr>
          <w:ilvl w:val="0"/>
          <w:numId w:val="1"/>
        </w:numPr>
        <w:rPr>
          <w:bCs/>
        </w:rPr>
      </w:pPr>
      <w:r w:rsidRPr="00CC66A8">
        <w:rPr>
          <w:bCs/>
        </w:rPr>
        <w:t xml:space="preserve">Are you aware of Stanford Health System’s Cost Savings Reinvestment Program (CSRP)? Can you describe what it is in your own words? </w:t>
      </w:r>
    </w:p>
    <w:p w14:paraId="40980FF2" w14:textId="77777777" w:rsidR="00503FA0" w:rsidRPr="00CC66A8" w:rsidRDefault="00503FA0" w:rsidP="00503FA0">
      <w:pPr>
        <w:pStyle w:val="ListParagraph"/>
        <w:numPr>
          <w:ilvl w:val="0"/>
          <w:numId w:val="1"/>
        </w:numPr>
        <w:rPr>
          <w:bCs/>
        </w:rPr>
      </w:pPr>
      <w:r w:rsidRPr="00CC66A8">
        <w:rPr>
          <w:bCs/>
        </w:rPr>
        <w:t>Do you feel physicians have a responsibility as a part of their jobs to innovate around saving money in healthcare? Why or why not?</w:t>
      </w:r>
    </w:p>
    <w:p w14:paraId="24A88F42" w14:textId="77777777" w:rsidR="00503FA0" w:rsidRPr="00CC66A8" w:rsidRDefault="00503FA0" w:rsidP="00503FA0">
      <w:pPr>
        <w:rPr>
          <w:bCs/>
        </w:rPr>
      </w:pPr>
    </w:p>
    <w:p w14:paraId="718C905E" w14:textId="77777777" w:rsidR="00503FA0" w:rsidRPr="00CC66A8" w:rsidRDefault="00503FA0" w:rsidP="00503FA0">
      <w:pPr>
        <w:rPr>
          <w:bCs/>
        </w:rPr>
      </w:pPr>
      <w:r w:rsidRPr="00CC66A8">
        <w:rPr>
          <w:bCs/>
        </w:rPr>
        <w:t>Tell me about your participation in the program:</w:t>
      </w:r>
    </w:p>
    <w:p w14:paraId="388B6B99" w14:textId="77777777" w:rsidR="00503FA0" w:rsidRPr="00CC66A8" w:rsidRDefault="00503FA0" w:rsidP="00503FA0">
      <w:pPr>
        <w:pStyle w:val="ListParagraph"/>
        <w:numPr>
          <w:ilvl w:val="0"/>
          <w:numId w:val="1"/>
        </w:numPr>
      </w:pPr>
      <w:r w:rsidRPr="00CC66A8">
        <w:t xml:space="preserve">Why did you participate in the program? What aspects of the program did you find the most appealing? </w:t>
      </w:r>
    </w:p>
    <w:p w14:paraId="57AB9363" w14:textId="77777777" w:rsidR="00503FA0" w:rsidRPr="00CC66A8" w:rsidRDefault="00503FA0" w:rsidP="00503FA0">
      <w:pPr>
        <w:pStyle w:val="ListParagraph"/>
        <w:numPr>
          <w:ilvl w:val="0"/>
          <w:numId w:val="1"/>
        </w:numPr>
      </w:pPr>
      <w:r w:rsidRPr="00CC66A8">
        <w:t>What aspects of the program did you find the least appealing? Why do you think others have not participated in the program?</w:t>
      </w:r>
    </w:p>
    <w:p w14:paraId="6C422FC1" w14:textId="77777777" w:rsidR="00503FA0" w:rsidRPr="00CC66A8" w:rsidRDefault="00503FA0" w:rsidP="00503FA0">
      <w:pPr>
        <w:pStyle w:val="ListParagraph"/>
        <w:numPr>
          <w:ilvl w:val="0"/>
          <w:numId w:val="1"/>
        </w:numPr>
      </w:pPr>
      <w:r w:rsidRPr="00CC66A8">
        <w:t xml:space="preserve">Tell me about your role in the CSRP project. </w:t>
      </w:r>
    </w:p>
    <w:p w14:paraId="422EE371" w14:textId="77777777" w:rsidR="00503FA0" w:rsidRPr="00CC66A8" w:rsidRDefault="00503FA0" w:rsidP="00503FA0">
      <w:pPr>
        <w:pStyle w:val="ListParagraph"/>
        <w:numPr>
          <w:ilvl w:val="0"/>
          <w:numId w:val="1"/>
        </w:numPr>
      </w:pPr>
      <w:r w:rsidRPr="00CC66A8">
        <w:t xml:space="preserve">How long had you or a colleague had the idea for the intervention? </w:t>
      </w:r>
    </w:p>
    <w:p w14:paraId="1BD84849" w14:textId="77777777" w:rsidR="00503FA0" w:rsidRPr="00CC66A8" w:rsidRDefault="00503FA0" w:rsidP="00503FA0">
      <w:pPr>
        <w:pStyle w:val="ListParagraph"/>
        <w:numPr>
          <w:ilvl w:val="1"/>
          <w:numId w:val="2"/>
        </w:numPr>
      </w:pPr>
      <w:r w:rsidRPr="00CC66A8">
        <w:rPr>
          <w:i/>
        </w:rPr>
        <w:t>If this was a pre-existing idea,</w:t>
      </w:r>
      <w:r w:rsidRPr="00CC66A8">
        <w:t xml:space="preserve"> was the idea pursued earlier? Why or why not? What barriers did you face to achieving success? </w:t>
      </w:r>
    </w:p>
    <w:p w14:paraId="5359D104" w14:textId="77777777" w:rsidR="00503FA0" w:rsidRPr="00CC66A8" w:rsidRDefault="00503FA0" w:rsidP="00503FA0">
      <w:pPr>
        <w:pStyle w:val="ListParagraph"/>
        <w:numPr>
          <w:ilvl w:val="1"/>
          <w:numId w:val="2"/>
        </w:numPr>
      </w:pPr>
      <w:r w:rsidRPr="00CC66A8">
        <w:rPr>
          <w:i/>
        </w:rPr>
        <w:t xml:space="preserve">If this was a new idea, </w:t>
      </w:r>
      <w:r w:rsidRPr="00CC66A8">
        <w:t>what was your ‘ideation’ process? Did you work with colleagues or individually?</w:t>
      </w:r>
    </w:p>
    <w:p w14:paraId="37B45EA5" w14:textId="77777777" w:rsidR="00503FA0" w:rsidRPr="00CC66A8" w:rsidRDefault="00503FA0" w:rsidP="00503FA0">
      <w:pPr>
        <w:pStyle w:val="ListParagraph"/>
        <w:numPr>
          <w:ilvl w:val="0"/>
          <w:numId w:val="1"/>
        </w:numPr>
      </w:pPr>
      <w:r w:rsidRPr="00CC66A8">
        <w:t>How will the reinvested funds be used? What role did you play in that decision?</w:t>
      </w:r>
    </w:p>
    <w:p w14:paraId="1D9FB1C4" w14:textId="77777777" w:rsidR="00503FA0" w:rsidRPr="00CC66A8" w:rsidRDefault="00503FA0" w:rsidP="00503FA0">
      <w:pPr>
        <w:pStyle w:val="ListParagraph"/>
        <w:numPr>
          <w:ilvl w:val="0"/>
          <w:numId w:val="1"/>
        </w:numPr>
      </w:pPr>
      <w:r w:rsidRPr="00CC66A8">
        <w:t>Approximately how many hours did you dedicate to this project per week? Per month? Per year? What percentage of this time was uncompensated (</w:t>
      </w:r>
      <w:proofErr w:type="gramStart"/>
      <w:r w:rsidRPr="00CC66A8">
        <w:t>i.e.</w:t>
      </w:r>
      <w:proofErr w:type="gramEnd"/>
      <w:r w:rsidRPr="00CC66A8">
        <w:t xml:space="preserve"> in addition to your baseline level of work)?</w:t>
      </w:r>
    </w:p>
    <w:p w14:paraId="28BCAA4E" w14:textId="77777777" w:rsidR="00D060B5" w:rsidRPr="00CC66A8" w:rsidRDefault="00503FA0" w:rsidP="00D060B5">
      <w:pPr>
        <w:pStyle w:val="ListParagraph"/>
        <w:numPr>
          <w:ilvl w:val="0"/>
          <w:numId w:val="1"/>
        </w:numPr>
      </w:pPr>
      <w:r w:rsidRPr="00CC66A8">
        <w:t>What made the program work well? What would have made the program better?</w:t>
      </w:r>
    </w:p>
    <w:p w14:paraId="712FD09A" w14:textId="0F7EA385" w:rsidR="00741BC9" w:rsidRDefault="00D060B5" w:rsidP="00D060B5">
      <w:pPr>
        <w:pStyle w:val="ListParagraph"/>
        <w:numPr>
          <w:ilvl w:val="0"/>
          <w:numId w:val="1"/>
        </w:numPr>
        <w:ind w:left="540"/>
        <w:rPr>
          <w:bCs/>
        </w:rPr>
      </w:pPr>
      <w:r w:rsidRPr="00CC66A8">
        <w:t>I</w:t>
      </w:r>
      <w:r w:rsidR="00503FA0" w:rsidRPr="00CC66A8">
        <w:rPr>
          <w:bCs/>
        </w:rPr>
        <w:t>s there anything else I should know or should have asked about CSRP?</w:t>
      </w:r>
    </w:p>
    <w:p w14:paraId="526296CF" w14:textId="75F0545C" w:rsidR="00503FA0" w:rsidRPr="00E233FD" w:rsidRDefault="00503FA0" w:rsidP="00503FA0">
      <w:pPr>
        <w:rPr>
          <w:rFonts w:eastAsiaTheme="minorEastAsia"/>
          <w:bCs/>
          <w:lang w:eastAsia="zh-CN"/>
        </w:rPr>
      </w:pPr>
      <w:r w:rsidRPr="00CC66A8">
        <w:rPr>
          <w:bCs/>
        </w:rPr>
        <w:br w:type="page"/>
      </w:r>
      <w:r w:rsidRPr="006B1978">
        <w:rPr>
          <w:b/>
          <w:bCs/>
        </w:rPr>
        <w:lastRenderedPageBreak/>
        <w:t xml:space="preserve">Appendix </w:t>
      </w:r>
      <w:r w:rsidR="00EA3C62">
        <w:rPr>
          <w:b/>
          <w:bCs/>
        </w:rPr>
        <w:t>C</w:t>
      </w:r>
      <w:r w:rsidRPr="006B1978">
        <w:rPr>
          <w:b/>
          <w:bCs/>
        </w:rPr>
        <w:t>:</w:t>
      </w:r>
      <w:r w:rsidRPr="00CC66A8">
        <w:rPr>
          <w:b/>
          <w:bCs/>
        </w:rPr>
        <w:t xml:space="preserve"> Cost Savings Reinvestment Program Evaluation Interviewee Characteristics</w:t>
      </w:r>
    </w:p>
    <w:tbl>
      <w:tblPr>
        <w:tblpPr w:leftFromText="180" w:rightFromText="180" w:horzAnchor="margin" w:tblpY="315"/>
        <w:tblW w:w="9090" w:type="dxa"/>
        <w:tblLayout w:type="fixed"/>
        <w:tblLook w:val="04A0" w:firstRow="1" w:lastRow="0" w:firstColumn="1" w:lastColumn="0" w:noHBand="0" w:noVBand="1"/>
      </w:tblPr>
      <w:tblGrid>
        <w:gridCol w:w="3060"/>
        <w:gridCol w:w="3015"/>
        <w:gridCol w:w="3015"/>
      </w:tblGrid>
      <w:tr w:rsidR="00503FA0" w:rsidRPr="00CC66A8" w14:paraId="221E2C3F" w14:textId="77777777" w:rsidTr="00832E6C">
        <w:trPr>
          <w:trHeight w:val="300"/>
        </w:trPr>
        <w:tc>
          <w:tcPr>
            <w:tcW w:w="3060" w:type="dxa"/>
            <w:tcBorders>
              <w:top w:val="single" w:sz="4" w:space="0" w:color="auto"/>
              <w:left w:val="nil"/>
              <w:bottom w:val="single" w:sz="4" w:space="0" w:color="auto"/>
              <w:right w:val="nil"/>
            </w:tcBorders>
            <w:shd w:val="clear" w:color="000000" w:fill="FFFFFF"/>
            <w:noWrap/>
            <w:vAlign w:val="center"/>
            <w:hideMark/>
          </w:tcPr>
          <w:p w14:paraId="2B406E93" w14:textId="77777777" w:rsidR="00503FA0" w:rsidRPr="00CC66A8" w:rsidRDefault="00503FA0" w:rsidP="00832E6C">
            <w:pPr>
              <w:rPr>
                <w:b/>
                <w:bCs/>
              </w:rPr>
            </w:pPr>
            <w:r w:rsidRPr="00CC66A8">
              <w:rPr>
                <w:b/>
                <w:bCs/>
              </w:rPr>
              <w:t>Variables</w:t>
            </w:r>
          </w:p>
        </w:tc>
        <w:tc>
          <w:tcPr>
            <w:tcW w:w="3015" w:type="dxa"/>
            <w:tcBorders>
              <w:top w:val="single" w:sz="4" w:space="0" w:color="auto"/>
              <w:left w:val="nil"/>
              <w:bottom w:val="single" w:sz="4" w:space="0" w:color="auto"/>
              <w:right w:val="nil"/>
            </w:tcBorders>
            <w:shd w:val="clear" w:color="000000" w:fill="FFFFFF"/>
            <w:noWrap/>
            <w:vAlign w:val="center"/>
            <w:hideMark/>
          </w:tcPr>
          <w:p w14:paraId="61DEBC0A" w14:textId="77777777" w:rsidR="00503FA0" w:rsidRPr="00CC66A8" w:rsidRDefault="00503FA0" w:rsidP="00832E6C">
            <w:pPr>
              <w:jc w:val="center"/>
              <w:rPr>
                <w:b/>
                <w:bCs/>
              </w:rPr>
            </w:pPr>
            <w:r w:rsidRPr="00CC66A8">
              <w:rPr>
                <w:b/>
                <w:bCs/>
              </w:rPr>
              <w:t>% Participants (n)</w:t>
            </w:r>
          </w:p>
        </w:tc>
        <w:tc>
          <w:tcPr>
            <w:tcW w:w="3015" w:type="dxa"/>
            <w:tcBorders>
              <w:top w:val="single" w:sz="4" w:space="0" w:color="auto"/>
              <w:left w:val="nil"/>
              <w:bottom w:val="single" w:sz="4" w:space="0" w:color="auto"/>
              <w:right w:val="nil"/>
            </w:tcBorders>
            <w:shd w:val="clear" w:color="000000" w:fill="FFFFFF"/>
            <w:noWrap/>
            <w:vAlign w:val="bottom"/>
            <w:hideMark/>
          </w:tcPr>
          <w:p w14:paraId="38E0C624" w14:textId="77777777" w:rsidR="00503FA0" w:rsidRPr="00CC66A8" w:rsidRDefault="00503FA0" w:rsidP="00832E6C">
            <w:pPr>
              <w:jc w:val="center"/>
              <w:rPr>
                <w:b/>
                <w:bCs/>
              </w:rPr>
            </w:pPr>
            <w:r w:rsidRPr="00CC66A8">
              <w:rPr>
                <w:b/>
                <w:bCs/>
              </w:rPr>
              <w:t>% Non-Participants (n)</w:t>
            </w:r>
          </w:p>
        </w:tc>
      </w:tr>
      <w:tr w:rsidR="00503FA0" w:rsidRPr="00CC66A8" w14:paraId="7E41F53B" w14:textId="77777777" w:rsidTr="00832E6C">
        <w:trPr>
          <w:trHeight w:val="300"/>
        </w:trPr>
        <w:tc>
          <w:tcPr>
            <w:tcW w:w="3060" w:type="dxa"/>
            <w:tcBorders>
              <w:top w:val="nil"/>
              <w:left w:val="nil"/>
              <w:bottom w:val="nil"/>
              <w:right w:val="nil"/>
            </w:tcBorders>
            <w:shd w:val="clear" w:color="000000" w:fill="FFFFFF"/>
            <w:noWrap/>
            <w:vAlign w:val="center"/>
            <w:hideMark/>
          </w:tcPr>
          <w:p w14:paraId="7A942634" w14:textId="77777777" w:rsidR="00503FA0" w:rsidRPr="00CC66A8" w:rsidRDefault="00503FA0" w:rsidP="00832E6C">
            <w:r w:rsidRPr="00CC66A8">
              <w:t>Gender</w:t>
            </w:r>
          </w:p>
        </w:tc>
        <w:tc>
          <w:tcPr>
            <w:tcW w:w="3015" w:type="dxa"/>
            <w:tcBorders>
              <w:top w:val="nil"/>
              <w:left w:val="nil"/>
              <w:bottom w:val="nil"/>
              <w:right w:val="nil"/>
            </w:tcBorders>
            <w:shd w:val="clear" w:color="000000" w:fill="FFFFFF"/>
            <w:noWrap/>
            <w:vAlign w:val="center"/>
            <w:hideMark/>
          </w:tcPr>
          <w:p w14:paraId="208A975F" w14:textId="77777777" w:rsidR="00503FA0" w:rsidRPr="00CC66A8" w:rsidRDefault="00503FA0" w:rsidP="00832E6C"/>
        </w:tc>
        <w:tc>
          <w:tcPr>
            <w:tcW w:w="3015" w:type="dxa"/>
            <w:tcBorders>
              <w:top w:val="nil"/>
              <w:left w:val="nil"/>
              <w:bottom w:val="nil"/>
              <w:right w:val="nil"/>
            </w:tcBorders>
            <w:shd w:val="clear" w:color="000000" w:fill="FFFFFF"/>
            <w:noWrap/>
            <w:vAlign w:val="center"/>
            <w:hideMark/>
          </w:tcPr>
          <w:p w14:paraId="7FDDE25D" w14:textId="77777777" w:rsidR="00503FA0" w:rsidRPr="00CC66A8" w:rsidRDefault="00503FA0" w:rsidP="00832E6C"/>
        </w:tc>
      </w:tr>
      <w:tr w:rsidR="00503FA0" w:rsidRPr="00CC66A8" w14:paraId="05394256" w14:textId="77777777" w:rsidTr="00832E6C">
        <w:trPr>
          <w:trHeight w:val="300"/>
        </w:trPr>
        <w:tc>
          <w:tcPr>
            <w:tcW w:w="3060" w:type="dxa"/>
            <w:tcBorders>
              <w:top w:val="nil"/>
              <w:left w:val="nil"/>
              <w:bottom w:val="nil"/>
              <w:right w:val="nil"/>
            </w:tcBorders>
            <w:shd w:val="clear" w:color="000000" w:fill="FFFFFF"/>
            <w:noWrap/>
            <w:vAlign w:val="bottom"/>
            <w:hideMark/>
          </w:tcPr>
          <w:p w14:paraId="4369C48E" w14:textId="77777777" w:rsidR="00503FA0" w:rsidRPr="00CC66A8" w:rsidRDefault="00503FA0" w:rsidP="00832E6C">
            <w:pPr>
              <w:ind w:firstLineChars="200" w:firstLine="480"/>
            </w:pPr>
            <w:r w:rsidRPr="00CC66A8">
              <w:t>Male</w:t>
            </w:r>
          </w:p>
        </w:tc>
        <w:tc>
          <w:tcPr>
            <w:tcW w:w="3015" w:type="dxa"/>
            <w:tcBorders>
              <w:top w:val="nil"/>
              <w:left w:val="nil"/>
              <w:bottom w:val="nil"/>
              <w:right w:val="nil"/>
            </w:tcBorders>
            <w:shd w:val="clear" w:color="000000" w:fill="FFFFFF"/>
            <w:noWrap/>
            <w:vAlign w:val="bottom"/>
            <w:hideMark/>
          </w:tcPr>
          <w:p w14:paraId="4BA6599F" w14:textId="243D23A3" w:rsidR="00503FA0" w:rsidRPr="00CC66A8" w:rsidRDefault="00A21D51" w:rsidP="00832E6C">
            <w:pPr>
              <w:jc w:val="center"/>
            </w:pPr>
            <w:r>
              <w:t>63</w:t>
            </w:r>
            <w:r w:rsidR="00503FA0" w:rsidRPr="00CC66A8">
              <w:t>.</w:t>
            </w:r>
            <w:r>
              <w:t>0</w:t>
            </w:r>
            <w:r w:rsidR="00503FA0" w:rsidRPr="00CC66A8">
              <w:t>% (17)</w:t>
            </w:r>
          </w:p>
        </w:tc>
        <w:tc>
          <w:tcPr>
            <w:tcW w:w="3015" w:type="dxa"/>
            <w:tcBorders>
              <w:top w:val="nil"/>
              <w:left w:val="nil"/>
              <w:bottom w:val="nil"/>
              <w:right w:val="nil"/>
            </w:tcBorders>
            <w:shd w:val="clear" w:color="000000" w:fill="FFFFFF"/>
            <w:noWrap/>
            <w:vAlign w:val="bottom"/>
            <w:hideMark/>
          </w:tcPr>
          <w:p w14:paraId="47C90107" w14:textId="65AC4084" w:rsidR="00503FA0" w:rsidRPr="00CC66A8" w:rsidRDefault="00EA3C62" w:rsidP="00832E6C">
            <w:pPr>
              <w:jc w:val="center"/>
            </w:pPr>
            <w:r>
              <w:t>6</w:t>
            </w:r>
            <w:r w:rsidR="00431EC7">
              <w:t>0.0</w:t>
            </w:r>
            <w:r w:rsidR="00503FA0" w:rsidRPr="00CC66A8">
              <w:t>% (3)</w:t>
            </w:r>
          </w:p>
        </w:tc>
      </w:tr>
      <w:tr w:rsidR="00503FA0" w:rsidRPr="00CC66A8" w14:paraId="5EA50401" w14:textId="77777777" w:rsidTr="00832E6C">
        <w:trPr>
          <w:trHeight w:val="300"/>
        </w:trPr>
        <w:tc>
          <w:tcPr>
            <w:tcW w:w="3060" w:type="dxa"/>
            <w:tcBorders>
              <w:top w:val="nil"/>
              <w:left w:val="nil"/>
              <w:bottom w:val="nil"/>
              <w:right w:val="nil"/>
            </w:tcBorders>
            <w:shd w:val="clear" w:color="000000" w:fill="FFFFFF"/>
            <w:noWrap/>
            <w:vAlign w:val="bottom"/>
            <w:hideMark/>
          </w:tcPr>
          <w:p w14:paraId="00B29A17" w14:textId="77777777" w:rsidR="00503FA0" w:rsidRPr="00CC66A8" w:rsidRDefault="00503FA0" w:rsidP="00832E6C">
            <w:pPr>
              <w:ind w:firstLineChars="200" w:firstLine="480"/>
            </w:pPr>
            <w:r w:rsidRPr="00CC66A8">
              <w:t>Female</w:t>
            </w:r>
          </w:p>
        </w:tc>
        <w:tc>
          <w:tcPr>
            <w:tcW w:w="3015" w:type="dxa"/>
            <w:tcBorders>
              <w:top w:val="nil"/>
              <w:left w:val="nil"/>
              <w:bottom w:val="nil"/>
              <w:right w:val="nil"/>
            </w:tcBorders>
            <w:shd w:val="clear" w:color="000000" w:fill="FFFFFF"/>
            <w:noWrap/>
            <w:vAlign w:val="bottom"/>
            <w:hideMark/>
          </w:tcPr>
          <w:p w14:paraId="5ECE0459" w14:textId="3FBED988" w:rsidR="00503FA0" w:rsidRPr="00CC66A8" w:rsidRDefault="00A21D51" w:rsidP="00832E6C">
            <w:pPr>
              <w:jc w:val="center"/>
            </w:pPr>
            <w:r>
              <w:t>37</w:t>
            </w:r>
            <w:r w:rsidR="00503FA0" w:rsidRPr="00CC66A8">
              <w:t>.</w:t>
            </w:r>
            <w:r>
              <w:t>0</w:t>
            </w:r>
            <w:r w:rsidR="00503FA0" w:rsidRPr="00CC66A8">
              <w:t>% (10)</w:t>
            </w:r>
          </w:p>
        </w:tc>
        <w:tc>
          <w:tcPr>
            <w:tcW w:w="3015" w:type="dxa"/>
            <w:tcBorders>
              <w:top w:val="nil"/>
              <w:left w:val="nil"/>
              <w:bottom w:val="nil"/>
              <w:right w:val="nil"/>
            </w:tcBorders>
            <w:shd w:val="clear" w:color="000000" w:fill="FFFFFF"/>
            <w:noWrap/>
            <w:vAlign w:val="bottom"/>
            <w:hideMark/>
          </w:tcPr>
          <w:p w14:paraId="2089B9AE" w14:textId="0F55844E" w:rsidR="00503FA0" w:rsidRPr="00CC66A8" w:rsidRDefault="00EA3C62" w:rsidP="00832E6C">
            <w:pPr>
              <w:jc w:val="center"/>
            </w:pPr>
            <w:r>
              <w:t>4</w:t>
            </w:r>
            <w:r w:rsidR="00431EC7">
              <w:t>0.0</w:t>
            </w:r>
            <w:r w:rsidR="00503FA0" w:rsidRPr="00CC66A8">
              <w:t>% (</w:t>
            </w:r>
            <w:r>
              <w:t>2</w:t>
            </w:r>
            <w:r w:rsidR="00503FA0" w:rsidRPr="00CC66A8">
              <w:t>)</w:t>
            </w:r>
          </w:p>
        </w:tc>
      </w:tr>
      <w:tr w:rsidR="00503FA0" w:rsidRPr="00CC66A8" w14:paraId="7406FB6A" w14:textId="77777777" w:rsidTr="00832E6C">
        <w:trPr>
          <w:trHeight w:val="300"/>
        </w:trPr>
        <w:tc>
          <w:tcPr>
            <w:tcW w:w="3060" w:type="dxa"/>
            <w:tcBorders>
              <w:top w:val="nil"/>
              <w:left w:val="nil"/>
              <w:bottom w:val="nil"/>
              <w:right w:val="nil"/>
            </w:tcBorders>
            <w:shd w:val="clear" w:color="000000" w:fill="FFFFFF"/>
            <w:noWrap/>
            <w:vAlign w:val="center"/>
            <w:hideMark/>
          </w:tcPr>
          <w:p w14:paraId="7B977240" w14:textId="77777777" w:rsidR="00503FA0" w:rsidRPr="00CC66A8" w:rsidRDefault="00503FA0" w:rsidP="00832E6C">
            <w:r w:rsidRPr="00CC66A8">
              <w:t>Role</w:t>
            </w:r>
          </w:p>
        </w:tc>
        <w:tc>
          <w:tcPr>
            <w:tcW w:w="3015" w:type="dxa"/>
            <w:vMerge w:val="restart"/>
            <w:tcBorders>
              <w:top w:val="nil"/>
              <w:left w:val="nil"/>
              <w:bottom w:val="nil"/>
              <w:right w:val="nil"/>
            </w:tcBorders>
            <w:shd w:val="clear" w:color="000000" w:fill="FFFFFF"/>
            <w:noWrap/>
            <w:vAlign w:val="bottom"/>
            <w:hideMark/>
          </w:tcPr>
          <w:p w14:paraId="7C0703EC" w14:textId="71984B48" w:rsidR="00503FA0" w:rsidRPr="00CC66A8" w:rsidRDefault="00A21D51" w:rsidP="00832E6C">
            <w:pPr>
              <w:jc w:val="center"/>
            </w:pPr>
            <w:r>
              <w:t>44</w:t>
            </w:r>
            <w:r w:rsidR="00503FA0" w:rsidRPr="00CC66A8">
              <w:t>.4% (12)</w:t>
            </w:r>
          </w:p>
        </w:tc>
        <w:tc>
          <w:tcPr>
            <w:tcW w:w="3015" w:type="dxa"/>
            <w:vMerge w:val="restart"/>
            <w:tcBorders>
              <w:top w:val="nil"/>
              <w:left w:val="nil"/>
              <w:bottom w:val="nil"/>
              <w:right w:val="nil"/>
            </w:tcBorders>
            <w:shd w:val="clear" w:color="000000" w:fill="FFFFFF"/>
            <w:noWrap/>
            <w:vAlign w:val="bottom"/>
            <w:hideMark/>
          </w:tcPr>
          <w:p w14:paraId="342E6C8C" w14:textId="227FB875" w:rsidR="00503FA0" w:rsidRPr="00CC66A8" w:rsidRDefault="00503FA0" w:rsidP="00832E6C">
            <w:pPr>
              <w:jc w:val="center"/>
            </w:pPr>
            <w:r w:rsidRPr="00CC66A8">
              <w:t>1</w:t>
            </w:r>
            <w:r w:rsidR="00431EC7">
              <w:t>00.0</w:t>
            </w:r>
            <w:r w:rsidRPr="00CC66A8">
              <w:t>% (</w:t>
            </w:r>
            <w:r w:rsidR="00EA3C62">
              <w:t>5</w:t>
            </w:r>
            <w:r w:rsidRPr="00CC66A8">
              <w:t>)</w:t>
            </w:r>
          </w:p>
        </w:tc>
      </w:tr>
      <w:tr w:rsidR="00503FA0" w:rsidRPr="00CC66A8" w14:paraId="6BCEDCD2" w14:textId="77777777" w:rsidTr="00832E6C">
        <w:trPr>
          <w:trHeight w:val="300"/>
        </w:trPr>
        <w:tc>
          <w:tcPr>
            <w:tcW w:w="3060" w:type="dxa"/>
            <w:tcBorders>
              <w:top w:val="nil"/>
              <w:left w:val="nil"/>
              <w:bottom w:val="nil"/>
              <w:right w:val="nil"/>
            </w:tcBorders>
            <w:shd w:val="clear" w:color="000000" w:fill="FFFFFF"/>
            <w:noWrap/>
            <w:vAlign w:val="bottom"/>
            <w:hideMark/>
          </w:tcPr>
          <w:p w14:paraId="4AE8196D" w14:textId="77777777" w:rsidR="00503FA0" w:rsidRPr="00CC66A8" w:rsidRDefault="00503FA0" w:rsidP="00832E6C">
            <w:pPr>
              <w:ind w:firstLineChars="200" w:firstLine="480"/>
            </w:pPr>
            <w:r w:rsidRPr="00CC66A8">
              <w:t>Physician</w:t>
            </w:r>
          </w:p>
        </w:tc>
        <w:tc>
          <w:tcPr>
            <w:tcW w:w="3015" w:type="dxa"/>
            <w:vMerge/>
            <w:tcBorders>
              <w:top w:val="nil"/>
              <w:left w:val="nil"/>
              <w:bottom w:val="nil"/>
              <w:right w:val="nil"/>
            </w:tcBorders>
            <w:vAlign w:val="bottom"/>
            <w:hideMark/>
          </w:tcPr>
          <w:p w14:paraId="4524579E" w14:textId="77777777" w:rsidR="00503FA0" w:rsidRPr="00CC66A8" w:rsidRDefault="00503FA0" w:rsidP="00832E6C">
            <w:pPr>
              <w:jc w:val="center"/>
            </w:pPr>
          </w:p>
        </w:tc>
        <w:tc>
          <w:tcPr>
            <w:tcW w:w="3015" w:type="dxa"/>
            <w:vMerge/>
            <w:tcBorders>
              <w:top w:val="nil"/>
              <w:left w:val="nil"/>
              <w:bottom w:val="nil"/>
              <w:right w:val="nil"/>
            </w:tcBorders>
            <w:vAlign w:val="bottom"/>
            <w:hideMark/>
          </w:tcPr>
          <w:p w14:paraId="1E422D41" w14:textId="77777777" w:rsidR="00503FA0" w:rsidRPr="00CC66A8" w:rsidRDefault="00503FA0" w:rsidP="00832E6C">
            <w:pPr>
              <w:jc w:val="center"/>
            </w:pPr>
          </w:p>
        </w:tc>
      </w:tr>
      <w:tr w:rsidR="00503FA0" w:rsidRPr="00CC66A8" w14:paraId="46EBBE98" w14:textId="77777777" w:rsidTr="00832E6C">
        <w:trPr>
          <w:trHeight w:val="300"/>
        </w:trPr>
        <w:tc>
          <w:tcPr>
            <w:tcW w:w="3060" w:type="dxa"/>
            <w:tcBorders>
              <w:top w:val="nil"/>
              <w:left w:val="nil"/>
              <w:bottom w:val="nil"/>
              <w:right w:val="nil"/>
            </w:tcBorders>
            <w:shd w:val="clear" w:color="000000" w:fill="FFFFFF"/>
            <w:noWrap/>
            <w:vAlign w:val="bottom"/>
            <w:hideMark/>
          </w:tcPr>
          <w:p w14:paraId="79FA45B1" w14:textId="77777777" w:rsidR="00503FA0" w:rsidRPr="00CC66A8" w:rsidRDefault="00503FA0" w:rsidP="00832E6C">
            <w:pPr>
              <w:ind w:firstLineChars="200" w:firstLine="480"/>
            </w:pPr>
            <w:r w:rsidRPr="00CC66A8">
              <w:t>Chair of Department</w:t>
            </w:r>
          </w:p>
        </w:tc>
        <w:tc>
          <w:tcPr>
            <w:tcW w:w="3015" w:type="dxa"/>
            <w:tcBorders>
              <w:top w:val="nil"/>
              <w:left w:val="nil"/>
              <w:bottom w:val="nil"/>
              <w:right w:val="nil"/>
            </w:tcBorders>
            <w:shd w:val="clear" w:color="000000" w:fill="FFFFFF"/>
            <w:noWrap/>
            <w:vAlign w:val="bottom"/>
            <w:hideMark/>
          </w:tcPr>
          <w:p w14:paraId="11509C9A" w14:textId="332127D6" w:rsidR="00503FA0" w:rsidRPr="00CC66A8" w:rsidRDefault="00503FA0" w:rsidP="00832E6C">
            <w:pPr>
              <w:jc w:val="center"/>
            </w:pPr>
            <w:r w:rsidRPr="00CC66A8">
              <w:t>1</w:t>
            </w:r>
            <w:r w:rsidR="00A21D51">
              <w:t>8.5</w:t>
            </w:r>
            <w:r w:rsidRPr="00CC66A8">
              <w:t>% (5)</w:t>
            </w:r>
          </w:p>
        </w:tc>
        <w:tc>
          <w:tcPr>
            <w:tcW w:w="3015" w:type="dxa"/>
            <w:tcBorders>
              <w:top w:val="nil"/>
              <w:left w:val="nil"/>
              <w:bottom w:val="nil"/>
              <w:right w:val="nil"/>
            </w:tcBorders>
            <w:shd w:val="clear" w:color="000000" w:fill="FFFFFF"/>
            <w:noWrap/>
            <w:vAlign w:val="bottom"/>
            <w:hideMark/>
          </w:tcPr>
          <w:p w14:paraId="5C9478D1" w14:textId="3004ED97" w:rsidR="00503FA0" w:rsidRPr="00CC66A8" w:rsidRDefault="00431EC7" w:rsidP="00832E6C">
            <w:pPr>
              <w:jc w:val="center"/>
            </w:pPr>
            <w:r>
              <w:t>Not applicable</w:t>
            </w:r>
          </w:p>
        </w:tc>
      </w:tr>
      <w:tr w:rsidR="00503FA0" w:rsidRPr="00CC66A8" w14:paraId="53B8F140" w14:textId="77777777" w:rsidTr="00832E6C">
        <w:trPr>
          <w:trHeight w:val="300"/>
        </w:trPr>
        <w:tc>
          <w:tcPr>
            <w:tcW w:w="3060" w:type="dxa"/>
            <w:tcBorders>
              <w:top w:val="nil"/>
              <w:left w:val="nil"/>
              <w:bottom w:val="nil"/>
              <w:right w:val="nil"/>
            </w:tcBorders>
            <w:shd w:val="clear" w:color="000000" w:fill="FFFFFF"/>
            <w:noWrap/>
            <w:vAlign w:val="bottom"/>
          </w:tcPr>
          <w:p w14:paraId="5CFBB0CC" w14:textId="3D4C3E46" w:rsidR="00503FA0" w:rsidRPr="00CC66A8" w:rsidRDefault="00503FA0" w:rsidP="00832E6C">
            <w:pPr>
              <w:ind w:firstLineChars="200" w:firstLine="480"/>
            </w:pPr>
            <w:r w:rsidRPr="00CC66A8">
              <w:t>Administrat</w:t>
            </w:r>
            <w:r w:rsidR="00A21D51">
              <w:t>or</w:t>
            </w:r>
          </w:p>
        </w:tc>
        <w:tc>
          <w:tcPr>
            <w:tcW w:w="3015" w:type="dxa"/>
            <w:tcBorders>
              <w:top w:val="nil"/>
              <w:left w:val="nil"/>
              <w:bottom w:val="nil"/>
              <w:right w:val="nil"/>
            </w:tcBorders>
            <w:shd w:val="clear" w:color="000000" w:fill="FFFFFF"/>
            <w:noWrap/>
            <w:vAlign w:val="bottom"/>
          </w:tcPr>
          <w:p w14:paraId="3EBA6B4F" w14:textId="5F268115" w:rsidR="00503FA0" w:rsidRPr="00CC66A8" w:rsidRDefault="00503FA0" w:rsidP="00832E6C">
            <w:pPr>
              <w:jc w:val="center"/>
            </w:pPr>
            <w:r w:rsidRPr="00CC66A8">
              <w:t>3</w:t>
            </w:r>
            <w:r w:rsidR="00A21D51">
              <w:t>7</w:t>
            </w:r>
            <w:r w:rsidRPr="00CC66A8">
              <w:t>.</w:t>
            </w:r>
            <w:r w:rsidR="00A21D51">
              <w:t>0</w:t>
            </w:r>
            <w:r w:rsidRPr="00CC66A8">
              <w:t>% (10)</w:t>
            </w:r>
          </w:p>
        </w:tc>
        <w:tc>
          <w:tcPr>
            <w:tcW w:w="3015" w:type="dxa"/>
            <w:tcBorders>
              <w:top w:val="nil"/>
              <w:left w:val="nil"/>
              <w:bottom w:val="nil"/>
              <w:right w:val="nil"/>
            </w:tcBorders>
            <w:shd w:val="clear" w:color="000000" w:fill="FFFFFF"/>
            <w:noWrap/>
            <w:vAlign w:val="bottom"/>
          </w:tcPr>
          <w:p w14:paraId="10B39071" w14:textId="6BA1A6CB" w:rsidR="00503FA0" w:rsidRPr="00CC66A8" w:rsidRDefault="00431EC7" w:rsidP="00832E6C">
            <w:pPr>
              <w:jc w:val="center"/>
            </w:pPr>
            <w:r>
              <w:t>Not applicable</w:t>
            </w:r>
          </w:p>
        </w:tc>
      </w:tr>
      <w:tr w:rsidR="00503FA0" w:rsidRPr="00CC66A8" w14:paraId="2F9852A4" w14:textId="77777777" w:rsidTr="00832E6C">
        <w:trPr>
          <w:trHeight w:val="300"/>
        </w:trPr>
        <w:tc>
          <w:tcPr>
            <w:tcW w:w="3060" w:type="dxa"/>
            <w:tcBorders>
              <w:top w:val="nil"/>
              <w:left w:val="nil"/>
              <w:bottom w:val="nil"/>
              <w:right w:val="nil"/>
            </w:tcBorders>
            <w:shd w:val="clear" w:color="000000" w:fill="FFFFFF"/>
            <w:noWrap/>
            <w:vAlign w:val="center"/>
            <w:hideMark/>
          </w:tcPr>
          <w:p w14:paraId="790C18E9" w14:textId="77777777" w:rsidR="00503FA0" w:rsidRPr="00CC66A8" w:rsidRDefault="00503FA0" w:rsidP="00832E6C">
            <w:r w:rsidRPr="00CC66A8">
              <w:t>Years in Occupation</w:t>
            </w:r>
          </w:p>
        </w:tc>
        <w:tc>
          <w:tcPr>
            <w:tcW w:w="3015" w:type="dxa"/>
            <w:vMerge w:val="restart"/>
            <w:tcBorders>
              <w:top w:val="nil"/>
              <w:left w:val="nil"/>
              <w:bottom w:val="nil"/>
              <w:right w:val="nil"/>
            </w:tcBorders>
            <w:shd w:val="clear" w:color="000000" w:fill="FFFFFF"/>
            <w:noWrap/>
            <w:vAlign w:val="bottom"/>
            <w:hideMark/>
          </w:tcPr>
          <w:p w14:paraId="60249BBA" w14:textId="77777777" w:rsidR="00503FA0" w:rsidRPr="00CC66A8" w:rsidRDefault="00503FA0" w:rsidP="00832E6C">
            <w:pPr>
              <w:jc w:val="center"/>
            </w:pPr>
            <w:r w:rsidRPr="00CC66A8">
              <w:t>0.0% (0)</w:t>
            </w:r>
          </w:p>
        </w:tc>
        <w:tc>
          <w:tcPr>
            <w:tcW w:w="3015" w:type="dxa"/>
            <w:vMerge w:val="restart"/>
            <w:tcBorders>
              <w:top w:val="nil"/>
              <w:left w:val="nil"/>
              <w:bottom w:val="nil"/>
              <w:right w:val="nil"/>
            </w:tcBorders>
            <w:shd w:val="clear" w:color="000000" w:fill="FFFFFF"/>
            <w:noWrap/>
            <w:vAlign w:val="bottom"/>
            <w:hideMark/>
          </w:tcPr>
          <w:p w14:paraId="77771CC9" w14:textId="2E6FA063" w:rsidR="00503FA0" w:rsidRPr="00CC66A8" w:rsidRDefault="00D7727C" w:rsidP="00832E6C">
            <w:pPr>
              <w:jc w:val="center"/>
            </w:pPr>
            <w:r>
              <w:t>20.0</w:t>
            </w:r>
            <w:r w:rsidR="00503FA0" w:rsidRPr="00CC66A8">
              <w:t>% (1)</w:t>
            </w:r>
          </w:p>
        </w:tc>
      </w:tr>
      <w:tr w:rsidR="00503FA0" w:rsidRPr="00CC66A8" w14:paraId="34599CAB" w14:textId="77777777" w:rsidTr="00832E6C">
        <w:trPr>
          <w:trHeight w:val="300"/>
        </w:trPr>
        <w:tc>
          <w:tcPr>
            <w:tcW w:w="3060" w:type="dxa"/>
            <w:tcBorders>
              <w:top w:val="nil"/>
              <w:left w:val="nil"/>
              <w:bottom w:val="nil"/>
              <w:right w:val="nil"/>
            </w:tcBorders>
            <w:shd w:val="clear" w:color="000000" w:fill="FFFFFF"/>
            <w:noWrap/>
            <w:vAlign w:val="bottom"/>
            <w:hideMark/>
          </w:tcPr>
          <w:p w14:paraId="01A72EBB" w14:textId="77777777" w:rsidR="00503FA0" w:rsidRPr="00CC66A8" w:rsidRDefault="00503FA0" w:rsidP="00832E6C">
            <w:pPr>
              <w:ind w:firstLineChars="200" w:firstLine="480"/>
            </w:pPr>
            <w:r w:rsidRPr="00CC66A8">
              <w:rPr>
                <w:rFonts w:eastAsia="STSong"/>
              </w:rPr>
              <w:t>&lt;5 Years</w:t>
            </w:r>
          </w:p>
        </w:tc>
        <w:tc>
          <w:tcPr>
            <w:tcW w:w="3015" w:type="dxa"/>
            <w:vMerge/>
            <w:tcBorders>
              <w:top w:val="nil"/>
              <w:left w:val="nil"/>
              <w:bottom w:val="nil"/>
              <w:right w:val="nil"/>
            </w:tcBorders>
            <w:vAlign w:val="bottom"/>
            <w:hideMark/>
          </w:tcPr>
          <w:p w14:paraId="05B8648C" w14:textId="77777777" w:rsidR="00503FA0" w:rsidRPr="00CC66A8" w:rsidRDefault="00503FA0" w:rsidP="00832E6C">
            <w:pPr>
              <w:jc w:val="center"/>
            </w:pPr>
          </w:p>
        </w:tc>
        <w:tc>
          <w:tcPr>
            <w:tcW w:w="3015" w:type="dxa"/>
            <w:vMerge/>
            <w:tcBorders>
              <w:top w:val="nil"/>
              <w:left w:val="nil"/>
              <w:bottom w:val="nil"/>
              <w:right w:val="nil"/>
            </w:tcBorders>
            <w:vAlign w:val="bottom"/>
            <w:hideMark/>
          </w:tcPr>
          <w:p w14:paraId="0DF61393" w14:textId="77777777" w:rsidR="00503FA0" w:rsidRPr="00CC66A8" w:rsidRDefault="00503FA0" w:rsidP="00832E6C">
            <w:pPr>
              <w:jc w:val="center"/>
            </w:pPr>
          </w:p>
        </w:tc>
      </w:tr>
      <w:tr w:rsidR="00503FA0" w:rsidRPr="00CC66A8" w14:paraId="38F7B824" w14:textId="77777777" w:rsidTr="00832E6C">
        <w:trPr>
          <w:trHeight w:val="300"/>
        </w:trPr>
        <w:tc>
          <w:tcPr>
            <w:tcW w:w="3060" w:type="dxa"/>
            <w:tcBorders>
              <w:top w:val="nil"/>
              <w:left w:val="nil"/>
              <w:bottom w:val="nil"/>
              <w:right w:val="nil"/>
            </w:tcBorders>
            <w:shd w:val="clear" w:color="000000" w:fill="FFFFFF"/>
            <w:noWrap/>
            <w:vAlign w:val="bottom"/>
            <w:hideMark/>
          </w:tcPr>
          <w:p w14:paraId="6CDC1169" w14:textId="77777777" w:rsidR="00503FA0" w:rsidRPr="00CC66A8" w:rsidRDefault="00503FA0" w:rsidP="00832E6C">
            <w:pPr>
              <w:ind w:firstLineChars="200" w:firstLine="480"/>
            </w:pPr>
            <w:r w:rsidRPr="00CC66A8">
              <w:rPr>
                <w:rFonts w:eastAsia="STSong"/>
              </w:rPr>
              <w:t>≥</w:t>
            </w:r>
            <w:r w:rsidRPr="00CC66A8">
              <w:rPr>
                <w:rFonts w:eastAsia="STSong"/>
                <w:caps/>
              </w:rPr>
              <w:t xml:space="preserve">5 </w:t>
            </w:r>
            <w:r w:rsidRPr="00CC66A8">
              <w:rPr>
                <w:rFonts w:eastAsia="STSong"/>
              </w:rPr>
              <w:t>Years</w:t>
            </w:r>
          </w:p>
        </w:tc>
        <w:tc>
          <w:tcPr>
            <w:tcW w:w="3015" w:type="dxa"/>
            <w:tcBorders>
              <w:top w:val="nil"/>
              <w:left w:val="nil"/>
              <w:bottom w:val="nil"/>
              <w:right w:val="nil"/>
            </w:tcBorders>
            <w:shd w:val="clear" w:color="000000" w:fill="FFFFFF"/>
            <w:noWrap/>
            <w:vAlign w:val="bottom"/>
            <w:hideMark/>
          </w:tcPr>
          <w:p w14:paraId="5194CB86" w14:textId="112E0E3D" w:rsidR="00503FA0" w:rsidRPr="00CC66A8" w:rsidRDefault="00A21D51" w:rsidP="00832E6C">
            <w:pPr>
              <w:jc w:val="center"/>
            </w:pPr>
            <w:r>
              <w:t>100.0</w:t>
            </w:r>
            <w:r w:rsidR="00503FA0" w:rsidRPr="00CC66A8">
              <w:t>% (27)</w:t>
            </w:r>
          </w:p>
        </w:tc>
        <w:tc>
          <w:tcPr>
            <w:tcW w:w="3015" w:type="dxa"/>
            <w:tcBorders>
              <w:top w:val="nil"/>
              <w:left w:val="nil"/>
              <w:bottom w:val="nil"/>
              <w:right w:val="nil"/>
            </w:tcBorders>
            <w:shd w:val="clear" w:color="000000" w:fill="FFFFFF"/>
            <w:noWrap/>
            <w:vAlign w:val="bottom"/>
            <w:hideMark/>
          </w:tcPr>
          <w:p w14:paraId="5450C08D" w14:textId="05FA7ECA" w:rsidR="00503FA0" w:rsidRPr="00CC66A8" w:rsidRDefault="00D7727C" w:rsidP="00832E6C">
            <w:pPr>
              <w:jc w:val="center"/>
            </w:pPr>
            <w:r>
              <w:t>80.0</w:t>
            </w:r>
            <w:r w:rsidR="00503FA0" w:rsidRPr="00CC66A8">
              <w:t>% (</w:t>
            </w:r>
            <w:r>
              <w:t>4</w:t>
            </w:r>
            <w:r w:rsidR="00503FA0" w:rsidRPr="00CC66A8">
              <w:t>)</w:t>
            </w:r>
          </w:p>
        </w:tc>
      </w:tr>
      <w:tr w:rsidR="00503FA0" w:rsidRPr="00CC66A8" w14:paraId="3656A75F" w14:textId="77777777" w:rsidTr="00832E6C">
        <w:trPr>
          <w:trHeight w:val="300"/>
        </w:trPr>
        <w:tc>
          <w:tcPr>
            <w:tcW w:w="3060" w:type="dxa"/>
            <w:tcBorders>
              <w:top w:val="nil"/>
              <w:left w:val="nil"/>
              <w:bottom w:val="nil"/>
              <w:right w:val="nil"/>
            </w:tcBorders>
            <w:shd w:val="clear" w:color="000000" w:fill="FFFFFF"/>
            <w:noWrap/>
            <w:vAlign w:val="center"/>
            <w:hideMark/>
          </w:tcPr>
          <w:p w14:paraId="12600B88" w14:textId="77777777" w:rsidR="00503FA0" w:rsidRPr="00CC66A8" w:rsidRDefault="00503FA0" w:rsidP="00832E6C">
            <w:r w:rsidRPr="00CC66A8">
              <w:t>Years at Stanford</w:t>
            </w:r>
          </w:p>
        </w:tc>
        <w:tc>
          <w:tcPr>
            <w:tcW w:w="3015" w:type="dxa"/>
            <w:vMerge w:val="restart"/>
            <w:tcBorders>
              <w:top w:val="nil"/>
              <w:left w:val="nil"/>
              <w:bottom w:val="nil"/>
              <w:right w:val="nil"/>
            </w:tcBorders>
            <w:shd w:val="clear" w:color="000000" w:fill="FFFFFF"/>
            <w:noWrap/>
            <w:vAlign w:val="bottom"/>
            <w:hideMark/>
          </w:tcPr>
          <w:p w14:paraId="09A71AB4" w14:textId="717DB0C8" w:rsidR="00503FA0" w:rsidRPr="00CC66A8" w:rsidRDefault="00503FA0" w:rsidP="00832E6C">
            <w:pPr>
              <w:jc w:val="center"/>
            </w:pPr>
            <w:r w:rsidRPr="00CC66A8">
              <w:t>2</w:t>
            </w:r>
            <w:r w:rsidR="00431EC7">
              <w:t>5</w:t>
            </w:r>
            <w:r w:rsidRPr="00CC66A8">
              <w:t>.</w:t>
            </w:r>
            <w:r w:rsidR="00431EC7">
              <w:t>9</w:t>
            </w:r>
            <w:r w:rsidRPr="00CC66A8">
              <w:t>% (7)</w:t>
            </w:r>
          </w:p>
        </w:tc>
        <w:tc>
          <w:tcPr>
            <w:tcW w:w="3015" w:type="dxa"/>
            <w:vMerge w:val="restart"/>
            <w:tcBorders>
              <w:top w:val="nil"/>
              <w:left w:val="nil"/>
              <w:bottom w:val="nil"/>
              <w:right w:val="nil"/>
            </w:tcBorders>
            <w:shd w:val="clear" w:color="000000" w:fill="FFFFFF"/>
            <w:noWrap/>
            <w:vAlign w:val="bottom"/>
            <w:hideMark/>
          </w:tcPr>
          <w:p w14:paraId="6AB82B01" w14:textId="2AF764AB" w:rsidR="00503FA0" w:rsidRPr="00CC66A8" w:rsidRDefault="00D7727C" w:rsidP="00832E6C">
            <w:pPr>
              <w:jc w:val="center"/>
            </w:pPr>
            <w:r>
              <w:t>20.0</w:t>
            </w:r>
            <w:r w:rsidR="00503FA0" w:rsidRPr="00CC66A8">
              <w:t>% (1)</w:t>
            </w:r>
          </w:p>
        </w:tc>
      </w:tr>
      <w:tr w:rsidR="00503FA0" w:rsidRPr="00CC66A8" w14:paraId="0A15E760" w14:textId="77777777" w:rsidTr="00832E6C">
        <w:trPr>
          <w:trHeight w:val="83"/>
        </w:trPr>
        <w:tc>
          <w:tcPr>
            <w:tcW w:w="3060" w:type="dxa"/>
            <w:tcBorders>
              <w:top w:val="nil"/>
              <w:left w:val="nil"/>
              <w:right w:val="nil"/>
            </w:tcBorders>
            <w:shd w:val="clear" w:color="000000" w:fill="FFFFFF"/>
            <w:noWrap/>
            <w:vAlign w:val="bottom"/>
            <w:hideMark/>
          </w:tcPr>
          <w:p w14:paraId="355FB178" w14:textId="77777777" w:rsidR="00503FA0" w:rsidRPr="00CC66A8" w:rsidRDefault="00503FA0" w:rsidP="00832E6C">
            <w:pPr>
              <w:ind w:firstLineChars="200" w:firstLine="480"/>
            </w:pPr>
            <w:r w:rsidRPr="00CC66A8">
              <w:rPr>
                <w:rFonts w:eastAsia="STSong"/>
              </w:rPr>
              <w:t>&lt;5 Years</w:t>
            </w:r>
          </w:p>
        </w:tc>
        <w:tc>
          <w:tcPr>
            <w:tcW w:w="3015" w:type="dxa"/>
            <w:vMerge/>
            <w:tcBorders>
              <w:top w:val="nil"/>
              <w:left w:val="nil"/>
              <w:right w:val="nil"/>
            </w:tcBorders>
            <w:vAlign w:val="bottom"/>
            <w:hideMark/>
          </w:tcPr>
          <w:p w14:paraId="332806C9" w14:textId="77777777" w:rsidR="00503FA0" w:rsidRPr="00CC66A8" w:rsidRDefault="00503FA0" w:rsidP="00832E6C">
            <w:pPr>
              <w:jc w:val="center"/>
            </w:pPr>
          </w:p>
        </w:tc>
        <w:tc>
          <w:tcPr>
            <w:tcW w:w="3015" w:type="dxa"/>
            <w:vMerge/>
            <w:tcBorders>
              <w:top w:val="nil"/>
              <w:left w:val="nil"/>
              <w:right w:val="nil"/>
            </w:tcBorders>
            <w:vAlign w:val="bottom"/>
            <w:hideMark/>
          </w:tcPr>
          <w:p w14:paraId="21991DB8" w14:textId="77777777" w:rsidR="00503FA0" w:rsidRPr="00CC66A8" w:rsidRDefault="00503FA0" w:rsidP="00832E6C">
            <w:pPr>
              <w:jc w:val="center"/>
            </w:pPr>
          </w:p>
        </w:tc>
      </w:tr>
      <w:tr w:rsidR="00503FA0" w:rsidRPr="00CC66A8" w14:paraId="357A9C17" w14:textId="77777777" w:rsidTr="00832E6C">
        <w:trPr>
          <w:trHeight w:val="300"/>
        </w:trPr>
        <w:tc>
          <w:tcPr>
            <w:tcW w:w="3060" w:type="dxa"/>
            <w:tcBorders>
              <w:top w:val="nil"/>
              <w:left w:val="nil"/>
              <w:bottom w:val="single" w:sz="4" w:space="0" w:color="auto"/>
              <w:right w:val="nil"/>
            </w:tcBorders>
            <w:shd w:val="clear" w:color="000000" w:fill="FFFFFF"/>
            <w:noWrap/>
            <w:vAlign w:val="bottom"/>
            <w:hideMark/>
          </w:tcPr>
          <w:p w14:paraId="055A04F4" w14:textId="77777777" w:rsidR="00503FA0" w:rsidRPr="00CC66A8" w:rsidRDefault="00503FA0" w:rsidP="00832E6C">
            <w:pPr>
              <w:ind w:firstLineChars="200" w:firstLine="480"/>
            </w:pPr>
            <w:r w:rsidRPr="00CC66A8">
              <w:rPr>
                <w:rFonts w:eastAsia="STSong"/>
              </w:rPr>
              <w:t>≥</w:t>
            </w:r>
            <w:r w:rsidRPr="00CC66A8">
              <w:rPr>
                <w:rFonts w:eastAsia="STSong"/>
                <w:caps/>
              </w:rPr>
              <w:t xml:space="preserve">5 </w:t>
            </w:r>
            <w:r w:rsidRPr="00CC66A8">
              <w:rPr>
                <w:rFonts w:eastAsia="STSong"/>
              </w:rPr>
              <w:t>Years</w:t>
            </w:r>
          </w:p>
        </w:tc>
        <w:tc>
          <w:tcPr>
            <w:tcW w:w="3015" w:type="dxa"/>
            <w:tcBorders>
              <w:top w:val="nil"/>
              <w:left w:val="nil"/>
              <w:bottom w:val="single" w:sz="4" w:space="0" w:color="auto"/>
              <w:right w:val="nil"/>
            </w:tcBorders>
            <w:shd w:val="clear" w:color="000000" w:fill="FFFFFF"/>
            <w:noWrap/>
            <w:vAlign w:val="bottom"/>
            <w:hideMark/>
          </w:tcPr>
          <w:p w14:paraId="697CA528" w14:textId="3F7A3E82" w:rsidR="00503FA0" w:rsidRPr="00CC66A8" w:rsidRDefault="00431EC7" w:rsidP="00832E6C">
            <w:pPr>
              <w:jc w:val="center"/>
            </w:pPr>
            <w:r>
              <w:t>74</w:t>
            </w:r>
            <w:r w:rsidR="00503FA0" w:rsidRPr="00CC66A8">
              <w:t>.</w:t>
            </w:r>
            <w:r>
              <w:t>1</w:t>
            </w:r>
            <w:r w:rsidR="00503FA0" w:rsidRPr="00CC66A8">
              <w:t>% (20)</w:t>
            </w:r>
          </w:p>
        </w:tc>
        <w:tc>
          <w:tcPr>
            <w:tcW w:w="3015" w:type="dxa"/>
            <w:tcBorders>
              <w:top w:val="nil"/>
              <w:left w:val="nil"/>
              <w:bottom w:val="single" w:sz="4" w:space="0" w:color="auto"/>
              <w:right w:val="nil"/>
            </w:tcBorders>
            <w:shd w:val="clear" w:color="000000" w:fill="FFFFFF"/>
            <w:noWrap/>
            <w:vAlign w:val="bottom"/>
            <w:hideMark/>
          </w:tcPr>
          <w:p w14:paraId="6DD8E94A" w14:textId="4A00315F" w:rsidR="00503FA0" w:rsidRPr="00CC66A8" w:rsidRDefault="00D7727C" w:rsidP="00832E6C">
            <w:pPr>
              <w:jc w:val="center"/>
            </w:pPr>
            <w:r>
              <w:t>80.0</w:t>
            </w:r>
            <w:r w:rsidR="00503FA0" w:rsidRPr="00CC66A8">
              <w:t>% (</w:t>
            </w:r>
            <w:r>
              <w:t>4</w:t>
            </w:r>
            <w:r w:rsidR="00503FA0" w:rsidRPr="00CC66A8">
              <w:t>)</w:t>
            </w:r>
          </w:p>
        </w:tc>
      </w:tr>
      <w:tr w:rsidR="00503FA0" w:rsidRPr="00CC66A8" w14:paraId="3AAD7C19" w14:textId="77777777" w:rsidTr="00832E6C">
        <w:trPr>
          <w:trHeight w:val="300"/>
        </w:trPr>
        <w:tc>
          <w:tcPr>
            <w:tcW w:w="3060" w:type="dxa"/>
            <w:tcBorders>
              <w:top w:val="single" w:sz="4" w:space="0" w:color="auto"/>
              <w:left w:val="nil"/>
              <w:right w:val="nil"/>
            </w:tcBorders>
            <w:shd w:val="clear" w:color="000000" w:fill="FFFFFF"/>
            <w:noWrap/>
            <w:vAlign w:val="bottom"/>
          </w:tcPr>
          <w:p w14:paraId="3BC300E3" w14:textId="77777777" w:rsidR="00503FA0" w:rsidRPr="00CC66A8" w:rsidRDefault="00503FA0" w:rsidP="00832E6C">
            <w:pPr>
              <w:ind w:firstLineChars="200" w:firstLine="480"/>
              <w:rPr>
                <w:rFonts w:eastAsia="STSong"/>
                <w:b/>
                <w:bCs/>
              </w:rPr>
            </w:pPr>
            <w:r w:rsidRPr="00CC66A8">
              <w:rPr>
                <w:rFonts w:eastAsia="STSong"/>
                <w:b/>
                <w:bCs/>
              </w:rPr>
              <w:t>Total</w:t>
            </w:r>
          </w:p>
        </w:tc>
        <w:tc>
          <w:tcPr>
            <w:tcW w:w="3015" w:type="dxa"/>
            <w:tcBorders>
              <w:top w:val="single" w:sz="4" w:space="0" w:color="auto"/>
              <w:left w:val="nil"/>
              <w:right w:val="nil"/>
            </w:tcBorders>
            <w:shd w:val="clear" w:color="000000" w:fill="FFFFFF"/>
            <w:noWrap/>
            <w:vAlign w:val="bottom"/>
          </w:tcPr>
          <w:p w14:paraId="4305D8D6" w14:textId="17CCE9F3" w:rsidR="00503FA0" w:rsidRPr="00CC66A8" w:rsidRDefault="00A21D51" w:rsidP="00832E6C">
            <w:pPr>
              <w:jc w:val="center"/>
              <w:rPr>
                <w:b/>
                <w:bCs/>
              </w:rPr>
            </w:pPr>
            <w:r>
              <w:rPr>
                <w:b/>
                <w:bCs/>
              </w:rPr>
              <w:t>100.0</w:t>
            </w:r>
            <w:r w:rsidR="00503FA0" w:rsidRPr="00CC66A8">
              <w:rPr>
                <w:b/>
                <w:bCs/>
              </w:rPr>
              <w:t>% (27)</w:t>
            </w:r>
          </w:p>
        </w:tc>
        <w:tc>
          <w:tcPr>
            <w:tcW w:w="3015" w:type="dxa"/>
            <w:tcBorders>
              <w:top w:val="single" w:sz="4" w:space="0" w:color="auto"/>
              <w:left w:val="nil"/>
              <w:right w:val="nil"/>
            </w:tcBorders>
            <w:shd w:val="clear" w:color="000000" w:fill="FFFFFF"/>
            <w:noWrap/>
            <w:vAlign w:val="bottom"/>
          </w:tcPr>
          <w:p w14:paraId="525C5173" w14:textId="38D7D9E9" w:rsidR="00503FA0" w:rsidRPr="00CC66A8" w:rsidRDefault="00A21D51" w:rsidP="00832E6C">
            <w:pPr>
              <w:jc w:val="center"/>
              <w:rPr>
                <w:b/>
                <w:bCs/>
              </w:rPr>
            </w:pPr>
            <w:r>
              <w:rPr>
                <w:b/>
                <w:bCs/>
              </w:rPr>
              <w:t>100.0</w:t>
            </w:r>
            <w:r w:rsidR="00503FA0" w:rsidRPr="00CC66A8">
              <w:rPr>
                <w:b/>
                <w:bCs/>
              </w:rPr>
              <w:t>% (</w:t>
            </w:r>
            <w:r w:rsidR="00D7727C">
              <w:rPr>
                <w:b/>
                <w:bCs/>
              </w:rPr>
              <w:t>5</w:t>
            </w:r>
            <w:r w:rsidR="00503FA0" w:rsidRPr="00CC66A8">
              <w:rPr>
                <w:b/>
                <w:bCs/>
              </w:rPr>
              <w:t>)</w:t>
            </w:r>
          </w:p>
        </w:tc>
      </w:tr>
    </w:tbl>
    <w:p w14:paraId="2C7EA453" w14:textId="77777777" w:rsidR="00503FA0" w:rsidRPr="00CC66A8" w:rsidRDefault="00503FA0" w:rsidP="00503FA0">
      <w:pPr>
        <w:ind w:left="720" w:hanging="720"/>
      </w:pPr>
    </w:p>
    <w:p w14:paraId="1172C472" w14:textId="77777777" w:rsidR="00503FA0" w:rsidRPr="00CC66A8" w:rsidRDefault="00503FA0" w:rsidP="00503FA0">
      <w:pPr>
        <w:ind w:left="720" w:hanging="720"/>
      </w:pPr>
    </w:p>
    <w:p w14:paraId="7AE6F70B" w14:textId="77777777" w:rsidR="00503FA0" w:rsidRPr="00CC66A8" w:rsidRDefault="00503FA0" w:rsidP="00503FA0">
      <w:pPr>
        <w:rPr>
          <w:rFonts w:eastAsia="STSong"/>
          <w:b/>
          <w:bCs/>
        </w:rPr>
        <w:sectPr w:rsidR="00503FA0" w:rsidRPr="00CC66A8" w:rsidSect="00633311">
          <w:pgSz w:w="15840" w:h="12240" w:orient="landscape"/>
          <w:pgMar w:top="1440" w:right="1440" w:bottom="1440" w:left="1440" w:header="720" w:footer="720" w:gutter="0"/>
          <w:cols w:space="720"/>
          <w:docGrid w:linePitch="360"/>
        </w:sectPr>
      </w:pPr>
      <w:r w:rsidRPr="00CC66A8">
        <w:rPr>
          <w:rFonts w:eastAsia="STSong"/>
          <w:b/>
          <w:bCs/>
        </w:rPr>
        <w:br w:type="page"/>
      </w:r>
    </w:p>
    <w:p w14:paraId="09A05297" w14:textId="77777777" w:rsidR="00503FA0" w:rsidRPr="00CC66A8" w:rsidRDefault="00503FA0" w:rsidP="00503FA0">
      <w:pPr>
        <w:rPr>
          <w:rFonts w:eastAsia="STSong"/>
          <w:b/>
          <w:bCs/>
        </w:rPr>
      </w:pPr>
    </w:p>
    <w:p w14:paraId="2FB422E4" w14:textId="6A0DDB07" w:rsidR="00503FA0" w:rsidRPr="00CC66A8" w:rsidRDefault="00503FA0" w:rsidP="00503FA0">
      <w:pPr>
        <w:rPr>
          <w:b/>
          <w:bCs/>
        </w:rPr>
      </w:pPr>
      <w:r w:rsidRPr="00CC66A8">
        <w:rPr>
          <w:b/>
          <w:bCs/>
        </w:rPr>
        <w:t xml:space="preserve">Appendix </w:t>
      </w:r>
      <w:r w:rsidR="003C5EA3">
        <w:rPr>
          <w:b/>
          <w:bCs/>
        </w:rPr>
        <w:t>D</w:t>
      </w:r>
      <w:r w:rsidRPr="00CC66A8">
        <w:rPr>
          <w:b/>
          <w:bCs/>
        </w:rPr>
        <w:t>: Cost Savings Reinvestment Program Intake Checklist and Committee Endorsement Scorecard</w:t>
      </w:r>
    </w:p>
    <w:p w14:paraId="2CAB498A" w14:textId="77777777" w:rsidR="00503FA0" w:rsidRPr="00CC66A8" w:rsidRDefault="00503FA0" w:rsidP="00503FA0"/>
    <w:p w14:paraId="4230FC43" w14:textId="77777777" w:rsidR="00503FA0" w:rsidRPr="00CC66A8" w:rsidRDefault="00503FA0" w:rsidP="00503FA0">
      <w:pPr>
        <w:rPr>
          <w:b/>
          <w:bCs/>
        </w:rPr>
      </w:pPr>
      <w:r w:rsidRPr="00CC66A8">
        <w:rPr>
          <w:b/>
          <w:bCs/>
        </w:rPr>
        <w:t>Project Intake Checklist (Tier 1)</w:t>
      </w:r>
    </w:p>
    <w:tbl>
      <w:tblPr>
        <w:tblW w:w="13580" w:type="dxa"/>
        <w:tblCellMar>
          <w:left w:w="0" w:type="dxa"/>
          <w:right w:w="0" w:type="dxa"/>
        </w:tblCellMar>
        <w:tblLook w:val="0600" w:firstRow="0" w:lastRow="0" w:firstColumn="0" w:lastColumn="0" w:noHBand="1" w:noVBand="1"/>
      </w:tblPr>
      <w:tblGrid>
        <w:gridCol w:w="9440"/>
        <w:gridCol w:w="4140"/>
      </w:tblGrid>
      <w:tr w:rsidR="00503FA0" w:rsidRPr="00CC66A8" w14:paraId="71062765" w14:textId="77777777" w:rsidTr="00832E6C">
        <w:trPr>
          <w:trHeight w:val="452"/>
        </w:trPr>
        <w:tc>
          <w:tcPr>
            <w:tcW w:w="944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6C4A7AF7" w14:textId="77777777" w:rsidR="00503FA0" w:rsidRPr="00CC66A8" w:rsidRDefault="00503FA0" w:rsidP="00832E6C">
            <w:r w:rsidRPr="00CC66A8">
              <w:rPr>
                <w:b/>
                <w:bCs/>
              </w:rPr>
              <w:t>Proposal Intake Checklist</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005C53C4" w14:textId="77777777" w:rsidR="00503FA0" w:rsidRPr="00CC66A8" w:rsidRDefault="00503FA0" w:rsidP="00832E6C">
            <w:r w:rsidRPr="00CC66A8">
              <w:rPr>
                <w:b/>
                <w:bCs/>
              </w:rPr>
              <w:t>Review Team Verification</w:t>
            </w:r>
          </w:p>
        </w:tc>
      </w:tr>
      <w:tr w:rsidR="00503FA0" w:rsidRPr="00CC66A8" w14:paraId="00026D8F" w14:textId="77777777" w:rsidTr="00832E6C">
        <w:trPr>
          <w:trHeight w:val="386"/>
        </w:trPr>
        <w:tc>
          <w:tcPr>
            <w:tcW w:w="13580" w:type="dxa"/>
            <w:gridSpan w:val="2"/>
            <w:tcBorders>
              <w:top w:val="single" w:sz="8" w:space="0" w:color="000000"/>
              <w:left w:val="single" w:sz="8" w:space="0" w:color="000000"/>
              <w:bottom w:val="single" w:sz="8" w:space="0" w:color="000000"/>
              <w:right w:val="single" w:sz="8" w:space="0" w:color="000000"/>
            </w:tcBorders>
            <w:shd w:val="clear" w:color="auto" w:fill="D9D9D9"/>
            <w:tcMar>
              <w:top w:w="13" w:type="dxa"/>
              <w:left w:w="13" w:type="dxa"/>
              <w:bottom w:w="0" w:type="dxa"/>
              <w:right w:w="13" w:type="dxa"/>
            </w:tcMar>
            <w:vAlign w:val="center"/>
            <w:hideMark/>
          </w:tcPr>
          <w:p w14:paraId="14223971" w14:textId="77777777" w:rsidR="00503FA0" w:rsidRPr="00CC66A8" w:rsidRDefault="00503FA0" w:rsidP="00832E6C">
            <w:r w:rsidRPr="00CC66A8">
              <w:rPr>
                <w:b/>
                <w:bCs/>
              </w:rPr>
              <w:t>Medical Direction</w:t>
            </w:r>
          </w:p>
        </w:tc>
      </w:tr>
      <w:tr w:rsidR="00503FA0" w:rsidRPr="00CC66A8" w14:paraId="6C8392B6" w14:textId="77777777" w:rsidTr="00832E6C">
        <w:trPr>
          <w:trHeight w:val="668"/>
        </w:trPr>
        <w:tc>
          <w:tcPr>
            <w:tcW w:w="9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831C1B1" w14:textId="32C50EB2" w:rsidR="00503FA0" w:rsidRPr="00CC66A8" w:rsidRDefault="00503FA0" w:rsidP="00832E6C">
            <w:r w:rsidRPr="00CC66A8">
              <w:t xml:space="preserve">If appropriate, documentation </w:t>
            </w:r>
            <w:proofErr w:type="gramStart"/>
            <w:r w:rsidRPr="00CC66A8">
              <w:t>of  overlapping</w:t>
            </w:r>
            <w:proofErr w:type="gramEnd"/>
            <w:r w:rsidRPr="00CC66A8">
              <w:t xml:space="preserve"> medical direction (roles, responsibilities and </w:t>
            </w:r>
            <w:r w:rsidR="0019364A" w:rsidRPr="00CC66A8">
              <w:t>fiscal year-end</w:t>
            </w:r>
            <w:r w:rsidRPr="00CC66A8">
              <w:t xml:space="preserve"> deliverables)</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27E08CBA" w14:textId="77777777" w:rsidR="00503FA0" w:rsidRPr="00CC66A8" w:rsidRDefault="00503FA0" w:rsidP="00832E6C"/>
        </w:tc>
      </w:tr>
      <w:tr w:rsidR="00503FA0" w:rsidRPr="00CC66A8" w14:paraId="32E37D67" w14:textId="77777777" w:rsidTr="00832E6C">
        <w:trPr>
          <w:trHeight w:val="386"/>
        </w:trPr>
        <w:tc>
          <w:tcPr>
            <w:tcW w:w="13580" w:type="dxa"/>
            <w:gridSpan w:val="2"/>
            <w:tcBorders>
              <w:top w:val="single" w:sz="8" w:space="0" w:color="000000"/>
              <w:left w:val="single" w:sz="8" w:space="0" w:color="000000"/>
              <w:bottom w:val="single" w:sz="8" w:space="0" w:color="000000"/>
              <w:right w:val="single" w:sz="8" w:space="0" w:color="000000"/>
            </w:tcBorders>
            <w:shd w:val="clear" w:color="auto" w:fill="D9D9D9"/>
            <w:tcMar>
              <w:top w:w="13" w:type="dxa"/>
              <w:left w:w="13" w:type="dxa"/>
              <w:bottom w:w="0" w:type="dxa"/>
              <w:right w:w="13" w:type="dxa"/>
            </w:tcMar>
            <w:vAlign w:val="center"/>
            <w:hideMark/>
          </w:tcPr>
          <w:p w14:paraId="0EA0337A" w14:textId="77777777" w:rsidR="00503FA0" w:rsidRPr="00CC66A8" w:rsidRDefault="00503FA0" w:rsidP="00832E6C">
            <w:r w:rsidRPr="00CC66A8">
              <w:rPr>
                <w:b/>
                <w:bCs/>
              </w:rPr>
              <w:t>Clinical Impact</w:t>
            </w:r>
          </w:p>
        </w:tc>
      </w:tr>
      <w:tr w:rsidR="00503FA0" w:rsidRPr="00CC66A8" w14:paraId="037B9AFD" w14:textId="77777777" w:rsidTr="00832E6C">
        <w:trPr>
          <w:trHeight w:val="1320"/>
        </w:trPr>
        <w:tc>
          <w:tcPr>
            <w:tcW w:w="9440" w:type="dxa"/>
            <w:tcBorders>
              <w:top w:val="single" w:sz="8" w:space="0" w:color="000000"/>
              <w:left w:val="single" w:sz="8"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C4EA717" w14:textId="18FEF44A" w:rsidR="00503FA0" w:rsidRPr="00CC66A8" w:rsidRDefault="00503FA0" w:rsidP="00832E6C">
            <w:r w:rsidRPr="00CC66A8">
              <w:t>Does not adversely affect the following:</w:t>
            </w:r>
            <w:r w:rsidRPr="00CC66A8">
              <w:br/>
              <w:t>1) Access to health care services</w:t>
            </w:r>
            <w:r w:rsidRPr="00CC66A8">
              <w:br/>
              <w:t>2) Patient safety and quality</w:t>
            </w:r>
            <w:r w:rsidRPr="00CC66A8">
              <w:br/>
              <w:t xml:space="preserve">3) Safety of </w:t>
            </w:r>
            <w:r w:rsidR="0019364A" w:rsidRPr="00CC66A8">
              <w:t>SHC</w:t>
            </w:r>
            <w:r w:rsidRPr="00CC66A8">
              <w:t xml:space="preserve"> physicians, clinicians, or staff</w:t>
            </w:r>
          </w:p>
        </w:tc>
        <w:tc>
          <w:tcPr>
            <w:tcW w:w="4140" w:type="dxa"/>
            <w:tcBorders>
              <w:top w:val="single" w:sz="8" w:space="0" w:color="000000"/>
              <w:left w:val="single" w:sz="4" w:space="0" w:color="000000"/>
              <w:bottom w:val="single" w:sz="4" w:space="0" w:color="000000"/>
              <w:right w:val="single" w:sz="8" w:space="0" w:color="000000"/>
            </w:tcBorders>
            <w:shd w:val="clear" w:color="auto" w:fill="auto"/>
            <w:tcMar>
              <w:top w:w="13" w:type="dxa"/>
              <w:left w:w="13" w:type="dxa"/>
              <w:bottom w:w="0" w:type="dxa"/>
              <w:right w:w="13" w:type="dxa"/>
            </w:tcMar>
            <w:vAlign w:val="bottom"/>
            <w:hideMark/>
          </w:tcPr>
          <w:p w14:paraId="506D12EB" w14:textId="77777777" w:rsidR="00503FA0" w:rsidRPr="00CC66A8" w:rsidRDefault="00503FA0" w:rsidP="00832E6C"/>
        </w:tc>
      </w:tr>
      <w:tr w:rsidR="00503FA0" w:rsidRPr="00CC66A8" w14:paraId="6476830B" w14:textId="77777777" w:rsidTr="00832E6C">
        <w:trPr>
          <w:trHeight w:val="417"/>
        </w:trPr>
        <w:tc>
          <w:tcPr>
            <w:tcW w:w="9440" w:type="dxa"/>
            <w:tcBorders>
              <w:top w:val="single" w:sz="4" w:space="0" w:color="000000"/>
              <w:left w:val="single" w:sz="8" w:space="0" w:color="000000"/>
              <w:bottom w:val="single" w:sz="8" w:space="0" w:color="000000"/>
              <w:right w:val="single" w:sz="4" w:space="0" w:color="000000"/>
            </w:tcBorders>
            <w:shd w:val="clear" w:color="auto" w:fill="auto"/>
            <w:tcMar>
              <w:top w:w="13" w:type="dxa"/>
              <w:left w:w="13" w:type="dxa"/>
              <w:bottom w:w="0" w:type="dxa"/>
              <w:right w:w="13" w:type="dxa"/>
            </w:tcMar>
            <w:vAlign w:val="center"/>
            <w:hideMark/>
          </w:tcPr>
          <w:p w14:paraId="37F598AE" w14:textId="77777777" w:rsidR="00503FA0" w:rsidRPr="00CC66A8" w:rsidRDefault="00503FA0" w:rsidP="00832E6C">
            <w:r w:rsidRPr="00CC66A8">
              <w:t>Does not limit clinicians’ ability to make medically appropriate decisions</w:t>
            </w:r>
          </w:p>
        </w:tc>
        <w:tc>
          <w:tcPr>
            <w:tcW w:w="4140" w:type="dxa"/>
            <w:tcBorders>
              <w:top w:val="single" w:sz="4" w:space="0" w:color="000000"/>
              <w:left w:val="single" w:sz="4"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63EF0A99" w14:textId="77777777" w:rsidR="00503FA0" w:rsidRPr="00CC66A8" w:rsidRDefault="00503FA0" w:rsidP="00832E6C"/>
        </w:tc>
      </w:tr>
      <w:tr w:rsidR="00503FA0" w:rsidRPr="00CC66A8" w14:paraId="38478547" w14:textId="77777777" w:rsidTr="00832E6C">
        <w:trPr>
          <w:trHeight w:val="386"/>
        </w:trPr>
        <w:tc>
          <w:tcPr>
            <w:tcW w:w="13580" w:type="dxa"/>
            <w:gridSpan w:val="2"/>
            <w:tcBorders>
              <w:top w:val="single" w:sz="8" w:space="0" w:color="000000"/>
              <w:left w:val="single" w:sz="8" w:space="0" w:color="000000"/>
              <w:bottom w:val="single" w:sz="8" w:space="0" w:color="000000"/>
              <w:right w:val="single" w:sz="8" w:space="0" w:color="000000"/>
            </w:tcBorders>
            <w:shd w:val="clear" w:color="auto" w:fill="D9D9D9"/>
            <w:tcMar>
              <w:top w:w="13" w:type="dxa"/>
              <w:left w:w="13" w:type="dxa"/>
              <w:bottom w:w="0" w:type="dxa"/>
              <w:right w:w="13" w:type="dxa"/>
            </w:tcMar>
            <w:vAlign w:val="center"/>
            <w:hideMark/>
          </w:tcPr>
          <w:p w14:paraId="318E39AE" w14:textId="77777777" w:rsidR="00503FA0" w:rsidRPr="00CC66A8" w:rsidRDefault="00503FA0" w:rsidP="00832E6C">
            <w:r w:rsidRPr="00CC66A8">
              <w:rPr>
                <w:b/>
                <w:bCs/>
              </w:rPr>
              <w:t>Financial Impact &amp; Measurement</w:t>
            </w:r>
          </w:p>
        </w:tc>
      </w:tr>
      <w:tr w:rsidR="00503FA0" w:rsidRPr="00CC66A8" w14:paraId="206C3FFE" w14:textId="77777777" w:rsidTr="00832E6C">
        <w:trPr>
          <w:trHeight w:val="331"/>
        </w:trPr>
        <w:tc>
          <w:tcPr>
            <w:tcW w:w="9440" w:type="dxa"/>
            <w:tcBorders>
              <w:top w:val="single" w:sz="8" w:space="0" w:color="000000"/>
              <w:left w:val="single" w:sz="8"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AD0D00F" w14:textId="77777777" w:rsidR="00503FA0" w:rsidRPr="00CC66A8" w:rsidRDefault="00503FA0" w:rsidP="00832E6C">
            <w:r w:rsidRPr="00CC66A8">
              <w:t>Does not adversely impact payor mix</w:t>
            </w:r>
          </w:p>
        </w:tc>
        <w:tc>
          <w:tcPr>
            <w:tcW w:w="4140" w:type="dxa"/>
            <w:tcBorders>
              <w:top w:val="single" w:sz="8" w:space="0" w:color="000000"/>
              <w:left w:val="single" w:sz="4" w:space="0" w:color="000000"/>
              <w:bottom w:val="single" w:sz="4" w:space="0" w:color="000000"/>
              <w:right w:val="single" w:sz="8" w:space="0" w:color="000000"/>
            </w:tcBorders>
            <w:shd w:val="clear" w:color="auto" w:fill="auto"/>
            <w:tcMar>
              <w:top w:w="13" w:type="dxa"/>
              <w:left w:w="13" w:type="dxa"/>
              <w:bottom w:w="0" w:type="dxa"/>
              <w:right w:w="13" w:type="dxa"/>
            </w:tcMar>
            <w:vAlign w:val="bottom"/>
            <w:hideMark/>
          </w:tcPr>
          <w:p w14:paraId="27CA8C11" w14:textId="77777777" w:rsidR="00503FA0" w:rsidRPr="00CC66A8" w:rsidRDefault="00503FA0" w:rsidP="00832E6C"/>
        </w:tc>
      </w:tr>
      <w:tr w:rsidR="00503FA0" w:rsidRPr="00CC66A8" w14:paraId="4C1D305A" w14:textId="77777777" w:rsidTr="00832E6C">
        <w:trPr>
          <w:trHeight w:val="329"/>
        </w:trPr>
        <w:tc>
          <w:tcPr>
            <w:tcW w:w="9440" w:type="dxa"/>
            <w:tcBorders>
              <w:top w:val="single" w:sz="4" w:space="0" w:color="000000"/>
              <w:left w:val="single" w:sz="8" w:space="0" w:color="000000"/>
              <w:bottom w:val="single" w:sz="8" w:space="0" w:color="000000"/>
              <w:right w:val="single" w:sz="4" w:space="0" w:color="000000"/>
            </w:tcBorders>
            <w:shd w:val="clear" w:color="auto" w:fill="auto"/>
            <w:tcMar>
              <w:top w:w="13" w:type="dxa"/>
              <w:left w:w="13" w:type="dxa"/>
              <w:bottom w:w="0" w:type="dxa"/>
              <w:right w:w="13" w:type="dxa"/>
            </w:tcMar>
            <w:vAlign w:val="center"/>
            <w:hideMark/>
          </w:tcPr>
          <w:p w14:paraId="73DFC89D" w14:textId="77777777" w:rsidR="00503FA0" w:rsidRPr="00CC66A8" w:rsidRDefault="00503FA0" w:rsidP="00832E6C">
            <w:r w:rsidRPr="00CC66A8">
              <w:t>Data is available to accurately track savings</w:t>
            </w:r>
          </w:p>
        </w:tc>
        <w:tc>
          <w:tcPr>
            <w:tcW w:w="4140" w:type="dxa"/>
            <w:tcBorders>
              <w:top w:val="single" w:sz="4" w:space="0" w:color="000000"/>
              <w:left w:val="single" w:sz="4"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6B202AF7" w14:textId="77777777" w:rsidR="00503FA0" w:rsidRPr="00CC66A8" w:rsidRDefault="00503FA0" w:rsidP="00832E6C"/>
        </w:tc>
      </w:tr>
      <w:tr w:rsidR="00503FA0" w:rsidRPr="00CC66A8" w14:paraId="41CB80C3" w14:textId="77777777" w:rsidTr="00832E6C">
        <w:trPr>
          <w:trHeight w:val="329"/>
        </w:trPr>
        <w:tc>
          <w:tcPr>
            <w:tcW w:w="9440" w:type="dxa"/>
            <w:tcBorders>
              <w:top w:val="single" w:sz="8" w:space="0" w:color="000000"/>
              <w:left w:val="single" w:sz="8" w:space="0" w:color="000000"/>
              <w:bottom w:val="single" w:sz="8" w:space="0" w:color="000000"/>
              <w:right w:val="single" w:sz="4" w:space="0" w:color="000000"/>
            </w:tcBorders>
            <w:shd w:val="clear" w:color="auto" w:fill="auto"/>
            <w:tcMar>
              <w:top w:w="12" w:type="dxa"/>
              <w:left w:w="12" w:type="dxa"/>
              <w:bottom w:w="0" w:type="dxa"/>
              <w:right w:w="12" w:type="dxa"/>
            </w:tcMar>
            <w:vAlign w:val="center"/>
            <w:hideMark/>
          </w:tcPr>
          <w:p w14:paraId="16D4D8D2" w14:textId="77777777" w:rsidR="00503FA0" w:rsidRPr="00CC66A8" w:rsidRDefault="00503FA0" w:rsidP="00832E6C">
            <w:r w:rsidRPr="00CC66A8">
              <w:t>Demonstrates a cost savings &gt; $50K</w:t>
            </w:r>
          </w:p>
        </w:tc>
        <w:tc>
          <w:tcPr>
            <w:tcW w:w="4140" w:type="dxa"/>
            <w:tcBorders>
              <w:top w:val="single" w:sz="8" w:space="0" w:color="000000"/>
              <w:left w:val="single" w:sz="4"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7E8EA7E2" w14:textId="77777777" w:rsidR="00503FA0" w:rsidRPr="00CC66A8" w:rsidRDefault="00503FA0" w:rsidP="00832E6C"/>
        </w:tc>
      </w:tr>
      <w:tr w:rsidR="00503FA0" w:rsidRPr="00CC66A8" w14:paraId="6C008CE6" w14:textId="77777777" w:rsidTr="00832E6C">
        <w:trPr>
          <w:trHeight w:val="329"/>
        </w:trPr>
        <w:tc>
          <w:tcPr>
            <w:tcW w:w="9440" w:type="dxa"/>
            <w:tcBorders>
              <w:top w:val="single" w:sz="8" w:space="0" w:color="000000"/>
              <w:left w:val="single" w:sz="8" w:space="0" w:color="000000"/>
              <w:bottom w:val="single" w:sz="8" w:space="0" w:color="000000"/>
              <w:right w:val="single" w:sz="4" w:space="0" w:color="000000"/>
            </w:tcBorders>
            <w:shd w:val="clear" w:color="auto" w:fill="auto"/>
            <w:tcMar>
              <w:top w:w="12" w:type="dxa"/>
              <w:left w:w="12" w:type="dxa"/>
              <w:bottom w:w="0" w:type="dxa"/>
              <w:right w:w="12" w:type="dxa"/>
            </w:tcMar>
            <w:vAlign w:val="center"/>
            <w:hideMark/>
          </w:tcPr>
          <w:p w14:paraId="371795D4" w14:textId="77777777" w:rsidR="00503FA0" w:rsidRPr="00CC66A8" w:rsidRDefault="00503FA0" w:rsidP="00832E6C">
            <w:r w:rsidRPr="00CC66A8">
              <w:t>Cost savings quantification endorsed by Decision Support Services</w:t>
            </w:r>
          </w:p>
        </w:tc>
        <w:tc>
          <w:tcPr>
            <w:tcW w:w="4140" w:type="dxa"/>
            <w:tcBorders>
              <w:top w:val="single" w:sz="8" w:space="0" w:color="000000"/>
              <w:left w:val="single" w:sz="4"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1EDBA974" w14:textId="77777777" w:rsidR="00503FA0" w:rsidRPr="00CC66A8" w:rsidRDefault="00503FA0" w:rsidP="00832E6C"/>
        </w:tc>
      </w:tr>
      <w:tr w:rsidR="00503FA0" w:rsidRPr="00CC66A8" w14:paraId="29BA6667" w14:textId="77777777" w:rsidTr="00832E6C">
        <w:trPr>
          <w:trHeight w:val="386"/>
        </w:trPr>
        <w:tc>
          <w:tcPr>
            <w:tcW w:w="13580" w:type="dxa"/>
            <w:gridSpan w:val="2"/>
            <w:tcBorders>
              <w:top w:val="single" w:sz="8" w:space="0" w:color="000000"/>
              <w:left w:val="single" w:sz="8" w:space="0" w:color="000000"/>
              <w:bottom w:val="single" w:sz="8" w:space="0" w:color="000000"/>
              <w:right w:val="single" w:sz="8" w:space="0" w:color="000000"/>
            </w:tcBorders>
            <w:shd w:val="clear" w:color="auto" w:fill="D9D9D9"/>
            <w:tcMar>
              <w:top w:w="13" w:type="dxa"/>
              <w:left w:w="13" w:type="dxa"/>
              <w:bottom w:w="0" w:type="dxa"/>
              <w:right w:w="13" w:type="dxa"/>
            </w:tcMar>
            <w:vAlign w:val="center"/>
            <w:hideMark/>
          </w:tcPr>
          <w:p w14:paraId="6C2A3183" w14:textId="77777777" w:rsidR="00503FA0" w:rsidRPr="00CC66A8" w:rsidRDefault="00503FA0" w:rsidP="00832E6C">
            <w:r w:rsidRPr="00CC66A8">
              <w:rPr>
                <w:b/>
                <w:bCs/>
              </w:rPr>
              <w:t>Resources</w:t>
            </w:r>
          </w:p>
        </w:tc>
      </w:tr>
      <w:tr w:rsidR="00503FA0" w:rsidRPr="00CC66A8" w14:paraId="1F9450E6" w14:textId="77777777" w:rsidTr="00832E6C">
        <w:trPr>
          <w:trHeight w:val="622"/>
        </w:trPr>
        <w:tc>
          <w:tcPr>
            <w:tcW w:w="9440" w:type="dxa"/>
            <w:tcBorders>
              <w:top w:val="single" w:sz="8" w:space="0" w:color="000000"/>
              <w:left w:val="single" w:sz="8"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6EF741FA" w14:textId="77777777" w:rsidR="00503FA0" w:rsidRPr="00CC66A8" w:rsidRDefault="00503FA0" w:rsidP="00832E6C">
            <w:r w:rsidRPr="00CC66A8">
              <w:t xml:space="preserve">Request for SHC support resources </w:t>
            </w:r>
            <w:proofErr w:type="gramStart"/>
            <w:r w:rsidRPr="00CC66A8">
              <w:t>are</w:t>
            </w:r>
            <w:proofErr w:type="gramEnd"/>
            <w:r w:rsidRPr="00CC66A8">
              <w:t xml:space="preserve"> clearly defined and are not prohibitive for implementation</w:t>
            </w:r>
          </w:p>
        </w:tc>
        <w:tc>
          <w:tcPr>
            <w:tcW w:w="4140" w:type="dxa"/>
            <w:tcBorders>
              <w:top w:val="single" w:sz="8" w:space="0" w:color="000000"/>
              <w:left w:val="single" w:sz="4" w:space="0" w:color="000000"/>
              <w:bottom w:val="single" w:sz="4" w:space="0" w:color="000000"/>
              <w:right w:val="single" w:sz="8" w:space="0" w:color="000000"/>
            </w:tcBorders>
            <w:shd w:val="clear" w:color="auto" w:fill="auto"/>
            <w:tcMar>
              <w:top w:w="13" w:type="dxa"/>
              <w:left w:w="13" w:type="dxa"/>
              <w:bottom w:w="0" w:type="dxa"/>
              <w:right w:w="13" w:type="dxa"/>
            </w:tcMar>
            <w:vAlign w:val="bottom"/>
            <w:hideMark/>
          </w:tcPr>
          <w:p w14:paraId="1EAAF561" w14:textId="77777777" w:rsidR="00503FA0" w:rsidRPr="00CC66A8" w:rsidRDefault="00503FA0" w:rsidP="00832E6C"/>
        </w:tc>
      </w:tr>
      <w:tr w:rsidR="00503FA0" w:rsidRPr="00CC66A8" w14:paraId="77BC0090" w14:textId="77777777" w:rsidTr="00832E6C">
        <w:trPr>
          <w:trHeight w:val="386"/>
        </w:trPr>
        <w:tc>
          <w:tcPr>
            <w:tcW w:w="13580" w:type="dxa"/>
            <w:gridSpan w:val="2"/>
            <w:tcBorders>
              <w:top w:val="single" w:sz="4" w:space="0" w:color="000000"/>
              <w:left w:val="single" w:sz="8" w:space="0" w:color="000000"/>
              <w:bottom w:val="single" w:sz="4" w:space="0" w:color="000000"/>
              <w:right w:val="single" w:sz="4" w:space="0" w:color="000000"/>
            </w:tcBorders>
            <w:shd w:val="clear" w:color="auto" w:fill="D9D9D9"/>
            <w:tcMar>
              <w:top w:w="13" w:type="dxa"/>
              <w:left w:w="13" w:type="dxa"/>
              <w:bottom w:w="0" w:type="dxa"/>
              <w:right w:w="13" w:type="dxa"/>
            </w:tcMar>
            <w:vAlign w:val="center"/>
            <w:hideMark/>
          </w:tcPr>
          <w:p w14:paraId="17F0460C" w14:textId="07EE6958" w:rsidR="00503FA0" w:rsidRPr="00CC66A8" w:rsidRDefault="00503FA0" w:rsidP="00832E6C">
            <w:r w:rsidRPr="00CC66A8">
              <w:rPr>
                <w:b/>
                <w:bCs/>
              </w:rPr>
              <w:t xml:space="preserve">Leadership Endorsement </w:t>
            </w:r>
          </w:p>
        </w:tc>
      </w:tr>
      <w:tr w:rsidR="00503FA0" w:rsidRPr="00CC66A8" w14:paraId="46906379" w14:textId="77777777" w:rsidTr="00832E6C">
        <w:trPr>
          <w:trHeight w:val="340"/>
        </w:trPr>
        <w:tc>
          <w:tcPr>
            <w:tcW w:w="9440" w:type="dxa"/>
            <w:tcBorders>
              <w:top w:val="single" w:sz="4" w:space="0" w:color="000000"/>
              <w:left w:val="single" w:sz="8"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026E9C16" w14:textId="77777777" w:rsidR="00503FA0" w:rsidRPr="00CC66A8" w:rsidRDefault="00503FA0" w:rsidP="00832E6C">
            <w:r w:rsidRPr="00CC66A8">
              <w:t>Endorsement of Department Chair(s)</w:t>
            </w:r>
          </w:p>
        </w:tc>
        <w:tc>
          <w:tcPr>
            <w:tcW w:w="4140" w:type="dxa"/>
            <w:tcBorders>
              <w:top w:val="single" w:sz="4" w:space="0" w:color="000000"/>
              <w:left w:val="single" w:sz="4" w:space="0" w:color="000000"/>
              <w:bottom w:val="single" w:sz="4" w:space="0" w:color="000000"/>
              <w:right w:val="single" w:sz="8" w:space="0" w:color="000000"/>
            </w:tcBorders>
            <w:shd w:val="clear" w:color="auto" w:fill="auto"/>
            <w:tcMar>
              <w:top w:w="13" w:type="dxa"/>
              <w:left w:w="13" w:type="dxa"/>
              <w:bottom w:w="0" w:type="dxa"/>
              <w:right w:w="13" w:type="dxa"/>
            </w:tcMar>
            <w:vAlign w:val="center"/>
            <w:hideMark/>
          </w:tcPr>
          <w:p w14:paraId="6866B090" w14:textId="77777777" w:rsidR="00503FA0" w:rsidRPr="00CC66A8" w:rsidRDefault="00503FA0" w:rsidP="00832E6C"/>
        </w:tc>
      </w:tr>
      <w:tr w:rsidR="00503FA0" w:rsidRPr="00CC66A8" w14:paraId="174DC532" w14:textId="77777777" w:rsidTr="00832E6C">
        <w:trPr>
          <w:trHeight w:val="440"/>
        </w:trPr>
        <w:tc>
          <w:tcPr>
            <w:tcW w:w="9440" w:type="dxa"/>
            <w:tcBorders>
              <w:top w:val="single" w:sz="4" w:space="0" w:color="000000"/>
              <w:left w:val="single" w:sz="8" w:space="0" w:color="000000"/>
              <w:bottom w:val="single" w:sz="8" w:space="0" w:color="000000"/>
              <w:right w:val="single" w:sz="4" w:space="0" w:color="000000"/>
            </w:tcBorders>
            <w:shd w:val="clear" w:color="auto" w:fill="auto"/>
            <w:tcMar>
              <w:top w:w="13" w:type="dxa"/>
              <w:left w:w="13" w:type="dxa"/>
              <w:bottom w:w="0" w:type="dxa"/>
              <w:right w:w="13" w:type="dxa"/>
            </w:tcMar>
            <w:vAlign w:val="center"/>
            <w:hideMark/>
          </w:tcPr>
          <w:p w14:paraId="2C44FDAA" w14:textId="77777777" w:rsidR="00503FA0" w:rsidRPr="00CC66A8" w:rsidRDefault="00503FA0" w:rsidP="00832E6C">
            <w:r w:rsidRPr="00CC66A8">
              <w:t>Endorsement of Operational Leader(s)</w:t>
            </w:r>
          </w:p>
        </w:tc>
        <w:tc>
          <w:tcPr>
            <w:tcW w:w="4140" w:type="dxa"/>
            <w:tcBorders>
              <w:top w:val="single" w:sz="4" w:space="0" w:color="000000"/>
              <w:left w:val="single" w:sz="4"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6DC41B07" w14:textId="77777777" w:rsidR="00503FA0" w:rsidRPr="00CC66A8" w:rsidRDefault="00503FA0" w:rsidP="00832E6C"/>
        </w:tc>
      </w:tr>
    </w:tbl>
    <w:p w14:paraId="1D92C723" w14:textId="77777777" w:rsidR="00503FA0" w:rsidRPr="00CC66A8" w:rsidRDefault="00503FA0" w:rsidP="00503FA0"/>
    <w:p w14:paraId="22EE577E" w14:textId="77777777" w:rsidR="00503FA0" w:rsidRPr="00CC66A8" w:rsidRDefault="00503FA0" w:rsidP="00503FA0"/>
    <w:p w14:paraId="2C9F4515" w14:textId="77777777" w:rsidR="00503FA0" w:rsidRPr="00CC66A8" w:rsidRDefault="00503FA0" w:rsidP="00503FA0">
      <w:pPr>
        <w:rPr>
          <w:b/>
          <w:bCs/>
        </w:rPr>
      </w:pPr>
      <w:r w:rsidRPr="00CC66A8">
        <w:rPr>
          <w:b/>
          <w:bCs/>
        </w:rPr>
        <w:t>CSRP Committee Endorsement Scorecard (Tier 2)</w:t>
      </w:r>
    </w:p>
    <w:tbl>
      <w:tblPr>
        <w:tblW w:w="13580" w:type="dxa"/>
        <w:tblCellMar>
          <w:left w:w="0" w:type="dxa"/>
          <w:right w:w="0" w:type="dxa"/>
        </w:tblCellMar>
        <w:tblLook w:val="0600" w:firstRow="0" w:lastRow="0" w:firstColumn="0" w:lastColumn="0" w:noHBand="1" w:noVBand="1"/>
      </w:tblPr>
      <w:tblGrid>
        <w:gridCol w:w="9440"/>
        <w:gridCol w:w="4140"/>
      </w:tblGrid>
      <w:tr w:rsidR="00503FA0" w:rsidRPr="00CC66A8" w14:paraId="75613365" w14:textId="77777777" w:rsidTr="00832E6C">
        <w:trPr>
          <w:trHeight w:val="724"/>
        </w:trPr>
        <w:tc>
          <w:tcPr>
            <w:tcW w:w="9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7529F4F7" w14:textId="77777777" w:rsidR="00503FA0" w:rsidRPr="00CC66A8" w:rsidRDefault="00503FA0" w:rsidP="00832E6C">
            <w:r w:rsidRPr="00CC66A8">
              <w:rPr>
                <w:b/>
                <w:bCs/>
              </w:rPr>
              <w:t>Date:</w:t>
            </w:r>
          </w:p>
          <w:p w14:paraId="65A7ACBA" w14:textId="77777777" w:rsidR="00503FA0" w:rsidRPr="00CC66A8" w:rsidRDefault="00503FA0" w:rsidP="00832E6C">
            <w:r w:rsidRPr="00CC66A8">
              <w:rPr>
                <w:b/>
                <w:bCs/>
              </w:rPr>
              <w:t>Considerations for Committee Endorsement</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6C9A454B" w14:textId="77777777" w:rsidR="00503FA0" w:rsidRPr="00CC66A8" w:rsidRDefault="00503FA0" w:rsidP="00832E6C">
            <w:r w:rsidRPr="00CC66A8">
              <w:rPr>
                <w:b/>
                <w:bCs/>
              </w:rPr>
              <w:t>Score Possibilities (0 to 3)</w:t>
            </w:r>
            <w:r w:rsidRPr="00CC66A8">
              <w:rPr>
                <w:b/>
                <w:bCs/>
              </w:rPr>
              <w:br/>
            </w:r>
            <w:r w:rsidRPr="00CC66A8">
              <w:t>(Any score of 0 may disqualify proposal for further consideration)</w:t>
            </w:r>
          </w:p>
        </w:tc>
      </w:tr>
      <w:tr w:rsidR="00503FA0" w:rsidRPr="00CC66A8" w14:paraId="1BAD7975" w14:textId="77777777" w:rsidTr="00832E6C">
        <w:trPr>
          <w:trHeight w:val="259"/>
        </w:trPr>
        <w:tc>
          <w:tcPr>
            <w:tcW w:w="13580" w:type="dxa"/>
            <w:gridSpan w:val="2"/>
            <w:tcBorders>
              <w:top w:val="single" w:sz="8" w:space="0" w:color="000000"/>
              <w:left w:val="single" w:sz="8" w:space="0" w:color="000000"/>
              <w:bottom w:val="single" w:sz="8" w:space="0" w:color="000000"/>
              <w:right w:val="single" w:sz="8" w:space="0" w:color="000000"/>
            </w:tcBorders>
            <w:shd w:val="clear" w:color="auto" w:fill="D9D9D9"/>
            <w:tcMar>
              <w:top w:w="10" w:type="dxa"/>
              <w:left w:w="10" w:type="dxa"/>
              <w:bottom w:w="0" w:type="dxa"/>
              <w:right w:w="10" w:type="dxa"/>
            </w:tcMar>
            <w:vAlign w:val="bottom"/>
            <w:hideMark/>
          </w:tcPr>
          <w:p w14:paraId="2CFDB24A" w14:textId="3BF687A8" w:rsidR="00503FA0" w:rsidRPr="00CC66A8" w:rsidRDefault="0019364A" w:rsidP="00832E6C">
            <w:r w:rsidRPr="00CC66A8">
              <w:rPr>
                <w:b/>
                <w:bCs/>
              </w:rPr>
              <w:t>Current</w:t>
            </w:r>
            <w:r w:rsidR="00503FA0" w:rsidRPr="00CC66A8">
              <w:rPr>
                <w:b/>
                <w:bCs/>
              </w:rPr>
              <w:t xml:space="preserve"> Medical Direction</w:t>
            </w:r>
          </w:p>
        </w:tc>
      </w:tr>
      <w:tr w:rsidR="00503FA0" w:rsidRPr="00CC66A8" w14:paraId="7B91AF2F" w14:textId="77777777" w:rsidTr="00832E6C">
        <w:trPr>
          <w:trHeight w:val="735"/>
        </w:trPr>
        <w:tc>
          <w:tcPr>
            <w:tcW w:w="94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6919364C" w14:textId="270D79A8" w:rsidR="00503FA0" w:rsidRPr="00CC66A8" w:rsidRDefault="00503FA0" w:rsidP="00832E6C">
            <w:r w:rsidRPr="00CC66A8">
              <w:rPr>
                <w:b/>
                <w:bCs/>
              </w:rPr>
              <w:t>Overlap with</w:t>
            </w:r>
            <w:r w:rsidR="0019364A" w:rsidRPr="00CC66A8">
              <w:rPr>
                <w:b/>
                <w:bCs/>
              </w:rPr>
              <w:t xml:space="preserve"> pre-existing</w:t>
            </w:r>
            <w:r w:rsidRPr="00CC66A8">
              <w:rPr>
                <w:b/>
                <w:bCs/>
              </w:rPr>
              <w:t xml:space="preserve"> medical director roles, responsibilities, and </w:t>
            </w:r>
            <w:r w:rsidR="0019364A" w:rsidRPr="00CC66A8">
              <w:rPr>
                <w:b/>
                <w:bCs/>
              </w:rPr>
              <w:t>fiscal year-end</w:t>
            </w:r>
            <w:r w:rsidRPr="00CC66A8">
              <w:rPr>
                <w:b/>
                <w:bCs/>
              </w:rPr>
              <w:t xml:space="preserve"> deliverables</w:t>
            </w:r>
            <w:r w:rsidRPr="00CC66A8">
              <w:br/>
              <w:t>0 = Considerable overlap with current medical direction</w:t>
            </w:r>
            <w:r w:rsidRPr="00CC66A8">
              <w:br/>
              <w:t>1 = No overlap identified</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0744F5AD" w14:textId="77777777" w:rsidR="00503FA0" w:rsidRPr="00CC66A8" w:rsidRDefault="00503FA0" w:rsidP="00832E6C">
            <w:r w:rsidRPr="00CC66A8">
              <w:t> </w:t>
            </w:r>
          </w:p>
        </w:tc>
      </w:tr>
      <w:tr w:rsidR="00503FA0" w:rsidRPr="00CC66A8" w14:paraId="0C1603E5" w14:textId="77777777" w:rsidTr="00832E6C">
        <w:trPr>
          <w:trHeight w:val="259"/>
        </w:trPr>
        <w:tc>
          <w:tcPr>
            <w:tcW w:w="13580" w:type="dxa"/>
            <w:gridSpan w:val="2"/>
            <w:tcBorders>
              <w:top w:val="single" w:sz="8" w:space="0" w:color="000000"/>
              <w:left w:val="single" w:sz="8" w:space="0" w:color="000000"/>
              <w:bottom w:val="single" w:sz="4" w:space="0" w:color="000000"/>
              <w:right w:val="single" w:sz="8" w:space="0" w:color="000000"/>
            </w:tcBorders>
            <w:shd w:val="clear" w:color="auto" w:fill="D9D9D9"/>
            <w:tcMar>
              <w:top w:w="10" w:type="dxa"/>
              <w:left w:w="10" w:type="dxa"/>
              <w:bottom w:w="0" w:type="dxa"/>
              <w:right w:w="10" w:type="dxa"/>
            </w:tcMar>
            <w:vAlign w:val="bottom"/>
            <w:hideMark/>
          </w:tcPr>
          <w:p w14:paraId="1EFA86E7" w14:textId="77777777" w:rsidR="00503FA0" w:rsidRPr="00CC66A8" w:rsidRDefault="00503FA0" w:rsidP="00832E6C">
            <w:r w:rsidRPr="00CC66A8">
              <w:rPr>
                <w:b/>
                <w:bCs/>
              </w:rPr>
              <w:t>Physician Engagement</w:t>
            </w:r>
          </w:p>
        </w:tc>
      </w:tr>
      <w:tr w:rsidR="00503FA0" w:rsidRPr="00CC66A8" w14:paraId="7CDDED4B" w14:textId="77777777" w:rsidTr="00832E6C">
        <w:trPr>
          <w:trHeight w:val="973"/>
        </w:trPr>
        <w:tc>
          <w:tcPr>
            <w:tcW w:w="9440" w:type="dxa"/>
            <w:tcBorders>
              <w:top w:val="single" w:sz="4" w:space="0" w:color="000000"/>
              <w:left w:val="single" w:sz="8"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43A00F9B" w14:textId="77777777" w:rsidR="00503FA0" w:rsidRPr="00CC66A8" w:rsidRDefault="00503FA0" w:rsidP="00832E6C">
            <w:r w:rsidRPr="00CC66A8">
              <w:rPr>
                <w:b/>
                <w:bCs/>
              </w:rPr>
              <w:t xml:space="preserve">Origin of the opportunity </w:t>
            </w:r>
            <w:r w:rsidRPr="00CC66A8">
              <w:rPr>
                <w:b/>
                <w:bCs/>
              </w:rPr>
              <w:br/>
            </w:r>
            <w:r w:rsidRPr="00CC66A8">
              <w:t>1 = SHC identified opportunity requiring physician engagement</w:t>
            </w:r>
          </w:p>
          <w:p w14:paraId="6E83759D" w14:textId="77777777" w:rsidR="00503FA0" w:rsidRPr="00CC66A8" w:rsidRDefault="00503FA0" w:rsidP="00832E6C">
            <w:r w:rsidRPr="00CC66A8">
              <w:t>2 = Physician and SHC jointly identified opportunity</w:t>
            </w:r>
            <w:r w:rsidRPr="00CC66A8">
              <w:br/>
              <w:t>3 = Physician identified and novel opportunity</w:t>
            </w:r>
          </w:p>
        </w:tc>
        <w:tc>
          <w:tcPr>
            <w:tcW w:w="4140" w:type="dxa"/>
            <w:tcBorders>
              <w:top w:val="single" w:sz="4" w:space="0" w:color="000000"/>
              <w:left w:val="single" w:sz="4" w:space="0" w:color="000000"/>
              <w:bottom w:val="single" w:sz="4" w:space="0" w:color="000000"/>
              <w:right w:val="single" w:sz="8" w:space="0" w:color="000000"/>
            </w:tcBorders>
            <w:shd w:val="clear" w:color="auto" w:fill="auto"/>
            <w:tcMar>
              <w:top w:w="10" w:type="dxa"/>
              <w:left w:w="10" w:type="dxa"/>
              <w:bottom w:w="0" w:type="dxa"/>
              <w:right w:w="10" w:type="dxa"/>
            </w:tcMar>
            <w:vAlign w:val="bottom"/>
            <w:hideMark/>
          </w:tcPr>
          <w:p w14:paraId="4443ECBD" w14:textId="77777777" w:rsidR="00503FA0" w:rsidRPr="00CC66A8" w:rsidRDefault="00503FA0" w:rsidP="00832E6C">
            <w:r w:rsidRPr="00CC66A8">
              <w:t> </w:t>
            </w:r>
          </w:p>
        </w:tc>
      </w:tr>
      <w:tr w:rsidR="00503FA0" w:rsidRPr="00CC66A8" w14:paraId="2ECD4A99" w14:textId="77777777" w:rsidTr="00832E6C">
        <w:trPr>
          <w:trHeight w:val="1687"/>
        </w:trPr>
        <w:tc>
          <w:tcPr>
            <w:tcW w:w="9440" w:type="dxa"/>
            <w:tcBorders>
              <w:top w:val="single" w:sz="4" w:space="0" w:color="000000"/>
              <w:left w:val="single" w:sz="8"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68E53FE5" w14:textId="77777777" w:rsidR="00503FA0" w:rsidRPr="00CC66A8" w:rsidRDefault="00503FA0" w:rsidP="00832E6C">
            <w:r w:rsidRPr="00CC66A8">
              <w:rPr>
                <w:b/>
                <w:bCs/>
              </w:rPr>
              <w:t>Required physician effort</w:t>
            </w:r>
            <w:r w:rsidRPr="00CC66A8">
              <w:br/>
              <w:t>0 = Clinical expectation</w:t>
            </w:r>
            <w:r w:rsidRPr="00CC66A8">
              <w:br/>
              <w:t>1 = Minimal effort required (&lt;5 hours commitment)</w:t>
            </w:r>
          </w:p>
          <w:p w14:paraId="3DD11287" w14:textId="77777777" w:rsidR="00503FA0" w:rsidRPr="00CC66A8" w:rsidRDefault="00503FA0" w:rsidP="00832E6C">
            <w:r w:rsidRPr="00CC66A8">
              <w:t>2 = Requires change in practice, consolidation of products and/or development of operational enhancement within a department or service line</w:t>
            </w:r>
            <w:r w:rsidRPr="00CC66A8">
              <w:br/>
              <w:t xml:space="preserve">3 = Requires significant change in practice, consolidation of products and/or development of operational enhancement across the SHC enterprise </w:t>
            </w:r>
          </w:p>
        </w:tc>
        <w:tc>
          <w:tcPr>
            <w:tcW w:w="4140" w:type="dxa"/>
            <w:tcBorders>
              <w:top w:val="single" w:sz="4" w:space="0" w:color="000000"/>
              <w:left w:val="single" w:sz="4" w:space="0" w:color="000000"/>
              <w:bottom w:val="single" w:sz="4" w:space="0" w:color="000000"/>
              <w:right w:val="single" w:sz="8" w:space="0" w:color="000000"/>
            </w:tcBorders>
            <w:shd w:val="clear" w:color="auto" w:fill="auto"/>
            <w:tcMar>
              <w:top w:w="10" w:type="dxa"/>
              <w:left w:w="10" w:type="dxa"/>
              <w:bottom w:w="0" w:type="dxa"/>
              <w:right w:w="10" w:type="dxa"/>
            </w:tcMar>
            <w:vAlign w:val="bottom"/>
            <w:hideMark/>
          </w:tcPr>
          <w:p w14:paraId="18C092D2" w14:textId="77777777" w:rsidR="00503FA0" w:rsidRPr="00CC66A8" w:rsidRDefault="00503FA0" w:rsidP="00832E6C">
            <w:r w:rsidRPr="00CC66A8">
              <w:t> </w:t>
            </w:r>
          </w:p>
        </w:tc>
      </w:tr>
      <w:tr w:rsidR="00503FA0" w:rsidRPr="00CC66A8" w14:paraId="279B80CD" w14:textId="77777777" w:rsidTr="00832E6C">
        <w:trPr>
          <w:trHeight w:val="735"/>
        </w:trPr>
        <w:tc>
          <w:tcPr>
            <w:tcW w:w="9440" w:type="dxa"/>
            <w:tcBorders>
              <w:top w:val="single" w:sz="4" w:space="0" w:color="000000"/>
              <w:left w:val="single" w:sz="8"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14B38DED" w14:textId="77777777" w:rsidR="00503FA0" w:rsidRPr="00CC66A8" w:rsidRDefault="00503FA0" w:rsidP="00832E6C">
            <w:r w:rsidRPr="00CC66A8">
              <w:rPr>
                <w:b/>
                <w:bCs/>
              </w:rPr>
              <w:t xml:space="preserve">Required clinical guidance and </w:t>
            </w:r>
            <w:proofErr w:type="gramStart"/>
            <w:r w:rsidRPr="00CC66A8">
              <w:rPr>
                <w:b/>
                <w:bCs/>
              </w:rPr>
              <w:t xml:space="preserve">expertise  </w:t>
            </w:r>
            <w:r w:rsidRPr="00CC66A8">
              <w:t>(</w:t>
            </w:r>
            <w:proofErr w:type="gramEnd"/>
            <w:r w:rsidRPr="00CC66A8">
              <w:t>Level of clinical validation and participation in strategic deployment)</w:t>
            </w:r>
            <w:r w:rsidRPr="00CC66A8">
              <w:br/>
              <w:t>1 = Minimal physician guidance and expertise required</w:t>
            </w:r>
            <w:r w:rsidRPr="00CC66A8">
              <w:br/>
              <w:t>2 = Requires significant physician guidance and expertise</w:t>
            </w:r>
          </w:p>
        </w:tc>
        <w:tc>
          <w:tcPr>
            <w:tcW w:w="4140" w:type="dxa"/>
            <w:tcBorders>
              <w:top w:val="single" w:sz="4" w:space="0" w:color="000000"/>
              <w:left w:val="single" w:sz="4" w:space="0" w:color="000000"/>
              <w:bottom w:val="single" w:sz="4" w:space="0" w:color="000000"/>
              <w:right w:val="single" w:sz="8" w:space="0" w:color="000000"/>
            </w:tcBorders>
            <w:shd w:val="clear" w:color="auto" w:fill="auto"/>
            <w:tcMar>
              <w:top w:w="10" w:type="dxa"/>
              <w:left w:w="10" w:type="dxa"/>
              <w:bottom w:w="0" w:type="dxa"/>
              <w:right w:w="10" w:type="dxa"/>
            </w:tcMar>
            <w:vAlign w:val="bottom"/>
            <w:hideMark/>
          </w:tcPr>
          <w:p w14:paraId="4758755E" w14:textId="77777777" w:rsidR="00503FA0" w:rsidRPr="00CC66A8" w:rsidRDefault="00503FA0" w:rsidP="00832E6C">
            <w:r w:rsidRPr="00CC66A8">
              <w:t> </w:t>
            </w:r>
          </w:p>
        </w:tc>
      </w:tr>
      <w:tr w:rsidR="00503FA0" w:rsidRPr="00CC66A8" w14:paraId="53175373" w14:textId="77777777" w:rsidTr="00832E6C">
        <w:trPr>
          <w:trHeight w:val="259"/>
        </w:trPr>
        <w:tc>
          <w:tcPr>
            <w:tcW w:w="13580" w:type="dxa"/>
            <w:gridSpan w:val="2"/>
            <w:tcBorders>
              <w:top w:val="single" w:sz="4" w:space="0" w:color="000000"/>
              <w:left w:val="single" w:sz="8" w:space="0" w:color="000000"/>
              <w:bottom w:val="single" w:sz="8" w:space="0" w:color="000000"/>
              <w:right w:val="single" w:sz="8" w:space="0" w:color="000000"/>
            </w:tcBorders>
            <w:shd w:val="clear" w:color="auto" w:fill="D9D9D9"/>
            <w:tcMar>
              <w:top w:w="10" w:type="dxa"/>
              <w:left w:w="10" w:type="dxa"/>
              <w:bottom w:w="0" w:type="dxa"/>
              <w:right w:w="10" w:type="dxa"/>
            </w:tcMar>
            <w:vAlign w:val="bottom"/>
            <w:hideMark/>
          </w:tcPr>
          <w:p w14:paraId="13A8F04C" w14:textId="77777777" w:rsidR="00503FA0" w:rsidRPr="00CC66A8" w:rsidRDefault="00503FA0" w:rsidP="00832E6C">
            <w:r w:rsidRPr="00CC66A8">
              <w:rPr>
                <w:b/>
                <w:bCs/>
              </w:rPr>
              <w:t>Organizational Alignment</w:t>
            </w:r>
          </w:p>
        </w:tc>
      </w:tr>
      <w:tr w:rsidR="00503FA0" w:rsidRPr="00CC66A8" w14:paraId="647C807C" w14:textId="77777777" w:rsidTr="00832E6C">
        <w:trPr>
          <w:trHeight w:val="735"/>
        </w:trPr>
        <w:tc>
          <w:tcPr>
            <w:tcW w:w="9440" w:type="dxa"/>
            <w:tcBorders>
              <w:top w:val="single" w:sz="8" w:space="0" w:color="000000"/>
              <w:left w:val="single" w:sz="8"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40E93353" w14:textId="77777777" w:rsidR="00503FA0" w:rsidRPr="00CC66A8" w:rsidRDefault="00503FA0" w:rsidP="00832E6C">
            <w:r w:rsidRPr="00CC66A8">
              <w:rPr>
                <w:b/>
                <w:bCs/>
              </w:rPr>
              <w:t xml:space="preserve">Alignment with organizational priorities </w:t>
            </w:r>
            <w:r w:rsidRPr="00CC66A8">
              <w:t>(e.g., part of the SHC Operational Plan or Integrated Strategic Plan)</w:t>
            </w:r>
            <w:r w:rsidRPr="00CC66A8">
              <w:br/>
              <w:t>1 = Financial strength</w:t>
            </w:r>
            <w:r w:rsidRPr="00CC66A8">
              <w:br/>
              <w:t>2 = Impacts multiple domains (Quality, Patient Experience, Engagement &amp; Wellness)</w:t>
            </w:r>
          </w:p>
        </w:tc>
        <w:tc>
          <w:tcPr>
            <w:tcW w:w="4140" w:type="dxa"/>
            <w:tcBorders>
              <w:top w:val="single" w:sz="8" w:space="0" w:color="000000"/>
              <w:left w:val="single" w:sz="4" w:space="0" w:color="000000"/>
              <w:bottom w:val="single" w:sz="4" w:space="0" w:color="000000"/>
              <w:right w:val="single" w:sz="8" w:space="0" w:color="000000"/>
            </w:tcBorders>
            <w:shd w:val="clear" w:color="auto" w:fill="auto"/>
            <w:tcMar>
              <w:top w:w="10" w:type="dxa"/>
              <w:left w:w="10" w:type="dxa"/>
              <w:bottom w:w="0" w:type="dxa"/>
              <w:right w:w="10" w:type="dxa"/>
            </w:tcMar>
            <w:vAlign w:val="bottom"/>
            <w:hideMark/>
          </w:tcPr>
          <w:p w14:paraId="4D62DB1B" w14:textId="77777777" w:rsidR="00503FA0" w:rsidRPr="00CC66A8" w:rsidRDefault="00503FA0" w:rsidP="00832E6C">
            <w:r w:rsidRPr="00CC66A8">
              <w:t> </w:t>
            </w:r>
          </w:p>
        </w:tc>
      </w:tr>
      <w:tr w:rsidR="00503FA0" w:rsidRPr="00CC66A8" w14:paraId="7DA8B2E0" w14:textId="77777777" w:rsidTr="00832E6C">
        <w:trPr>
          <w:trHeight w:val="735"/>
        </w:trPr>
        <w:tc>
          <w:tcPr>
            <w:tcW w:w="9440" w:type="dxa"/>
            <w:tcBorders>
              <w:top w:val="single" w:sz="4" w:space="0" w:color="000000"/>
              <w:left w:val="single" w:sz="8"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175A018C" w14:textId="118E512B" w:rsidR="00503FA0" w:rsidRPr="00CC66A8" w:rsidRDefault="00503FA0" w:rsidP="00832E6C">
            <w:r w:rsidRPr="00CC66A8">
              <w:rPr>
                <w:b/>
                <w:bCs/>
              </w:rPr>
              <w:lastRenderedPageBreak/>
              <w:t>Impact of initiative</w:t>
            </w:r>
            <w:r w:rsidRPr="00CC66A8">
              <w:br/>
              <w:t>1 = Minimal scope, small patient population, or minimal financial impact</w:t>
            </w:r>
            <w:r w:rsidRPr="00CC66A8">
              <w:br/>
              <w:t xml:space="preserve">2 = Three or more </w:t>
            </w:r>
            <w:r w:rsidR="0019364A" w:rsidRPr="00CC66A8">
              <w:t>medical school</w:t>
            </w:r>
            <w:r w:rsidRPr="00CC66A8">
              <w:t xml:space="preserve"> departments/patient populations, multiple services or SHC entities, or large financial impact</w:t>
            </w:r>
          </w:p>
        </w:tc>
        <w:tc>
          <w:tcPr>
            <w:tcW w:w="4140" w:type="dxa"/>
            <w:tcBorders>
              <w:top w:val="single" w:sz="4" w:space="0" w:color="000000"/>
              <w:left w:val="single" w:sz="4" w:space="0" w:color="000000"/>
              <w:bottom w:val="single" w:sz="4" w:space="0" w:color="000000"/>
              <w:right w:val="single" w:sz="8" w:space="0" w:color="000000"/>
            </w:tcBorders>
            <w:shd w:val="clear" w:color="auto" w:fill="auto"/>
            <w:tcMar>
              <w:top w:w="10" w:type="dxa"/>
              <w:left w:w="10" w:type="dxa"/>
              <w:bottom w:w="0" w:type="dxa"/>
              <w:right w:w="10" w:type="dxa"/>
            </w:tcMar>
            <w:vAlign w:val="bottom"/>
            <w:hideMark/>
          </w:tcPr>
          <w:p w14:paraId="72FA0BEF" w14:textId="77777777" w:rsidR="00503FA0" w:rsidRPr="00CC66A8" w:rsidRDefault="00503FA0" w:rsidP="00832E6C">
            <w:r w:rsidRPr="00CC66A8">
              <w:t> </w:t>
            </w:r>
          </w:p>
        </w:tc>
      </w:tr>
      <w:tr w:rsidR="00503FA0" w:rsidRPr="00CC66A8" w14:paraId="6834E5B7" w14:textId="77777777" w:rsidTr="00832E6C">
        <w:trPr>
          <w:trHeight w:val="262"/>
        </w:trPr>
        <w:tc>
          <w:tcPr>
            <w:tcW w:w="13580" w:type="dxa"/>
            <w:gridSpan w:val="2"/>
            <w:tcBorders>
              <w:top w:val="single" w:sz="4" w:space="0" w:color="000000"/>
              <w:left w:val="single" w:sz="8" w:space="0" w:color="000000"/>
              <w:bottom w:val="single" w:sz="4" w:space="0" w:color="000000"/>
              <w:right w:val="single" w:sz="4" w:space="0" w:color="000000"/>
            </w:tcBorders>
            <w:shd w:val="clear" w:color="auto" w:fill="BFBFBF"/>
            <w:tcMar>
              <w:top w:w="13" w:type="dxa"/>
              <w:left w:w="13" w:type="dxa"/>
              <w:bottom w:w="0" w:type="dxa"/>
              <w:right w:w="13" w:type="dxa"/>
            </w:tcMar>
            <w:vAlign w:val="bottom"/>
            <w:hideMark/>
          </w:tcPr>
          <w:p w14:paraId="4BE340AC" w14:textId="77777777" w:rsidR="00503FA0" w:rsidRPr="00CC66A8" w:rsidRDefault="00503FA0" w:rsidP="00832E6C">
            <w:r w:rsidRPr="00CC66A8">
              <w:rPr>
                <w:b/>
                <w:bCs/>
              </w:rPr>
              <w:t>Resources</w:t>
            </w:r>
          </w:p>
        </w:tc>
      </w:tr>
      <w:tr w:rsidR="00503FA0" w:rsidRPr="00CC66A8" w14:paraId="1339671C" w14:textId="77777777" w:rsidTr="00832E6C">
        <w:trPr>
          <w:trHeight w:val="727"/>
        </w:trPr>
        <w:tc>
          <w:tcPr>
            <w:tcW w:w="9440" w:type="dxa"/>
            <w:tcBorders>
              <w:top w:val="single" w:sz="4" w:space="0" w:color="000000"/>
              <w:left w:val="single" w:sz="8" w:space="0" w:color="000000"/>
              <w:bottom w:val="single" w:sz="4" w:space="0" w:color="000000"/>
              <w:right w:val="single" w:sz="4" w:space="0" w:color="000000"/>
            </w:tcBorders>
            <w:shd w:val="clear" w:color="auto" w:fill="auto"/>
            <w:tcMar>
              <w:top w:w="13" w:type="dxa"/>
              <w:left w:w="13" w:type="dxa"/>
              <w:bottom w:w="0" w:type="dxa"/>
              <w:right w:w="13" w:type="dxa"/>
            </w:tcMar>
            <w:vAlign w:val="bottom"/>
            <w:hideMark/>
          </w:tcPr>
          <w:p w14:paraId="505D9883" w14:textId="77777777" w:rsidR="00503FA0" w:rsidRPr="00CC66A8" w:rsidRDefault="00503FA0" w:rsidP="00832E6C">
            <w:r w:rsidRPr="00CC66A8">
              <w:t>Endorsement of SHC resources to support initiative</w:t>
            </w:r>
          </w:p>
          <w:p w14:paraId="31B0BD2C" w14:textId="77777777" w:rsidR="00503FA0" w:rsidRPr="00CC66A8" w:rsidRDefault="00503FA0" w:rsidP="00832E6C">
            <w:r w:rsidRPr="00CC66A8">
              <w:t>0 = No</w:t>
            </w:r>
          </w:p>
          <w:p w14:paraId="645603D2" w14:textId="77777777" w:rsidR="00503FA0" w:rsidRPr="00CC66A8" w:rsidRDefault="00503FA0" w:rsidP="00832E6C">
            <w:r w:rsidRPr="00CC66A8">
              <w:t>1 = Yes</w:t>
            </w:r>
          </w:p>
        </w:tc>
        <w:tc>
          <w:tcPr>
            <w:tcW w:w="4140" w:type="dxa"/>
            <w:tcBorders>
              <w:top w:val="single" w:sz="4" w:space="0" w:color="000000"/>
              <w:left w:val="single" w:sz="4" w:space="0" w:color="000000"/>
              <w:bottom w:val="single" w:sz="4" w:space="0" w:color="000000"/>
              <w:right w:val="single" w:sz="8" w:space="0" w:color="000000"/>
            </w:tcBorders>
            <w:shd w:val="clear" w:color="auto" w:fill="auto"/>
            <w:tcMar>
              <w:top w:w="13" w:type="dxa"/>
              <w:left w:w="13" w:type="dxa"/>
              <w:bottom w:w="0" w:type="dxa"/>
              <w:right w:w="13" w:type="dxa"/>
            </w:tcMar>
            <w:vAlign w:val="bottom"/>
            <w:hideMark/>
          </w:tcPr>
          <w:p w14:paraId="52DD6A07" w14:textId="77777777" w:rsidR="00503FA0" w:rsidRPr="00CC66A8" w:rsidRDefault="00503FA0" w:rsidP="00832E6C"/>
        </w:tc>
      </w:tr>
      <w:tr w:rsidR="00503FA0" w:rsidRPr="00CC66A8" w14:paraId="788D8210" w14:textId="77777777" w:rsidTr="00832E6C">
        <w:trPr>
          <w:trHeight w:val="289"/>
        </w:trPr>
        <w:tc>
          <w:tcPr>
            <w:tcW w:w="9440" w:type="dxa"/>
            <w:tcBorders>
              <w:top w:val="single" w:sz="4" w:space="0" w:color="000000"/>
              <w:left w:val="single" w:sz="8"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1C356B79" w14:textId="77777777" w:rsidR="00503FA0" w:rsidRPr="00CC66A8" w:rsidRDefault="00503FA0" w:rsidP="00832E6C">
            <w:r w:rsidRPr="00CC66A8">
              <w:rPr>
                <w:b/>
                <w:bCs/>
              </w:rPr>
              <w:t>Total Committee Score</w:t>
            </w:r>
          </w:p>
        </w:tc>
        <w:tc>
          <w:tcPr>
            <w:tcW w:w="4140" w:type="dxa"/>
            <w:tcBorders>
              <w:top w:val="single" w:sz="4" w:space="0" w:color="000000"/>
              <w:left w:val="single" w:sz="4" w:space="0" w:color="000000"/>
              <w:bottom w:val="single" w:sz="4" w:space="0" w:color="000000"/>
              <w:right w:val="single" w:sz="8" w:space="0" w:color="000000"/>
            </w:tcBorders>
            <w:shd w:val="clear" w:color="auto" w:fill="auto"/>
            <w:tcMar>
              <w:top w:w="10" w:type="dxa"/>
              <w:left w:w="10" w:type="dxa"/>
              <w:bottom w:w="0" w:type="dxa"/>
              <w:right w:w="10" w:type="dxa"/>
            </w:tcMar>
            <w:vAlign w:val="bottom"/>
            <w:hideMark/>
          </w:tcPr>
          <w:p w14:paraId="4868D3AD" w14:textId="77777777" w:rsidR="00503FA0" w:rsidRPr="00CC66A8" w:rsidRDefault="00503FA0" w:rsidP="00832E6C">
            <w:r w:rsidRPr="00CC66A8">
              <w:t> </w:t>
            </w:r>
          </w:p>
        </w:tc>
      </w:tr>
    </w:tbl>
    <w:p w14:paraId="67C3A76E" w14:textId="30987B27" w:rsidR="00503FA0" w:rsidRDefault="00503FA0" w:rsidP="00503FA0"/>
    <w:p w14:paraId="64B95850" w14:textId="357DEA67" w:rsidR="003C5EA3" w:rsidRDefault="003C5EA3" w:rsidP="00503FA0"/>
    <w:p w14:paraId="3A963621" w14:textId="2FA7591F" w:rsidR="003C5EA3" w:rsidRDefault="003C5EA3" w:rsidP="00503FA0"/>
    <w:p w14:paraId="4F6E1DDF" w14:textId="77777777" w:rsidR="003C5EA3" w:rsidRDefault="003C5EA3">
      <w:pPr>
        <w:rPr>
          <w:rFonts w:eastAsia="STSong"/>
          <w:b/>
          <w:bCs/>
        </w:rPr>
      </w:pPr>
      <w:r>
        <w:rPr>
          <w:rFonts w:eastAsia="STSong"/>
          <w:b/>
          <w:bCs/>
        </w:rPr>
        <w:br w:type="page"/>
      </w:r>
    </w:p>
    <w:p w14:paraId="633DEAB5" w14:textId="449CD397" w:rsidR="003C5EA3" w:rsidRPr="00CC66A8" w:rsidRDefault="003C5EA3" w:rsidP="003C5EA3">
      <w:pPr>
        <w:rPr>
          <w:rFonts w:eastAsia="STSong"/>
          <w:b/>
          <w:bCs/>
        </w:rPr>
      </w:pPr>
      <w:r w:rsidRPr="00CC66A8">
        <w:rPr>
          <w:rFonts w:eastAsia="STSong"/>
          <w:b/>
          <w:bCs/>
        </w:rPr>
        <w:lastRenderedPageBreak/>
        <w:t xml:space="preserve">Appendix </w:t>
      </w:r>
      <w:r>
        <w:rPr>
          <w:rFonts w:eastAsia="STSong"/>
          <w:b/>
          <w:bCs/>
        </w:rPr>
        <w:t>E</w:t>
      </w:r>
      <w:r w:rsidRPr="00CC66A8">
        <w:rPr>
          <w:rFonts w:eastAsia="STSong"/>
          <w:b/>
          <w:bCs/>
        </w:rPr>
        <w:t>: Estimated Overhead Costs of Cost Savings Reinvestment Program</w:t>
      </w:r>
    </w:p>
    <w:p w14:paraId="59620F86" w14:textId="77777777" w:rsidR="003C5EA3" w:rsidRPr="00CC66A8" w:rsidRDefault="003C5EA3" w:rsidP="003C5EA3">
      <w:pPr>
        <w:rPr>
          <w:rFonts w:eastAsia="STSong"/>
        </w:rPr>
      </w:pPr>
    </w:p>
    <w:tbl>
      <w:tblPr>
        <w:tblW w:w="12960" w:type="dxa"/>
        <w:tblLook w:val="04A0" w:firstRow="1" w:lastRow="0" w:firstColumn="1" w:lastColumn="0" w:noHBand="0" w:noVBand="1"/>
      </w:tblPr>
      <w:tblGrid>
        <w:gridCol w:w="337"/>
        <w:gridCol w:w="3791"/>
        <w:gridCol w:w="2792"/>
        <w:gridCol w:w="1450"/>
        <w:gridCol w:w="1260"/>
        <w:gridCol w:w="1620"/>
        <w:gridCol w:w="1710"/>
      </w:tblGrid>
      <w:tr w:rsidR="003C5EA3" w:rsidRPr="00CC66A8" w14:paraId="0151053F" w14:textId="77777777" w:rsidTr="00C252BE">
        <w:trPr>
          <w:trHeight w:val="560"/>
        </w:trPr>
        <w:tc>
          <w:tcPr>
            <w:tcW w:w="337" w:type="dxa"/>
            <w:tcBorders>
              <w:top w:val="single" w:sz="4" w:space="0" w:color="auto"/>
              <w:left w:val="nil"/>
              <w:bottom w:val="single" w:sz="4" w:space="0" w:color="auto"/>
              <w:right w:val="nil"/>
            </w:tcBorders>
            <w:shd w:val="clear" w:color="auto" w:fill="auto"/>
            <w:noWrap/>
            <w:vAlign w:val="bottom"/>
            <w:hideMark/>
          </w:tcPr>
          <w:p w14:paraId="21FA657E" w14:textId="77777777" w:rsidR="003C5EA3" w:rsidRPr="00CC66A8" w:rsidRDefault="003C5EA3" w:rsidP="00C252BE">
            <w:pPr>
              <w:jc w:val="center"/>
              <w:rPr>
                <w:b/>
                <w:bCs/>
                <w:color w:val="000000"/>
              </w:rPr>
            </w:pPr>
            <w:r w:rsidRPr="00CC66A8">
              <w:rPr>
                <w:b/>
                <w:bCs/>
                <w:color w:val="000000"/>
              </w:rPr>
              <w:t> </w:t>
            </w:r>
          </w:p>
        </w:tc>
        <w:tc>
          <w:tcPr>
            <w:tcW w:w="3791" w:type="dxa"/>
            <w:tcBorders>
              <w:top w:val="single" w:sz="4" w:space="0" w:color="auto"/>
              <w:left w:val="nil"/>
              <w:bottom w:val="single" w:sz="4" w:space="0" w:color="auto"/>
              <w:right w:val="nil"/>
            </w:tcBorders>
            <w:shd w:val="clear" w:color="auto" w:fill="auto"/>
            <w:vAlign w:val="bottom"/>
            <w:hideMark/>
          </w:tcPr>
          <w:p w14:paraId="1E145623" w14:textId="77777777" w:rsidR="003C5EA3" w:rsidRPr="00CC66A8" w:rsidRDefault="003C5EA3" w:rsidP="00C252BE">
            <w:pPr>
              <w:jc w:val="center"/>
              <w:rPr>
                <w:b/>
                <w:bCs/>
                <w:color w:val="000000"/>
              </w:rPr>
            </w:pPr>
            <w:r w:rsidRPr="00CC66A8">
              <w:rPr>
                <w:b/>
                <w:bCs/>
                <w:color w:val="000000"/>
              </w:rPr>
              <w:t>Administrator Role</w:t>
            </w:r>
          </w:p>
        </w:tc>
        <w:tc>
          <w:tcPr>
            <w:tcW w:w="2792" w:type="dxa"/>
            <w:tcBorders>
              <w:top w:val="single" w:sz="4" w:space="0" w:color="auto"/>
              <w:left w:val="nil"/>
              <w:bottom w:val="single" w:sz="4" w:space="0" w:color="auto"/>
              <w:right w:val="nil"/>
            </w:tcBorders>
            <w:shd w:val="clear" w:color="auto" w:fill="auto"/>
            <w:vAlign w:val="bottom"/>
            <w:hideMark/>
          </w:tcPr>
          <w:p w14:paraId="0D393B82" w14:textId="77777777" w:rsidR="003C5EA3" w:rsidRPr="00CC66A8" w:rsidRDefault="003C5EA3" w:rsidP="00C252BE">
            <w:pPr>
              <w:jc w:val="center"/>
              <w:rPr>
                <w:b/>
                <w:bCs/>
                <w:color w:val="000000"/>
              </w:rPr>
            </w:pPr>
            <w:r w:rsidRPr="00CC66A8">
              <w:rPr>
                <w:b/>
                <w:bCs/>
                <w:color w:val="000000"/>
              </w:rPr>
              <w:t>Reference Job Description</w:t>
            </w:r>
          </w:p>
        </w:tc>
        <w:tc>
          <w:tcPr>
            <w:tcW w:w="1450" w:type="dxa"/>
            <w:tcBorders>
              <w:top w:val="single" w:sz="4" w:space="0" w:color="auto"/>
              <w:left w:val="nil"/>
              <w:bottom w:val="single" w:sz="4" w:space="0" w:color="auto"/>
              <w:right w:val="nil"/>
            </w:tcBorders>
            <w:shd w:val="clear" w:color="auto" w:fill="auto"/>
            <w:vAlign w:val="bottom"/>
            <w:hideMark/>
          </w:tcPr>
          <w:p w14:paraId="67ACA5F1" w14:textId="77777777" w:rsidR="003C5EA3" w:rsidRPr="00CC66A8" w:rsidRDefault="003C5EA3" w:rsidP="00C252BE">
            <w:pPr>
              <w:jc w:val="center"/>
              <w:rPr>
                <w:b/>
                <w:bCs/>
                <w:color w:val="000000"/>
              </w:rPr>
            </w:pPr>
            <w:r w:rsidRPr="00CC66A8">
              <w:rPr>
                <w:b/>
                <w:bCs/>
                <w:color w:val="000000"/>
              </w:rPr>
              <w:t>% Full time equivalent</w:t>
            </w:r>
          </w:p>
        </w:tc>
        <w:tc>
          <w:tcPr>
            <w:tcW w:w="1260" w:type="dxa"/>
            <w:tcBorders>
              <w:top w:val="single" w:sz="4" w:space="0" w:color="auto"/>
              <w:left w:val="nil"/>
              <w:bottom w:val="single" w:sz="4" w:space="0" w:color="auto"/>
              <w:right w:val="nil"/>
            </w:tcBorders>
            <w:shd w:val="clear" w:color="auto" w:fill="auto"/>
            <w:vAlign w:val="bottom"/>
            <w:hideMark/>
          </w:tcPr>
          <w:p w14:paraId="656705D6" w14:textId="77777777" w:rsidR="003C5EA3" w:rsidRPr="00CC66A8" w:rsidRDefault="003C5EA3" w:rsidP="00C252BE">
            <w:pPr>
              <w:jc w:val="center"/>
              <w:rPr>
                <w:b/>
                <w:bCs/>
                <w:color w:val="000000"/>
              </w:rPr>
            </w:pPr>
            <w:r w:rsidRPr="00CC66A8">
              <w:rPr>
                <w:b/>
                <w:bCs/>
                <w:color w:val="000000"/>
              </w:rPr>
              <w:t># People</w:t>
            </w:r>
          </w:p>
        </w:tc>
        <w:tc>
          <w:tcPr>
            <w:tcW w:w="1620" w:type="dxa"/>
            <w:tcBorders>
              <w:top w:val="single" w:sz="4" w:space="0" w:color="auto"/>
              <w:left w:val="nil"/>
              <w:bottom w:val="single" w:sz="4" w:space="0" w:color="auto"/>
              <w:right w:val="nil"/>
            </w:tcBorders>
            <w:shd w:val="clear" w:color="auto" w:fill="auto"/>
            <w:vAlign w:val="bottom"/>
            <w:hideMark/>
          </w:tcPr>
          <w:p w14:paraId="3C57C32D" w14:textId="280EEFA1" w:rsidR="003C5EA3" w:rsidRPr="00CC66A8" w:rsidRDefault="003C5EA3" w:rsidP="00C252BE">
            <w:pPr>
              <w:jc w:val="center"/>
              <w:rPr>
                <w:b/>
                <w:bCs/>
                <w:color w:val="000000"/>
              </w:rPr>
            </w:pPr>
            <w:r w:rsidRPr="00CC66A8">
              <w:rPr>
                <w:b/>
                <w:bCs/>
                <w:color w:val="000000"/>
              </w:rPr>
              <w:t xml:space="preserve">Annual Salary with </w:t>
            </w:r>
            <w:proofErr w:type="spellStart"/>
            <w:r w:rsidRPr="00CC66A8">
              <w:rPr>
                <w:b/>
                <w:bCs/>
                <w:color w:val="000000"/>
              </w:rPr>
              <w:t>Benefits</w:t>
            </w:r>
            <w:r w:rsidR="008E3883" w:rsidRPr="008E3883">
              <w:rPr>
                <w:b/>
                <w:bCs/>
                <w:color w:val="000000"/>
                <w:vertAlign w:val="superscript"/>
              </w:rPr>
              <w:t>a</w:t>
            </w:r>
            <w:proofErr w:type="spellEnd"/>
          </w:p>
        </w:tc>
        <w:tc>
          <w:tcPr>
            <w:tcW w:w="1710" w:type="dxa"/>
            <w:tcBorders>
              <w:top w:val="single" w:sz="4" w:space="0" w:color="auto"/>
              <w:left w:val="nil"/>
              <w:bottom w:val="single" w:sz="4" w:space="0" w:color="auto"/>
              <w:right w:val="nil"/>
            </w:tcBorders>
            <w:shd w:val="clear" w:color="auto" w:fill="auto"/>
            <w:vAlign w:val="bottom"/>
            <w:hideMark/>
          </w:tcPr>
          <w:p w14:paraId="0DE7666C" w14:textId="77777777" w:rsidR="003C5EA3" w:rsidRPr="00CC66A8" w:rsidRDefault="003C5EA3" w:rsidP="00C252BE">
            <w:pPr>
              <w:jc w:val="center"/>
              <w:rPr>
                <w:b/>
                <w:bCs/>
                <w:color w:val="000000"/>
              </w:rPr>
            </w:pPr>
            <w:r w:rsidRPr="00CC66A8">
              <w:rPr>
                <w:b/>
                <w:bCs/>
                <w:color w:val="000000"/>
              </w:rPr>
              <w:t>Component Cost</w:t>
            </w:r>
          </w:p>
        </w:tc>
      </w:tr>
      <w:tr w:rsidR="003C5EA3" w:rsidRPr="00CC66A8" w14:paraId="7F6E2674" w14:textId="77777777" w:rsidTr="00C252BE">
        <w:trPr>
          <w:trHeight w:val="260"/>
        </w:trPr>
        <w:tc>
          <w:tcPr>
            <w:tcW w:w="4128" w:type="dxa"/>
            <w:gridSpan w:val="2"/>
            <w:tcBorders>
              <w:top w:val="nil"/>
              <w:left w:val="nil"/>
              <w:bottom w:val="nil"/>
              <w:right w:val="nil"/>
            </w:tcBorders>
            <w:shd w:val="clear" w:color="auto" w:fill="auto"/>
            <w:noWrap/>
            <w:vAlign w:val="bottom"/>
            <w:hideMark/>
          </w:tcPr>
          <w:p w14:paraId="1C42E45B" w14:textId="77777777" w:rsidR="003C5EA3" w:rsidRPr="00CC66A8" w:rsidRDefault="003C5EA3" w:rsidP="00C252BE">
            <w:pPr>
              <w:rPr>
                <w:b/>
                <w:bCs/>
                <w:color w:val="000000"/>
              </w:rPr>
            </w:pPr>
            <w:r w:rsidRPr="00CC66A8">
              <w:rPr>
                <w:b/>
                <w:bCs/>
                <w:color w:val="000000"/>
              </w:rPr>
              <w:t>Labor Costs</w:t>
            </w:r>
          </w:p>
        </w:tc>
        <w:tc>
          <w:tcPr>
            <w:tcW w:w="2792" w:type="dxa"/>
            <w:tcBorders>
              <w:top w:val="nil"/>
              <w:left w:val="nil"/>
              <w:bottom w:val="nil"/>
              <w:right w:val="nil"/>
            </w:tcBorders>
            <w:shd w:val="clear" w:color="auto" w:fill="auto"/>
            <w:noWrap/>
            <w:vAlign w:val="bottom"/>
            <w:hideMark/>
          </w:tcPr>
          <w:p w14:paraId="4D3F3FD1" w14:textId="77777777" w:rsidR="003C5EA3" w:rsidRPr="00CC66A8" w:rsidRDefault="003C5EA3" w:rsidP="00C252BE">
            <w:pPr>
              <w:rPr>
                <w:b/>
                <w:bCs/>
                <w:color w:val="000000"/>
              </w:rPr>
            </w:pPr>
          </w:p>
        </w:tc>
        <w:tc>
          <w:tcPr>
            <w:tcW w:w="1450" w:type="dxa"/>
            <w:tcBorders>
              <w:top w:val="nil"/>
              <w:left w:val="nil"/>
              <w:bottom w:val="nil"/>
              <w:right w:val="nil"/>
            </w:tcBorders>
            <w:shd w:val="clear" w:color="auto" w:fill="auto"/>
            <w:noWrap/>
            <w:vAlign w:val="bottom"/>
            <w:hideMark/>
          </w:tcPr>
          <w:p w14:paraId="0E800238" w14:textId="77777777" w:rsidR="003C5EA3" w:rsidRPr="00CC66A8" w:rsidRDefault="003C5EA3" w:rsidP="00C252BE"/>
        </w:tc>
        <w:tc>
          <w:tcPr>
            <w:tcW w:w="1260" w:type="dxa"/>
            <w:tcBorders>
              <w:top w:val="nil"/>
              <w:left w:val="nil"/>
              <w:bottom w:val="nil"/>
              <w:right w:val="nil"/>
            </w:tcBorders>
            <w:shd w:val="clear" w:color="auto" w:fill="auto"/>
            <w:noWrap/>
            <w:vAlign w:val="bottom"/>
            <w:hideMark/>
          </w:tcPr>
          <w:p w14:paraId="5FE1CC7F" w14:textId="77777777" w:rsidR="003C5EA3" w:rsidRPr="00CC66A8" w:rsidRDefault="003C5EA3" w:rsidP="00C252BE"/>
        </w:tc>
        <w:tc>
          <w:tcPr>
            <w:tcW w:w="1620" w:type="dxa"/>
            <w:tcBorders>
              <w:top w:val="nil"/>
              <w:left w:val="nil"/>
              <w:bottom w:val="nil"/>
              <w:right w:val="nil"/>
            </w:tcBorders>
            <w:shd w:val="clear" w:color="auto" w:fill="auto"/>
            <w:noWrap/>
            <w:vAlign w:val="bottom"/>
            <w:hideMark/>
          </w:tcPr>
          <w:p w14:paraId="746F2024" w14:textId="77777777" w:rsidR="003C5EA3" w:rsidRPr="00CC66A8" w:rsidRDefault="003C5EA3" w:rsidP="00C252BE"/>
        </w:tc>
        <w:tc>
          <w:tcPr>
            <w:tcW w:w="1710" w:type="dxa"/>
            <w:tcBorders>
              <w:top w:val="nil"/>
              <w:left w:val="nil"/>
              <w:bottom w:val="nil"/>
              <w:right w:val="nil"/>
            </w:tcBorders>
            <w:shd w:val="clear" w:color="auto" w:fill="auto"/>
            <w:noWrap/>
            <w:vAlign w:val="bottom"/>
            <w:hideMark/>
          </w:tcPr>
          <w:p w14:paraId="6630F684" w14:textId="77777777" w:rsidR="003C5EA3" w:rsidRPr="00CC66A8" w:rsidRDefault="003C5EA3" w:rsidP="00C252BE"/>
        </w:tc>
      </w:tr>
      <w:tr w:rsidR="003C5EA3" w:rsidRPr="00CC66A8" w14:paraId="760A7AF3" w14:textId="77777777" w:rsidTr="00C252BE">
        <w:trPr>
          <w:trHeight w:val="260"/>
        </w:trPr>
        <w:tc>
          <w:tcPr>
            <w:tcW w:w="337" w:type="dxa"/>
            <w:tcBorders>
              <w:top w:val="nil"/>
              <w:left w:val="nil"/>
              <w:bottom w:val="nil"/>
              <w:right w:val="nil"/>
            </w:tcBorders>
            <w:shd w:val="clear" w:color="auto" w:fill="auto"/>
            <w:noWrap/>
            <w:vAlign w:val="bottom"/>
            <w:hideMark/>
          </w:tcPr>
          <w:p w14:paraId="3FC61DB0" w14:textId="77777777" w:rsidR="003C5EA3" w:rsidRPr="00CC66A8" w:rsidRDefault="003C5EA3" w:rsidP="00C252BE"/>
        </w:tc>
        <w:tc>
          <w:tcPr>
            <w:tcW w:w="3791" w:type="dxa"/>
            <w:tcBorders>
              <w:top w:val="nil"/>
              <w:left w:val="nil"/>
              <w:bottom w:val="nil"/>
              <w:right w:val="nil"/>
            </w:tcBorders>
            <w:shd w:val="clear" w:color="auto" w:fill="auto"/>
            <w:noWrap/>
            <w:vAlign w:val="bottom"/>
            <w:hideMark/>
          </w:tcPr>
          <w:p w14:paraId="2E6DB1FE" w14:textId="77777777" w:rsidR="003C5EA3" w:rsidRPr="00CC66A8" w:rsidRDefault="003C5EA3" w:rsidP="00C252BE">
            <w:pPr>
              <w:rPr>
                <w:b/>
                <w:bCs/>
                <w:i/>
                <w:iCs/>
                <w:color w:val="000000"/>
              </w:rPr>
            </w:pPr>
            <w:r w:rsidRPr="00CC66A8">
              <w:rPr>
                <w:b/>
                <w:bCs/>
                <w:i/>
                <w:iCs/>
                <w:color w:val="000000"/>
              </w:rPr>
              <w:t>Program administration</w:t>
            </w:r>
          </w:p>
        </w:tc>
        <w:tc>
          <w:tcPr>
            <w:tcW w:w="2792" w:type="dxa"/>
            <w:tcBorders>
              <w:top w:val="nil"/>
              <w:left w:val="nil"/>
              <w:bottom w:val="nil"/>
              <w:right w:val="nil"/>
            </w:tcBorders>
            <w:shd w:val="clear" w:color="auto" w:fill="auto"/>
            <w:noWrap/>
            <w:vAlign w:val="bottom"/>
            <w:hideMark/>
          </w:tcPr>
          <w:p w14:paraId="41523AEF" w14:textId="77777777" w:rsidR="003C5EA3" w:rsidRPr="00CC66A8" w:rsidRDefault="003C5EA3" w:rsidP="00C252BE">
            <w:pPr>
              <w:rPr>
                <w:b/>
                <w:bCs/>
                <w:i/>
                <w:iCs/>
                <w:color w:val="000000"/>
              </w:rPr>
            </w:pPr>
          </w:p>
        </w:tc>
        <w:tc>
          <w:tcPr>
            <w:tcW w:w="1450" w:type="dxa"/>
            <w:tcBorders>
              <w:top w:val="nil"/>
              <w:left w:val="nil"/>
              <w:bottom w:val="nil"/>
              <w:right w:val="nil"/>
            </w:tcBorders>
            <w:shd w:val="clear" w:color="auto" w:fill="auto"/>
            <w:noWrap/>
            <w:vAlign w:val="bottom"/>
            <w:hideMark/>
          </w:tcPr>
          <w:p w14:paraId="0AABBE9D" w14:textId="77777777" w:rsidR="003C5EA3" w:rsidRPr="00CC66A8" w:rsidRDefault="003C5EA3" w:rsidP="00C252BE"/>
        </w:tc>
        <w:tc>
          <w:tcPr>
            <w:tcW w:w="1260" w:type="dxa"/>
            <w:tcBorders>
              <w:top w:val="nil"/>
              <w:left w:val="nil"/>
              <w:bottom w:val="nil"/>
              <w:right w:val="nil"/>
            </w:tcBorders>
            <w:shd w:val="clear" w:color="auto" w:fill="auto"/>
            <w:noWrap/>
            <w:vAlign w:val="bottom"/>
            <w:hideMark/>
          </w:tcPr>
          <w:p w14:paraId="79BC5410" w14:textId="77777777" w:rsidR="003C5EA3" w:rsidRPr="00CC66A8" w:rsidRDefault="003C5EA3" w:rsidP="00C252BE"/>
        </w:tc>
        <w:tc>
          <w:tcPr>
            <w:tcW w:w="1620" w:type="dxa"/>
            <w:tcBorders>
              <w:top w:val="nil"/>
              <w:left w:val="nil"/>
              <w:bottom w:val="nil"/>
              <w:right w:val="nil"/>
            </w:tcBorders>
            <w:shd w:val="clear" w:color="auto" w:fill="auto"/>
            <w:noWrap/>
            <w:vAlign w:val="bottom"/>
            <w:hideMark/>
          </w:tcPr>
          <w:p w14:paraId="48F1F182" w14:textId="77777777" w:rsidR="003C5EA3" w:rsidRPr="00CC66A8" w:rsidRDefault="003C5EA3" w:rsidP="00C252BE"/>
        </w:tc>
        <w:tc>
          <w:tcPr>
            <w:tcW w:w="1710" w:type="dxa"/>
            <w:tcBorders>
              <w:top w:val="nil"/>
              <w:left w:val="nil"/>
              <w:bottom w:val="nil"/>
              <w:right w:val="nil"/>
            </w:tcBorders>
            <w:shd w:val="clear" w:color="auto" w:fill="auto"/>
            <w:noWrap/>
            <w:vAlign w:val="bottom"/>
            <w:hideMark/>
          </w:tcPr>
          <w:p w14:paraId="04CAE045" w14:textId="77777777" w:rsidR="003C5EA3" w:rsidRPr="00CC66A8" w:rsidRDefault="003C5EA3" w:rsidP="00C252BE"/>
        </w:tc>
      </w:tr>
      <w:tr w:rsidR="003C5EA3" w:rsidRPr="00CC66A8" w14:paraId="29AF73AB" w14:textId="77777777" w:rsidTr="00C252BE">
        <w:trPr>
          <w:trHeight w:val="260"/>
        </w:trPr>
        <w:tc>
          <w:tcPr>
            <w:tcW w:w="337" w:type="dxa"/>
            <w:tcBorders>
              <w:top w:val="nil"/>
              <w:left w:val="nil"/>
              <w:bottom w:val="nil"/>
              <w:right w:val="nil"/>
            </w:tcBorders>
            <w:shd w:val="clear" w:color="auto" w:fill="auto"/>
            <w:noWrap/>
            <w:vAlign w:val="bottom"/>
            <w:hideMark/>
          </w:tcPr>
          <w:p w14:paraId="0B1BABD9" w14:textId="77777777" w:rsidR="003C5EA3" w:rsidRPr="00CC66A8" w:rsidRDefault="003C5EA3" w:rsidP="00C252BE"/>
        </w:tc>
        <w:tc>
          <w:tcPr>
            <w:tcW w:w="3791" w:type="dxa"/>
            <w:tcBorders>
              <w:top w:val="nil"/>
              <w:left w:val="nil"/>
              <w:bottom w:val="nil"/>
              <w:right w:val="nil"/>
            </w:tcBorders>
            <w:shd w:val="clear" w:color="auto" w:fill="auto"/>
            <w:noWrap/>
            <w:vAlign w:val="bottom"/>
            <w:hideMark/>
          </w:tcPr>
          <w:p w14:paraId="3F9C6924" w14:textId="77777777" w:rsidR="003C5EA3" w:rsidRPr="00CC66A8" w:rsidRDefault="003C5EA3" w:rsidP="00C252BE">
            <w:pPr>
              <w:rPr>
                <w:color w:val="000000"/>
              </w:rPr>
            </w:pPr>
            <w:r w:rsidRPr="00CC66A8">
              <w:rPr>
                <w:color w:val="000000"/>
              </w:rPr>
              <w:t>Physician Lead &amp; Program Chair</w:t>
            </w:r>
          </w:p>
        </w:tc>
        <w:tc>
          <w:tcPr>
            <w:tcW w:w="2792" w:type="dxa"/>
            <w:tcBorders>
              <w:top w:val="nil"/>
              <w:left w:val="nil"/>
              <w:bottom w:val="nil"/>
              <w:right w:val="nil"/>
            </w:tcBorders>
            <w:shd w:val="clear" w:color="auto" w:fill="auto"/>
            <w:noWrap/>
            <w:vAlign w:val="bottom"/>
            <w:hideMark/>
          </w:tcPr>
          <w:p w14:paraId="6E7A6497" w14:textId="77777777" w:rsidR="003C5EA3" w:rsidRPr="00CC66A8" w:rsidRDefault="003C5EA3" w:rsidP="00C252BE">
            <w:pPr>
              <w:rPr>
                <w:color w:val="000000"/>
              </w:rPr>
            </w:pPr>
            <w:r w:rsidRPr="00CC66A8">
              <w:rPr>
                <w:color w:val="000000"/>
              </w:rPr>
              <w:t>Surgeon</w:t>
            </w:r>
          </w:p>
        </w:tc>
        <w:tc>
          <w:tcPr>
            <w:tcW w:w="1450" w:type="dxa"/>
            <w:tcBorders>
              <w:top w:val="nil"/>
              <w:left w:val="nil"/>
              <w:bottom w:val="nil"/>
              <w:right w:val="nil"/>
            </w:tcBorders>
            <w:shd w:val="clear" w:color="auto" w:fill="auto"/>
            <w:noWrap/>
            <w:vAlign w:val="bottom"/>
            <w:hideMark/>
          </w:tcPr>
          <w:p w14:paraId="6871DEE0" w14:textId="77777777" w:rsidR="003C5EA3" w:rsidRPr="00CC66A8" w:rsidRDefault="003C5EA3" w:rsidP="00C252BE">
            <w:pPr>
              <w:jc w:val="right"/>
              <w:rPr>
                <w:color w:val="000000"/>
              </w:rPr>
            </w:pPr>
            <w:r w:rsidRPr="00CC66A8">
              <w:rPr>
                <w:color w:val="000000"/>
              </w:rPr>
              <w:t>0.20</w:t>
            </w:r>
          </w:p>
        </w:tc>
        <w:tc>
          <w:tcPr>
            <w:tcW w:w="1260" w:type="dxa"/>
            <w:tcBorders>
              <w:top w:val="nil"/>
              <w:left w:val="nil"/>
              <w:bottom w:val="nil"/>
              <w:right w:val="nil"/>
            </w:tcBorders>
            <w:shd w:val="clear" w:color="auto" w:fill="auto"/>
            <w:noWrap/>
            <w:vAlign w:val="bottom"/>
            <w:hideMark/>
          </w:tcPr>
          <w:p w14:paraId="73803879" w14:textId="77777777" w:rsidR="003C5EA3" w:rsidRPr="00CC66A8" w:rsidRDefault="003C5EA3" w:rsidP="00C252BE">
            <w:pPr>
              <w:jc w:val="right"/>
              <w:rPr>
                <w:color w:val="000000"/>
              </w:rPr>
            </w:pPr>
            <w:r w:rsidRPr="00CC66A8">
              <w:rPr>
                <w:color w:val="000000"/>
              </w:rPr>
              <w:t>1</w:t>
            </w:r>
          </w:p>
        </w:tc>
        <w:tc>
          <w:tcPr>
            <w:tcW w:w="1620" w:type="dxa"/>
            <w:tcBorders>
              <w:top w:val="nil"/>
              <w:left w:val="nil"/>
              <w:bottom w:val="nil"/>
              <w:right w:val="nil"/>
            </w:tcBorders>
            <w:shd w:val="clear" w:color="auto" w:fill="auto"/>
            <w:noWrap/>
            <w:vAlign w:val="bottom"/>
            <w:hideMark/>
          </w:tcPr>
          <w:p w14:paraId="190378E3" w14:textId="77777777" w:rsidR="003C5EA3" w:rsidRPr="00CC66A8" w:rsidRDefault="003C5EA3" w:rsidP="00C252BE">
            <w:pPr>
              <w:rPr>
                <w:color w:val="000000"/>
              </w:rPr>
            </w:pPr>
            <w:r w:rsidRPr="00CC66A8">
              <w:rPr>
                <w:color w:val="000000"/>
              </w:rPr>
              <w:t xml:space="preserve"> $   461,300 </w:t>
            </w:r>
          </w:p>
        </w:tc>
        <w:tc>
          <w:tcPr>
            <w:tcW w:w="1710" w:type="dxa"/>
            <w:tcBorders>
              <w:top w:val="nil"/>
              <w:left w:val="nil"/>
              <w:bottom w:val="nil"/>
              <w:right w:val="nil"/>
            </w:tcBorders>
            <w:shd w:val="clear" w:color="auto" w:fill="auto"/>
            <w:noWrap/>
            <w:vAlign w:val="bottom"/>
            <w:hideMark/>
          </w:tcPr>
          <w:p w14:paraId="35416AEA" w14:textId="77777777" w:rsidR="003C5EA3" w:rsidRPr="00CC66A8" w:rsidRDefault="003C5EA3" w:rsidP="00C252BE">
            <w:pPr>
              <w:rPr>
                <w:color w:val="000000"/>
              </w:rPr>
            </w:pPr>
            <w:r w:rsidRPr="00CC66A8">
              <w:rPr>
                <w:color w:val="000000"/>
              </w:rPr>
              <w:t xml:space="preserve"> $      92,260 </w:t>
            </w:r>
          </w:p>
        </w:tc>
      </w:tr>
      <w:tr w:rsidR="003C5EA3" w:rsidRPr="00CC66A8" w14:paraId="5EF26A63" w14:textId="77777777" w:rsidTr="00C252BE">
        <w:trPr>
          <w:trHeight w:val="260"/>
        </w:trPr>
        <w:tc>
          <w:tcPr>
            <w:tcW w:w="337" w:type="dxa"/>
            <w:tcBorders>
              <w:top w:val="nil"/>
              <w:left w:val="nil"/>
              <w:bottom w:val="nil"/>
              <w:right w:val="nil"/>
            </w:tcBorders>
            <w:shd w:val="clear" w:color="auto" w:fill="auto"/>
            <w:noWrap/>
            <w:vAlign w:val="bottom"/>
            <w:hideMark/>
          </w:tcPr>
          <w:p w14:paraId="4AF526BC" w14:textId="77777777" w:rsidR="003C5EA3" w:rsidRPr="00CC66A8" w:rsidRDefault="003C5EA3" w:rsidP="00C252BE">
            <w:pPr>
              <w:rPr>
                <w:color w:val="000000"/>
              </w:rPr>
            </w:pPr>
          </w:p>
        </w:tc>
        <w:tc>
          <w:tcPr>
            <w:tcW w:w="3791" w:type="dxa"/>
            <w:tcBorders>
              <w:top w:val="nil"/>
              <w:left w:val="nil"/>
              <w:bottom w:val="nil"/>
              <w:right w:val="nil"/>
            </w:tcBorders>
            <w:shd w:val="clear" w:color="auto" w:fill="auto"/>
            <w:noWrap/>
            <w:vAlign w:val="bottom"/>
            <w:hideMark/>
          </w:tcPr>
          <w:p w14:paraId="39DBDC4E" w14:textId="77777777" w:rsidR="003C5EA3" w:rsidRPr="00CC66A8" w:rsidRDefault="003C5EA3" w:rsidP="00C252BE">
            <w:pPr>
              <w:rPr>
                <w:color w:val="000000"/>
              </w:rPr>
            </w:pPr>
            <w:r w:rsidRPr="00CC66A8">
              <w:rPr>
                <w:color w:val="000000"/>
              </w:rPr>
              <w:t>Program Manager</w:t>
            </w:r>
          </w:p>
        </w:tc>
        <w:tc>
          <w:tcPr>
            <w:tcW w:w="2792" w:type="dxa"/>
            <w:tcBorders>
              <w:top w:val="nil"/>
              <w:left w:val="nil"/>
              <w:bottom w:val="nil"/>
              <w:right w:val="nil"/>
            </w:tcBorders>
            <w:shd w:val="clear" w:color="auto" w:fill="auto"/>
            <w:noWrap/>
            <w:vAlign w:val="bottom"/>
            <w:hideMark/>
          </w:tcPr>
          <w:p w14:paraId="429F664A" w14:textId="77777777" w:rsidR="003C5EA3" w:rsidRPr="00CC66A8" w:rsidRDefault="003C5EA3" w:rsidP="00C252BE">
            <w:pPr>
              <w:rPr>
                <w:color w:val="000000"/>
              </w:rPr>
            </w:pPr>
            <w:r w:rsidRPr="00CC66A8">
              <w:rPr>
                <w:color w:val="000000"/>
              </w:rPr>
              <w:t>Medical and Health Services Managers</w:t>
            </w:r>
          </w:p>
        </w:tc>
        <w:tc>
          <w:tcPr>
            <w:tcW w:w="1450" w:type="dxa"/>
            <w:tcBorders>
              <w:top w:val="nil"/>
              <w:left w:val="nil"/>
              <w:bottom w:val="nil"/>
              <w:right w:val="nil"/>
            </w:tcBorders>
            <w:shd w:val="clear" w:color="auto" w:fill="auto"/>
            <w:noWrap/>
            <w:vAlign w:val="bottom"/>
            <w:hideMark/>
          </w:tcPr>
          <w:p w14:paraId="7824096F" w14:textId="77777777" w:rsidR="003C5EA3" w:rsidRPr="00CC66A8" w:rsidRDefault="003C5EA3" w:rsidP="00C252BE">
            <w:pPr>
              <w:jc w:val="right"/>
              <w:rPr>
                <w:color w:val="000000"/>
              </w:rPr>
            </w:pPr>
            <w:r w:rsidRPr="00CC66A8">
              <w:rPr>
                <w:color w:val="000000"/>
              </w:rPr>
              <w:t>1.00</w:t>
            </w:r>
          </w:p>
        </w:tc>
        <w:tc>
          <w:tcPr>
            <w:tcW w:w="1260" w:type="dxa"/>
            <w:tcBorders>
              <w:top w:val="nil"/>
              <w:left w:val="nil"/>
              <w:bottom w:val="nil"/>
              <w:right w:val="nil"/>
            </w:tcBorders>
            <w:shd w:val="clear" w:color="auto" w:fill="auto"/>
            <w:noWrap/>
            <w:vAlign w:val="bottom"/>
            <w:hideMark/>
          </w:tcPr>
          <w:p w14:paraId="198ADE63" w14:textId="77777777" w:rsidR="003C5EA3" w:rsidRPr="00CC66A8" w:rsidRDefault="003C5EA3" w:rsidP="00C252BE">
            <w:pPr>
              <w:jc w:val="right"/>
              <w:rPr>
                <w:color w:val="000000"/>
              </w:rPr>
            </w:pPr>
            <w:r w:rsidRPr="00CC66A8">
              <w:rPr>
                <w:color w:val="000000"/>
              </w:rPr>
              <w:t>1</w:t>
            </w:r>
          </w:p>
        </w:tc>
        <w:tc>
          <w:tcPr>
            <w:tcW w:w="1620" w:type="dxa"/>
            <w:tcBorders>
              <w:top w:val="nil"/>
              <w:left w:val="nil"/>
              <w:bottom w:val="nil"/>
              <w:right w:val="nil"/>
            </w:tcBorders>
            <w:shd w:val="clear" w:color="auto" w:fill="auto"/>
            <w:noWrap/>
            <w:vAlign w:val="bottom"/>
            <w:hideMark/>
          </w:tcPr>
          <w:p w14:paraId="7F824790" w14:textId="77777777" w:rsidR="003C5EA3" w:rsidRPr="00CC66A8" w:rsidRDefault="003C5EA3" w:rsidP="00C252BE">
            <w:pPr>
              <w:rPr>
                <w:color w:val="000000"/>
              </w:rPr>
            </w:pPr>
            <w:r w:rsidRPr="00CC66A8">
              <w:rPr>
                <w:color w:val="000000"/>
              </w:rPr>
              <w:t xml:space="preserve"> $       220,610 </w:t>
            </w:r>
          </w:p>
        </w:tc>
        <w:tc>
          <w:tcPr>
            <w:tcW w:w="1710" w:type="dxa"/>
            <w:tcBorders>
              <w:top w:val="nil"/>
              <w:left w:val="nil"/>
              <w:bottom w:val="nil"/>
              <w:right w:val="nil"/>
            </w:tcBorders>
            <w:shd w:val="clear" w:color="auto" w:fill="auto"/>
            <w:noWrap/>
            <w:vAlign w:val="bottom"/>
            <w:hideMark/>
          </w:tcPr>
          <w:p w14:paraId="44006A14" w14:textId="77777777" w:rsidR="003C5EA3" w:rsidRPr="00CC66A8" w:rsidRDefault="003C5EA3" w:rsidP="00C252BE">
            <w:pPr>
              <w:rPr>
                <w:color w:val="000000"/>
              </w:rPr>
            </w:pPr>
            <w:r w:rsidRPr="00CC66A8">
              <w:rPr>
                <w:color w:val="000000"/>
              </w:rPr>
              <w:t xml:space="preserve"> $    220,610 </w:t>
            </w:r>
          </w:p>
        </w:tc>
      </w:tr>
      <w:tr w:rsidR="003C5EA3" w:rsidRPr="00CC66A8" w14:paraId="7CBEF729" w14:textId="77777777" w:rsidTr="00C252BE">
        <w:trPr>
          <w:trHeight w:val="260"/>
        </w:trPr>
        <w:tc>
          <w:tcPr>
            <w:tcW w:w="337" w:type="dxa"/>
            <w:tcBorders>
              <w:top w:val="nil"/>
              <w:left w:val="nil"/>
              <w:bottom w:val="nil"/>
              <w:right w:val="nil"/>
            </w:tcBorders>
            <w:shd w:val="clear" w:color="auto" w:fill="auto"/>
            <w:noWrap/>
            <w:vAlign w:val="bottom"/>
            <w:hideMark/>
          </w:tcPr>
          <w:p w14:paraId="14E8521A" w14:textId="77777777" w:rsidR="003C5EA3" w:rsidRPr="00CC66A8" w:rsidRDefault="003C5EA3" w:rsidP="00C252BE">
            <w:pPr>
              <w:rPr>
                <w:color w:val="000000"/>
              </w:rPr>
            </w:pPr>
          </w:p>
        </w:tc>
        <w:tc>
          <w:tcPr>
            <w:tcW w:w="3791" w:type="dxa"/>
            <w:tcBorders>
              <w:top w:val="nil"/>
              <w:left w:val="nil"/>
              <w:bottom w:val="nil"/>
              <w:right w:val="nil"/>
            </w:tcBorders>
            <w:shd w:val="clear" w:color="auto" w:fill="auto"/>
            <w:noWrap/>
            <w:vAlign w:val="bottom"/>
            <w:hideMark/>
          </w:tcPr>
          <w:p w14:paraId="2FA265C5" w14:textId="77777777" w:rsidR="003C5EA3" w:rsidRPr="00CC66A8" w:rsidRDefault="003C5EA3" w:rsidP="00C252BE">
            <w:pPr>
              <w:rPr>
                <w:color w:val="000000"/>
              </w:rPr>
            </w:pPr>
            <w:r w:rsidRPr="00CC66A8">
              <w:rPr>
                <w:color w:val="000000"/>
              </w:rPr>
              <w:t>Executive Strategy support</w:t>
            </w:r>
          </w:p>
        </w:tc>
        <w:tc>
          <w:tcPr>
            <w:tcW w:w="2792" w:type="dxa"/>
            <w:tcBorders>
              <w:top w:val="nil"/>
              <w:left w:val="nil"/>
              <w:bottom w:val="nil"/>
              <w:right w:val="nil"/>
            </w:tcBorders>
            <w:shd w:val="clear" w:color="auto" w:fill="auto"/>
            <w:noWrap/>
            <w:vAlign w:val="bottom"/>
            <w:hideMark/>
          </w:tcPr>
          <w:p w14:paraId="0427047F" w14:textId="77777777" w:rsidR="003C5EA3" w:rsidRPr="00CC66A8" w:rsidRDefault="003C5EA3" w:rsidP="00C252BE">
            <w:pPr>
              <w:rPr>
                <w:color w:val="000000"/>
              </w:rPr>
            </w:pPr>
            <w:r w:rsidRPr="00CC66A8">
              <w:rPr>
                <w:color w:val="000000"/>
              </w:rPr>
              <w:t>Chief executive</w:t>
            </w:r>
          </w:p>
        </w:tc>
        <w:tc>
          <w:tcPr>
            <w:tcW w:w="1450" w:type="dxa"/>
            <w:tcBorders>
              <w:top w:val="nil"/>
              <w:left w:val="nil"/>
              <w:bottom w:val="nil"/>
              <w:right w:val="nil"/>
            </w:tcBorders>
            <w:shd w:val="clear" w:color="auto" w:fill="auto"/>
            <w:noWrap/>
            <w:vAlign w:val="bottom"/>
            <w:hideMark/>
          </w:tcPr>
          <w:p w14:paraId="67E42C04" w14:textId="77777777" w:rsidR="003C5EA3" w:rsidRPr="00CC66A8" w:rsidRDefault="003C5EA3" w:rsidP="00C252BE">
            <w:pPr>
              <w:jc w:val="right"/>
              <w:rPr>
                <w:color w:val="000000"/>
              </w:rPr>
            </w:pPr>
            <w:r w:rsidRPr="00CC66A8">
              <w:rPr>
                <w:color w:val="000000"/>
              </w:rPr>
              <w:t>0.03</w:t>
            </w:r>
          </w:p>
        </w:tc>
        <w:tc>
          <w:tcPr>
            <w:tcW w:w="1260" w:type="dxa"/>
            <w:tcBorders>
              <w:top w:val="nil"/>
              <w:left w:val="nil"/>
              <w:bottom w:val="nil"/>
              <w:right w:val="nil"/>
            </w:tcBorders>
            <w:shd w:val="clear" w:color="auto" w:fill="auto"/>
            <w:noWrap/>
            <w:vAlign w:val="bottom"/>
            <w:hideMark/>
          </w:tcPr>
          <w:p w14:paraId="377971EA" w14:textId="77777777" w:rsidR="003C5EA3" w:rsidRPr="00CC66A8" w:rsidRDefault="003C5EA3" w:rsidP="00C252BE">
            <w:pPr>
              <w:jc w:val="right"/>
              <w:rPr>
                <w:color w:val="000000"/>
              </w:rPr>
            </w:pPr>
            <w:r w:rsidRPr="00CC66A8">
              <w:rPr>
                <w:color w:val="000000"/>
              </w:rPr>
              <w:t>1</w:t>
            </w:r>
          </w:p>
        </w:tc>
        <w:tc>
          <w:tcPr>
            <w:tcW w:w="1620" w:type="dxa"/>
            <w:tcBorders>
              <w:top w:val="nil"/>
              <w:left w:val="nil"/>
              <w:bottom w:val="nil"/>
              <w:right w:val="nil"/>
            </w:tcBorders>
            <w:shd w:val="clear" w:color="auto" w:fill="auto"/>
            <w:noWrap/>
            <w:vAlign w:val="bottom"/>
            <w:hideMark/>
          </w:tcPr>
          <w:p w14:paraId="4913FD64" w14:textId="77777777" w:rsidR="003C5EA3" w:rsidRPr="00CC66A8" w:rsidRDefault="003C5EA3" w:rsidP="00C252BE">
            <w:pPr>
              <w:rPr>
                <w:color w:val="000000"/>
              </w:rPr>
            </w:pPr>
            <w:r w:rsidRPr="00CC66A8">
              <w:rPr>
                <w:color w:val="000000"/>
              </w:rPr>
              <w:t xml:space="preserve"> $       392,055 </w:t>
            </w:r>
          </w:p>
        </w:tc>
        <w:tc>
          <w:tcPr>
            <w:tcW w:w="1710" w:type="dxa"/>
            <w:tcBorders>
              <w:top w:val="nil"/>
              <w:left w:val="nil"/>
              <w:bottom w:val="nil"/>
              <w:right w:val="nil"/>
            </w:tcBorders>
            <w:shd w:val="clear" w:color="auto" w:fill="auto"/>
            <w:noWrap/>
            <w:vAlign w:val="bottom"/>
            <w:hideMark/>
          </w:tcPr>
          <w:p w14:paraId="1EECC7F0" w14:textId="77777777" w:rsidR="003C5EA3" w:rsidRPr="00CC66A8" w:rsidRDefault="003C5EA3" w:rsidP="00C252BE">
            <w:pPr>
              <w:rPr>
                <w:color w:val="000000"/>
              </w:rPr>
            </w:pPr>
            <w:r w:rsidRPr="00CC66A8">
              <w:rPr>
                <w:color w:val="000000"/>
              </w:rPr>
              <w:t xml:space="preserve"> $      11,762 </w:t>
            </w:r>
          </w:p>
        </w:tc>
      </w:tr>
      <w:tr w:rsidR="003C5EA3" w:rsidRPr="00CC66A8" w14:paraId="6A31D757" w14:textId="77777777" w:rsidTr="00C252BE">
        <w:trPr>
          <w:trHeight w:val="260"/>
        </w:trPr>
        <w:tc>
          <w:tcPr>
            <w:tcW w:w="337" w:type="dxa"/>
            <w:tcBorders>
              <w:top w:val="nil"/>
              <w:left w:val="nil"/>
              <w:bottom w:val="nil"/>
              <w:right w:val="nil"/>
            </w:tcBorders>
            <w:shd w:val="clear" w:color="auto" w:fill="auto"/>
            <w:noWrap/>
            <w:vAlign w:val="bottom"/>
            <w:hideMark/>
          </w:tcPr>
          <w:p w14:paraId="451CC9D8" w14:textId="77777777" w:rsidR="003C5EA3" w:rsidRPr="00CC66A8" w:rsidRDefault="003C5EA3" w:rsidP="00C252BE">
            <w:pPr>
              <w:rPr>
                <w:color w:val="000000"/>
              </w:rPr>
            </w:pPr>
          </w:p>
        </w:tc>
        <w:tc>
          <w:tcPr>
            <w:tcW w:w="3791" w:type="dxa"/>
            <w:tcBorders>
              <w:top w:val="nil"/>
              <w:left w:val="nil"/>
              <w:bottom w:val="nil"/>
              <w:right w:val="nil"/>
            </w:tcBorders>
            <w:shd w:val="clear" w:color="auto" w:fill="auto"/>
            <w:noWrap/>
            <w:vAlign w:val="bottom"/>
            <w:hideMark/>
          </w:tcPr>
          <w:p w14:paraId="7C78374F" w14:textId="77777777" w:rsidR="003C5EA3" w:rsidRPr="00CC66A8" w:rsidRDefault="003C5EA3" w:rsidP="00C252BE">
            <w:pPr>
              <w:rPr>
                <w:b/>
                <w:bCs/>
                <w:i/>
                <w:iCs/>
                <w:color w:val="000000"/>
              </w:rPr>
            </w:pPr>
            <w:r w:rsidRPr="00CC66A8">
              <w:rPr>
                <w:b/>
                <w:bCs/>
                <w:i/>
                <w:iCs/>
                <w:color w:val="000000"/>
              </w:rPr>
              <w:t>Tier 1 Committee</w:t>
            </w:r>
          </w:p>
        </w:tc>
        <w:tc>
          <w:tcPr>
            <w:tcW w:w="2792" w:type="dxa"/>
            <w:tcBorders>
              <w:top w:val="nil"/>
              <w:left w:val="nil"/>
              <w:bottom w:val="nil"/>
              <w:right w:val="nil"/>
            </w:tcBorders>
            <w:shd w:val="clear" w:color="auto" w:fill="auto"/>
            <w:noWrap/>
            <w:vAlign w:val="bottom"/>
            <w:hideMark/>
          </w:tcPr>
          <w:p w14:paraId="2AEEDBB8" w14:textId="77777777" w:rsidR="003C5EA3" w:rsidRPr="00CC66A8" w:rsidRDefault="003C5EA3" w:rsidP="00C252BE">
            <w:pPr>
              <w:rPr>
                <w:b/>
                <w:bCs/>
                <w:i/>
                <w:iCs/>
                <w:color w:val="000000"/>
              </w:rPr>
            </w:pPr>
          </w:p>
        </w:tc>
        <w:tc>
          <w:tcPr>
            <w:tcW w:w="1450" w:type="dxa"/>
            <w:tcBorders>
              <w:top w:val="nil"/>
              <w:left w:val="nil"/>
              <w:bottom w:val="nil"/>
              <w:right w:val="nil"/>
            </w:tcBorders>
            <w:shd w:val="clear" w:color="auto" w:fill="auto"/>
            <w:noWrap/>
            <w:vAlign w:val="bottom"/>
            <w:hideMark/>
          </w:tcPr>
          <w:p w14:paraId="286FEBCD" w14:textId="77777777" w:rsidR="003C5EA3" w:rsidRPr="00CC66A8" w:rsidRDefault="003C5EA3" w:rsidP="00C252BE"/>
        </w:tc>
        <w:tc>
          <w:tcPr>
            <w:tcW w:w="1260" w:type="dxa"/>
            <w:tcBorders>
              <w:top w:val="nil"/>
              <w:left w:val="nil"/>
              <w:bottom w:val="nil"/>
              <w:right w:val="nil"/>
            </w:tcBorders>
            <w:shd w:val="clear" w:color="auto" w:fill="auto"/>
            <w:noWrap/>
            <w:vAlign w:val="bottom"/>
            <w:hideMark/>
          </w:tcPr>
          <w:p w14:paraId="68B5D5A9" w14:textId="77777777" w:rsidR="003C5EA3" w:rsidRPr="00CC66A8" w:rsidRDefault="003C5EA3" w:rsidP="00C252BE"/>
        </w:tc>
        <w:tc>
          <w:tcPr>
            <w:tcW w:w="1620" w:type="dxa"/>
            <w:tcBorders>
              <w:top w:val="nil"/>
              <w:left w:val="nil"/>
              <w:bottom w:val="nil"/>
              <w:right w:val="nil"/>
            </w:tcBorders>
            <w:shd w:val="clear" w:color="auto" w:fill="auto"/>
            <w:noWrap/>
            <w:vAlign w:val="bottom"/>
            <w:hideMark/>
          </w:tcPr>
          <w:p w14:paraId="22D2AB75" w14:textId="77777777" w:rsidR="003C5EA3" w:rsidRPr="00CC66A8" w:rsidRDefault="003C5EA3" w:rsidP="00C252BE"/>
        </w:tc>
        <w:tc>
          <w:tcPr>
            <w:tcW w:w="1710" w:type="dxa"/>
            <w:tcBorders>
              <w:top w:val="nil"/>
              <w:left w:val="nil"/>
              <w:bottom w:val="nil"/>
              <w:right w:val="nil"/>
            </w:tcBorders>
            <w:shd w:val="clear" w:color="auto" w:fill="auto"/>
            <w:noWrap/>
            <w:vAlign w:val="bottom"/>
            <w:hideMark/>
          </w:tcPr>
          <w:p w14:paraId="07087309" w14:textId="77777777" w:rsidR="003C5EA3" w:rsidRPr="00CC66A8" w:rsidRDefault="003C5EA3" w:rsidP="00C252BE"/>
        </w:tc>
      </w:tr>
      <w:tr w:rsidR="003C5EA3" w:rsidRPr="00CC66A8" w14:paraId="15287E0C" w14:textId="77777777" w:rsidTr="00C252BE">
        <w:trPr>
          <w:trHeight w:val="260"/>
        </w:trPr>
        <w:tc>
          <w:tcPr>
            <w:tcW w:w="337" w:type="dxa"/>
            <w:tcBorders>
              <w:top w:val="nil"/>
              <w:left w:val="nil"/>
              <w:bottom w:val="nil"/>
              <w:right w:val="nil"/>
            </w:tcBorders>
            <w:shd w:val="clear" w:color="auto" w:fill="auto"/>
            <w:noWrap/>
            <w:vAlign w:val="bottom"/>
            <w:hideMark/>
          </w:tcPr>
          <w:p w14:paraId="151F11DB" w14:textId="77777777" w:rsidR="003C5EA3" w:rsidRPr="00CC66A8" w:rsidRDefault="003C5EA3" w:rsidP="00C252BE"/>
        </w:tc>
        <w:tc>
          <w:tcPr>
            <w:tcW w:w="3791" w:type="dxa"/>
            <w:tcBorders>
              <w:top w:val="nil"/>
              <w:left w:val="nil"/>
              <w:bottom w:val="nil"/>
              <w:right w:val="nil"/>
            </w:tcBorders>
            <w:shd w:val="clear" w:color="auto" w:fill="auto"/>
            <w:noWrap/>
            <w:vAlign w:val="bottom"/>
            <w:hideMark/>
          </w:tcPr>
          <w:p w14:paraId="63FCAB97" w14:textId="77777777" w:rsidR="003C5EA3" w:rsidRPr="00CC66A8" w:rsidRDefault="003C5EA3" w:rsidP="00C252BE">
            <w:pPr>
              <w:rPr>
                <w:color w:val="000000"/>
              </w:rPr>
            </w:pPr>
            <w:r w:rsidRPr="00CC66A8">
              <w:rPr>
                <w:color w:val="000000"/>
              </w:rPr>
              <w:t>Quality</w:t>
            </w:r>
          </w:p>
        </w:tc>
        <w:tc>
          <w:tcPr>
            <w:tcW w:w="2792" w:type="dxa"/>
            <w:tcBorders>
              <w:top w:val="nil"/>
              <w:left w:val="nil"/>
              <w:bottom w:val="nil"/>
              <w:right w:val="nil"/>
            </w:tcBorders>
            <w:shd w:val="clear" w:color="auto" w:fill="auto"/>
            <w:noWrap/>
            <w:vAlign w:val="bottom"/>
            <w:hideMark/>
          </w:tcPr>
          <w:p w14:paraId="6F4FA010" w14:textId="77777777" w:rsidR="003C5EA3" w:rsidRPr="00CC66A8" w:rsidRDefault="003C5EA3" w:rsidP="00C252BE">
            <w:pPr>
              <w:rPr>
                <w:color w:val="000000"/>
              </w:rPr>
            </w:pPr>
            <w:r w:rsidRPr="00CC66A8">
              <w:rPr>
                <w:color w:val="000000"/>
              </w:rPr>
              <w:t>Medical and Health Services Managers</w:t>
            </w:r>
          </w:p>
        </w:tc>
        <w:tc>
          <w:tcPr>
            <w:tcW w:w="1450" w:type="dxa"/>
            <w:tcBorders>
              <w:top w:val="nil"/>
              <w:left w:val="nil"/>
              <w:bottom w:val="nil"/>
              <w:right w:val="nil"/>
            </w:tcBorders>
            <w:shd w:val="clear" w:color="auto" w:fill="auto"/>
            <w:noWrap/>
            <w:vAlign w:val="bottom"/>
            <w:hideMark/>
          </w:tcPr>
          <w:p w14:paraId="5CBC6857" w14:textId="77777777" w:rsidR="003C5EA3" w:rsidRPr="00CC66A8" w:rsidRDefault="003C5EA3" w:rsidP="00C252BE">
            <w:pPr>
              <w:jc w:val="right"/>
              <w:rPr>
                <w:color w:val="000000"/>
              </w:rPr>
            </w:pPr>
            <w:r w:rsidRPr="00CC66A8">
              <w:rPr>
                <w:color w:val="000000"/>
              </w:rPr>
              <w:t>0.10</w:t>
            </w:r>
          </w:p>
        </w:tc>
        <w:tc>
          <w:tcPr>
            <w:tcW w:w="1260" w:type="dxa"/>
            <w:tcBorders>
              <w:top w:val="nil"/>
              <w:left w:val="nil"/>
              <w:bottom w:val="nil"/>
              <w:right w:val="nil"/>
            </w:tcBorders>
            <w:shd w:val="clear" w:color="auto" w:fill="auto"/>
            <w:noWrap/>
            <w:vAlign w:val="bottom"/>
            <w:hideMark/>
          </w:tcPr>
          <w:p w14:paraId="42FBCC6A" w14:textId="77777777" w:rsidR="003C5EA3" w:rsidRPr="00CC66A8" w:rsidRDefault="003C5EA3" w:rsidP="00C252BE">
            <w:pPr>
              <w:jc w:val="right"/>
              <w:rPr>
                <w:color w:val="000000"/>
              </w:rPr>
            </w:pPr>
            <w:r w:rsidRPr="00CC66A8">
              <w:rPr>
                <w:color w:val="000000"/>
              </w:rPr>
              <w:t>1</w:t>
            </w:r>
          </w:p>
        </w:tc>
        <w:tc>
          <w:tcPr>
            <w:tcW w:w="1620" w:type="dxa"/>
            <w:tcBorders>
              <w:top w:val="nil"/>
              <w:left w:val="nil"/>
              <w:bottom w:val="nil"/>
              <w:right w:val="nil"/>
            </w:tcBorders>
            <w:shd w:val="clear" w:color="auto" w:fill="auto"/>
            <w:noWrap/>
            <w:vAlign w:val="bottom"/>
            <w:hideMark/>
          </w:tcPr>
          <w:p w14:paraId="50DDCD2F" w14:textId="77777777" w:rsidR="003C5EA3" w:rsidRPr="00CC66A8" w:rsidRDefault="003C5EA3" w:rsidP="00C252BE">
            <w:pPr>
              <w:rPr>
                <w:color w:val="000000"/>
              </w:rPr>
            </w:pPr>
            <w:r w:rsidRPr="00CC66A8">
              <w:rPr>
                <w:color w:val="000000"/>
              </w:rPr>
              <w:t xml:space="preserve"> $       220,610 </w:t>
            </w:r>
          </w:p>
        </w:tc>
        <w:tc>
          <w:tcPr>
            <w:tcW w:w="1710" w:type="dxa"/>
            <w:tcBorders>
              <w:top w:val="nil"/>
              <w:left w:val="nil"/>
              <w:bottom w:val="nil"/>
              <w:right w:val="nil"/>
            </w:tcBorders>
            <w:shd w:val="clear" w:color="auto" w:fill="auto"/>
            <w:noWrap/>
            <w:vAlign w:val="bottom"/>
            <w:hideMark/>
          </w:tcPr>
          <w:p w14:paraId="68155345" w14:textId="77777777" w:rsidR="003C5EA3" w:rsidRPr="00CC66A8" w:rsidRDefault="003C5EA3" w:rsidP="00C252BE">
            <w:pPr>
              <w:rPr>
                <w:color w:val="000000"/>
              </w:rPr>
            </w:pPr>
            <w:r w:rsidRPr="00CC66A8">
              <w:rPr>
                <w:color w:val="000000"/>
              </w:rPr>
              <w:t xml:space="preserve"> $      22,061 </w:t>
            </w:r>
          </w:p>
        </w:tc>
      </w:tr>
      <w:tr w:rsidR="003C5EA3" w:rsidRPr="00CC66A8" w14:paraId="60ABF09C" w14:textId="77777777" w:rsidTr="00C252BE">
        <w:trPr>
          <w:trHeight w:val="260"/>
        </w:trPr>
        <w:tc>
          <w:tcPr>
            <w:tcW w:w="337" w:type="dxa"/>
            <w:tcBorders>
              <w:top w:val="nil"/>
              <w:left w:val="nil"/>
              <w:bottom w:val="nil"/>
              <w:right w:val="nil"/>
            </w:tcBorders>
            <w:shd w:val="clear" w:color="auto" w:fill="auto"/>
            <w:noWrap/>
            <w:vAlign w:val="bottom"/>
            <w:hideMark/>
          </w:tcPr>
          <w:p w14:paraId="4D784F20" w14:textId="77777777" w:rsidR="003C5EA3" w:rsidRPr="00CC66A8" w:rsidRDefault="003C5EA3" w:rsidP="00C252BE">
            <w:pPr>
              <w:rPr>
                <w:color w:val="000000"/>
              </w:rPr>
            </w:pPr>
          </w:p>
        </w:tc>
        <w:tc>
          <w:tcPr>
            <w:tcW w:w="3791" w:type="dxa"/>
            <w:tcBorders>
              <w:top w:val="nil"/>
              <w:left w:val="nil"/>
              <w:bottom w:val="nil"/>
              <w:right w:val="nil"/>
            </w:tcBorders>
            <w:shd w:val="clear" w:color="auto" w:fill="auto"/>
            <w:noWrap/>
            <w:vAlign w:val="bottom"/>
            <w:hideMark/>
          </w:tcPr>
          <w:p w14:paraId="1B806461" w14:textId="77777777" w:rsidR="003C5EA3" w:rsidRPr="00CC66A8" w:rsidRDefault="003C5EA3" w:rsidP="00C252BE">
            <w:pPr>
              <w:rPr>
                <w:color w:val="000000"/>
              </w:rPr>
            </w:pPr>
            <w:r w:rsidRPr="00CC66A8">
              <w:rPr>
                <w:color w:val="000000"/>
              </w:rPr>
              <w:t>Finance</w:t>
            </w:r>
          </w:p>
        </w:tc>
        <w:tc>
          <w:tcPr>
            <w:tcW w:w="2792" w:type="dxa"/>
            <w:tcBorders>
              <w:top w:val="nil"/>
              <w:left w:val="nil"/>
              <w:bottom w:val="nil"/>
              <w:right w:val="nil"/>
            </w:tcBorders>
            <w:shd w:val="clear" w:color="auto" w:fill="auto"/>
            <w:noWrap/>
            <w:vAlign w:val="bottom"/>
            <w:hideMark/>
          </w:tcPr>
          <w:p w14:paraId="2797AA57" w14:textId="77777777" w:rsidR="003C5EA3" w:rsidRPr="00CC66A8" w:rsidRDefault="003C5EA3" w:rsidP="00C252BE">
            <w:pPr>
              <w:rPr>
                <w:color w:val="000000"/>
              </w:rPr>
            </w:pPr>
            <w:r w:rsidRPr="00CC66A8">
              <w:rPr>
                <w:color w:val="000000"/>
              </w:rPr>
              <w:t>Medical and Health Services Managers</w:t>
            </w:r>
          </w:p>
        </w:tc>
        <w:tc>
          <w:tcPr>
            <w:tcW w:w="1450" w:type="dxa"/>
            <w:tcBorders>
              <w:top w:val="nil"/>
              <w:left w:val="nil"/>
              <w:bottom w:val="nil"/>
              <w:right w:val="nil"/>
            </w:tcBorders>
            <w:shd w:val="clear" w:color="auto" w:fill="auto"/>
            <w:noWrap/>
            <w:vAlign w:val="bottom"/>
            <w:hideMark/>
          </w:tcPr>
          <w:p w14:paraId="006EA1ED" w14:textId="77777777" w:rsidR="003C5EA3" w:rsidRPr="00CC66A8" w:rsidRDefault="003C5EA3" w:rsidP="00C252BE">
            <w:pPr>
              <w:jc w:val="right"/>
              <w:rPr>
                <w:color w:val="000000"/>
              </w:rPr>
            </w:pPr>
            <w:r w:rsidRPr="00CC66A8">
              <w:rPr>
                <w:color w:val="000000"/>
              </w:rPr>
              <w:t>0.10</w:t>
            </w:r>
          </w:p>
        </w:tc>
        <w:tc>
          <w:tcPr>
            <w:tcW w:w="1260" w:type="dxa"/>
            <w:tcBorders>
              <w:top w:val="nil"/>
              <w:left w:val="nil"/>
              <w:bottom w:val="nil"/>
              <w:right w:val="nil"/>
            </w:tcBorders>
            <w:shd w:val="clear" w:color="auto" w:fill="auto"/>
            <w:noWrap/>
            <w:vAlign w:val="bottom"/>
            <w:hideMark/>
          </w:tcPr>
          <w:p w14:paraId="2F46BE2A" w14:textId="77777777" w:rsidR="003C5EA3" w:rsidRPr="00CC66A8" w:rsidRDefault="003C5EA3" w:rsidP="00C252BE">
            <w:pPr>
              <w:jc w:val="right"/>
              <w:rPr>
                <w:color w:val="000000"/>
              </w:rPr>
            </w:pPr>
            <w:r w:rsidRPr="00CC66A8">
              <w:rPr>
                <w:color w:val="000000"/>
              </w:rPr>
              <w:t>1</w:t>
            </w:r>
          </w:p>
        </w:tc>
        <w:tc>
          <w:tcPr>
            <w:tcW w:w="1620" w:type="dxa"/>
            <w:tcBorders>
              <w:top w:val="nil"/>
              <w:left w:val="nil"/>
              <w:bottom w:val="nil"/>
              <w:right w:val="nil"/>
            </w:tcBorders>
            <w:shd w:val="clear" w:color="auto" w:fill="auto"/>
            <w:noWrap/>
            <w:vAlign w:val="bottom"/>
            <w:hideMark/>
          </w:tcPr>
          <w:p w14:paraId="47FA2C85" w14:textId="77777777" w:rsidR="003C5EA3" w:rsidRPr="00CC66A8" w:rsidRDefault="003C5EA3" w:rsidP="00C252BE">
            <w:pPr>
              <w:rPr>
                <w:color w:val="000000"/>
              </w:rPr>
            </w:pPr>
            <w:r w:rsidRPr="00CC66A8">
              <w:rPr>
                <w:color w:val="000000"/>
              </w:rPr>
              <w:t xml:space="preserve"> $       220,610 </w:t>
            </w:r>
          </w:p>
        </w:tc>
        <w:tc>
          <w:tcPr>
            <w:tcW w:w="1710" w:type="dxa"/>
            <w:tcBorders>
              <w:top w:val="nil"/>
              <w:left w:val="nil"/>
              <w:bottom w:val="nil"/>
              <w:right w:val="nil"/>
            </w:tcBorders>
            <w:shd w:val="clear" w:color="auto" w:fill="auto"/>
            <w:noWrap/>
            <w:vAlign w:val="bottom"/>
            <w:hideMark/>
          </w:tcPr>
          <w:p w14:paraId="638AD8CC" w14:textId="77777777" w:rsidR="003C5EA3" w:rsidRPr="00CC66A8" w:rsidRDefault="003C5EA3" w:rsidP="00C252BE">
            <w:pPr>
              <w:rPr>
                <w:color w:val="000000"/>
              </w:rPr>
            </w:pPr>
            <w:r w:rsidRPr="00CC66A8">
              <w:rPr>
                <w:color w:val="000000"/>
              </w:rPr>
              <w:t xml:space="preserve"> $      22,061 </w:t>
            </w:r>
          </w:p>
        </w:tc>
      </w:tr>
      <w:tr w:rsidR="003C5EA3" w:rsidRPr="00CC66A8" w14:paraId="0448DC16" w14:textId="77777777" w:rsidTr="00C252BE">
        <w:trPr>
          <w:trHeight w:val="260"/>
        </w:trPr>
        <w:tc>
          <w:tcPr>
            <w:tcW w:w="337" w:type="dxa"/>
            <w:tcBorders>
              <w:top w:val="nil"/>
              <w:left w:val="nil"/>
              <w:bottom w:val="nil"/>
              <w:right w:val="nil"/>
            </w:tcBorders>
            <w:shd w:val="clear" w:color="auto" w:fill="auto"/>
            <w:noWrap/>
            <w:vAlign w:val="bottom"/>
            <w:hideMark/>
          </w:tcPr>
          <w:p w14:paraId="3F3A7D18" w14:textId="77777777" w:rsidR="003C5EA3" w:rsidRPr="00CC66A8" w:rsidRDefault="003C5EA3" w:rsidP="00C252BE">
            <w:pPr>
              <w:rPr>
                <w:color w:val="000000"/>
              </w:rPr>
            </w:pPr>
          </w:p>
        </w:tc>
        <w:tc>
          <w:tcPr>
            <w:tcW w:w="3791" w:type="dxa"/>
            <w:tcBorders>
              <w:top w:val="nil"/>
              <w:left w:val="nil"/>
              <w:bottom w:val="nil"/>
              <w:right w:val="nil"/>
            </w:tcBorders>
            <w:shd w:val="clear" w:color="auto" w:fill="auto"/>
            <w:noWrap/>
            <w:vAlign w:val="bottom"/>
            <w:hideMark/>
          </w:tcPr>
          <w:p w14:paraId="41DDD530" w14:textId="77777777" w:rsidR="003C5EA3" w:rsidRPr="00CC66A8" w:rsidRDefault="003C5EA3" w:rsidP="00C252BE">
            <w:pPr>
              <w:rPr>
                <w:color w:val="000000"/>
              </w:rPr>
            </w:pPr>
            <w:r w:rsidRPr="00CC66A8">
              <w:rPr>
                <w:color w:val="000000"/>
              </w:rPr>
              <w:t>Business analytics</w:t>
            </w:r>
          </w:p>
        </w:tc>
        <w:tc>
          <w:tcPr>
            <w:tcW w:w="2792" w:type="dxa"/>
            <w:tcBorders>
              <w:top w:val="nil"/>
              <w:left w:val="nil"/>
              <w:bottom w:val="nil"/>
              <w:right w:val="nil"/>
            </w:tcBorders>
            <w:shd w:val="clear" w:color="auto" w:fill="auto"/>
            <w:noWrap/>
            <w:vAlign w:val="bottom"/>
            <w:hideMark/>
          </w:tcPr>
          <w:p w14:paraId="7648799C" w14:textId="77777777" w:rsidR="003C5EA3" w:rsidRPr="00CC66A8" w:rsidRDefault="003C5EA3" w:rsidP="00C252BE">
            <w:pPr>
              <w:rPr>
                <w:color w:val="000000"/>
              </w:rPr>
            </w:pPr>
            <w:r w:rsidRPr="00CC66A8">
              <w:rPr>
                <w:color w:val="000000"/>
              </w:rPr>
              <w:t>Medical and Health Services Managers</w:t>
            </w:r>
          </w:p>
        </w:tc>
        <w:tc>
          <w:tcPr>
            <w:tcW w:w="1450" w:type="dxa"/>
            <w:tcBorders>
              <w:top w:val="nil"/>
              <w:left w:val="nil"/>
              <w:bottom w:val="nil"/>
              <w:right w:val="nil"/>
            </w:tcBorders>
            <w:shd w:val="clear" w:color="auto" w:fill="auto"/>
            <w:noWrap/>
            <w:vAlign w:val="bottom"/>
            <w:hideMark/>
          </w:tcPr>
          <w:p w14:paraId="556E5A72" w14:textId="77777777" w:rsidR="003C5EA3" w:rsidRPr="00CC66A8" w:rsidRDefault="003C5EA3" w:rsidP="00C252BE">
            <w:pPr>
              <w:jc w:val="right"/>
              <w:rPr>
                <w:color w:val="000000"/>
              </w:rPr>
            </w:pPr>
            <w:r w:rsidRPr="00CC66A8">
              <w:rPr>
                <w:color w:val="000000"/>
              </w:rPr>
              <w:t>0.10</w:t>
            </w:r>
          </w:p>
        </w:tc>
        <w:tc>
          <w:tcPr>
            <w:tcW w:w="1260" w:type="dxa"/>
            <w:tcBorders>
              <w:top w:val="nil"/>
              <w:left w:val="nil"/>
              <w:bottom w:val="nil"/>
              <w:right w:val="nil"/>
            </w:tcBorders>
            <w:shd w:val="clear" w:color="auto" w:fill="auto"/>
            <w:noWrap/>
            <w:vAlign w:val="bottom"/>
            <w:hideMark/>
          </w:tcPr>
          <w:p w14:paraId="05909C29" w14:textId="77777777" w:rsidR="003C5EA3" w:rsidRPr="00CC66A8" w:rsidRDefault="003C5EA3" w:rsidP="00C252BE">
            <w:pPr>
              <w:jc w:val="right"/>
              <w:rPr>
                <w:color w:val="000000"/>
              </w:rPr>
            </w:pPr>
            <w:r w:rsidRPr="00CC66A8">
              <w:rPr>
                <w:color w:val="000000"/>
              </w:rPr>
              <w:t>1</w:t>
            </w:r>
          </w:p>
        </w:tc>
        <w:tc>
          <w:tcPr>
            <w:tcW w:w="1620" w:type="dxa"/>
            <w:tcBorders>
              <w:top w:val="nil"/>
              <w:left w:val="nil"/>
              <w:bottom w:val="nil"/>
              <w:right w:val="nil"/>
            </w:tcBorders>
            <w:shd w:val="clear" w:color="auto" w:fill="auto"/>
            <w:noWrap/>
            <w:vAlign w:val="bottom"/>
            <w:hideMark/>
          </w:tcPr>
          <w:p w14:paraId="17C39515" w14:textId="77777777" w:rsidR="003C5EA3" w:rsidRPr="00CC66A8" w:rsidRDefault="003C5EA3" w:rsidP="00C252BE">
            <w:pPr>
              <w:rPr>
                <w:color w:val="000000"/>
              </w:rPr>
            </w:pPr>
            <w:r w:rsidRPr="00CC66A8">
              <w:rPr>
                <w:color w:val="000000"/>
              </w:rPr>
              <w:t xml:space="preserve"> $       220,610 </w:t>
            </w:r>
          </w:p>
        </w:tc>
        <w:tc>
          <w:tcPr>
            <w:tcW w:w="1710" w:type="dxa"/>
            <w:tcBorders>
              <w:top w:val="nil"/>
              <w:left w:val="nil"/>
              <w:bottom w:val="nil"/>
              <w:right w:val="nil"/>
            </w:tcBorders>
            <w:shd w:val="clear" w:color="auto" w:fill="auto"/>
            <w:noWrap/>
            <w:vAlign w:val="bottom"/>
            <w:hideMark/>
          </w:tcPr>
          <w:p w14:paraId="453B0558" w14:textId="77777777" w:rsidR="003C5EA3" w:rsidRPr="00CC66A8" w:rsidRDefault="003C5EA3" w:rsidP="00C252BE">
            <w:pPr>
              <w:rPr>
                <w:color w:val="000000"/>
              </w:rPr>
            </w:pPr>
            <w:r w:rsidRPr="00CC66A8">
              <w:rPr>
                <w:color w:val="000000"/>
              </w:rPr>
              <w:t xml:space="preserve"> $      22,061 </w:t>
            </w:r>
          </w:p>
        </w:tc>
      </w:tr>
      <w:tr w:rsidR="003C5EA3" w:rsidRPr="00CC66A8" w14:paraId="6A69D0FB" w14:textId="77777777" w:rsidTr="00C252BE">
        <w:trPr>
          <w:trHeight w:val="260"/>
        </w:trPr>
        <w:tc>
          <w:tcPr>
            <w:tcW w:w="337" w:type="dxa"/>
            <w:tcBorders>
              <w:top w:val="nil"/>
              <w:left w:val="nil"/>
              <w:bottom w:val="nil"/>
              <w:right w:val="nil"/>
            </w:tcBorders>
            <w:shd w:val="clear" w:color="auto" w:fill="auto"/>
            <w:noWrap/>
            <w:vAlign w:val="bottom"/>
            <w:hideMark/>
          </w:tcPr>
          <w:p w14:paraId="7A2FE6AB" w14:textId="77777777" w:rsidR="003C5EA3" w:rsidRPr="00CC66A8" w:rsidRDefault="003C5EA3" w:rsidP="00C252BE">
            <w:pPr>
              <w:rPr>
                <w:color w:val="000000"/>
              </w:rPr>
            </w:pPr>
          </w:p>
        </w:tc>
        <w:tc>
          <w:tcPr>
            <w:tcW w:w="3791" w:type="dxa"/>
            <w:tcBorders>
              <w:top w:val="nil"/>
              <w:left w:val="nil"/>
              <w:bottom w:val="nil"/>
              <w:right w:val="nil"/>
            </w:tcBorders>
            <w:shd w:val="clear" w:color="auto" w:fill="auto"/>
            <w:noWrap/>
            <w:vAlign w:val="bottom"/>
            <w:hideMark/>
          </w:tcPr>
          <w:p w14:paraId="1AB1348C" w14:textId="77777777" w:rsidR="003C5EA3" w:rsidRPr="00CC66A8" w:rsidRDefault="003C5EA3" w:rsidP="00C252BE">
            <w:pPr>
              <w:rPr>
                <w:color w:val="000000"/>
              </w:rPr>
            </w:pPr>
            <w:r w:rsidRPr="00CC66A8">
              <w:rPr>
                <w:color w:val="000000"/>
              </w:rPr>
              <w:t>Supply chain</w:t>
            </w:r>
          </w:p>
        </w:tc>
        <w:tc>
          <w:tcPr>
            <w:tcW w:w="2792" w:type="dxa"/>
            <w:tcBorders>
              <w:top w:val="nil"/>
              <w:left w:val="nil"/>
              <w:bottom w:val="nil"/>
              <w:right w:val="nil"/>
            </w:tcBorders>
            <w:shd w:val="clear" w:color="auto" w:fill="auto"/>
            <w:noWrap/>
            <w:vAlign w:val="bottom"/>
            <w:hideMark/>
          </w:tcPr>
          <w:p w14:paraId="1B398D3E" w14:textId="77777777" w:rsidR="003C5EA3" w:rsidRPr="00CC66A8" w:rsidRDefault="003C5EA3" w:rsidP="00C252BE">
            <w:pPr>
              <w:rPr>
                <w:color w:val="000000"/>
              </w:rPr>
            </w:pPr>
            <w:r w:rsidRPr="00CC66A8">
              <w:rPr>
                <w:color w:val="000000"/>
              </w:rPr>
              <w:t>Medical and Health Services Managers</w:t>
            </w:r>
          </w:p>
        </w:tc>
        <w:tc>
          <w:tcPr>
            <w:tcW w:w="1450" w:type="dxa"/>
            <w:tcBorders>
              <w:top w:val="nil"/>
              <w:left w:val="nil"/>
              <w:bottom w:val="nil"/>
              <w:right w:val="nil"/>
            </w:tcBorders>
            <w:shd w:val="clear" w:color="auto" w:fill="auto"/>
            <w:noWrap/>
            <w:vAlign w:val="bottom"/>
            <w:hideMark/>
          </w:tcPr>
          <w:p w14:paraId="09EC47B6" w14:textId="77777777" w:rsidR="003C5EA3" w:rsidRPr="00CC66A8" w:rsidRDefault="003C5EA3" w:rsidP="00C252BE">
            <w:pPr>
              <w:jc w:val="right"/>
              <w:rPr>
                <w:color w:val="000000"/>
              </w:rPr>
            </w:pPr>
            <w:r w:rsidRPr="00CC66A8">
              <w:rPr>
                <w:color w:val="000000"/>
              </w:rPr>
              <w:t>0.10</w:t>
            </w:r>
          </w:p>
        </w:tc>
        <w:tc>
          <w:tcPr>
            <w:tcW w:w="1260" w:type="dxa"/>
            <w:tcBorders>
              <w:top w:val="nil"/>
              <w:left w:val="nil"/>
              <w:bottom w:val="nil"/>
              <w:right w:val="nil"/>
            </w:tcBorders>
            <w:shd w:val="clear" w:color="auto" w:fill="auto"/>
            <w:noWrap/>
            <w:vAlign w:val="bottom"/>
            <w:hideMark/>
          </w:tcPr>
          <w:p w14:paraId="4887CFD5" w14:textId="77777777" w:rsidR="003C5EA3" w:rsidRPr="00CC66A8" w:rsidRDefault="003C5EA3" w:rsidP="00C252BE">
            <w:pPr>
              <w:jc w:val="right"/>
              <w:rPr>
                <w:color w:val="000000"/>
              </w:rPr>
            </w:pPr>
            <w:r w:rsidRPr="00CC66A8">
              <w:rPr>
                <w:color w:val="000000"/>
              </w:rPr>
              <w:t>1</w:t>
            </w:r>
          </w:p>
        </w:tc>
        <w:tc>
          <w:tcPr>
            <w:tcW w:w="1620" w:type="dxa"/>
            <w:tcBorders>
              <w:top w:val="nil"/>
              <w:left w:val="nil"/>
              <w:bottom w:val="nil"/>
              <w:right w:val="nil"/>
            </w:tcBorders>
            <w:shd w:val="clear" w:color="auto" w:fill="auto"/>
            <w:noWrap/>
            <w:vAlign w:val="bottom"/>
            <w:hideMark/>
          </w:tcPr>
          <w:p w14:paraId="1D3CF97F" w14:textId="77777777" w:rsidR="003C5EA3" w:rsidRPr="00CC66A8" w:rsidRDefault="003C5EA3" w:rsidP="00C252BE">
            <w:pPr>
              <w:rPr>
                <w:color w:val="000000"/>
              </w:rPr>
            </w:pPr>
            <w:r w:rsidRPr="00CC66A8">
              <w:rPr>
                <w:color w:val="000000"/>
              </w:rPr>
              <w:t xml:space="preserve"> $       220,610 </w:t>
            </w:r>
          </w:p>
        </w:tc>
        <w:tc>
          <w:tcPr>
            <w:tcW w:w="1710" w:type="dxa"/>
            <w:tcBorders>
              <w:top w:val="nil"/>
              <w:left w:val="nil"/>
              <w:bottom w:val="nil"/>
              <w:right w:val="nil"/>
            </w:tcBorders>
            <w:shd w:val="clear" w:color="auto" w:fill="auto"/>
            <w:noWrap/>
            <w:vAlign w:val="bottom"/>
            <w:hideMark/>
          </w:tcPr>
          <w:p w14:paraId="473C2BD1" w14:textId="77777777" w:rsidR="003C5EA3" w:rsidRPr="00CC66A8" w:rsidRDefault="003C5EA3" w:rsidP="00C252BE">
            <w:pPr>
              <w:rPr>
                <w:color w:val="000000"/>
              </w:rPr>
            </w:pPr>
            <w:r w:rsidRPr="00CC66A8">
              <w:rPr>
                <w:color w:val="000000"/>
              </w:rPr>
              <w:t xml:space="preserve"> $      22,061 </w:t>
            </w:r>
          </w:p>
        </w:tc>
      </w:tr>
      <w:tr w:rsidR="003C5EA3" w:rsidRPr="00CC66A8" w14:paraId="4483CB64" w14:textId="77777777" w:rsidTr="00C252BE">
        <w:trPr>
          <w:trHeight w:val="260"/>
        </w:trPr>
        <w:tc>
          <w:tcPr>
            <w:tcW w:w="337" w:type="dxa"/>
            <w:tcBorders>
              <w:top w:val="nil"/>
              <w:left w:val="nil"/>
              <w:bottom w:val="nil"/>
              <w:right w:val="nil"/>
            </w:tcBorders>
            <w:shd w:val="clear" w:color="auto" w:fill="auto"/>
            <w:noWrap/>
            <w:vAlign w:val="bottom"/>
            <w:hideMark/>
          </w:tcPr>
          <w:p w14:paraId="78832823" w14:textId="77777777" w:rsidR="003C5EA3" w:rsidRPr="00CC66A8" w:rsidRDefault="003C5EA3" w:rsidP="00C252BE">
            <w:pPr>
              <w:rPr>
                <w:color w:val="000000"/>
              </w:rPr>
            </w:pPr>
          </w:p>
        </w:tc>
        <w:tc>
          <w:tcPr>
            <w:tcW w:w="3791" w:type="dxa"/>
            <w:tcBorders>
              <w:top w:val="nil"/>
              <w:left w:val="nil"/>
              <w:bottom w:val="nil"/>
              <w:right w:val="nil"/>
            </w:tcBorders>
            <w:shd w:val="clear" w:color="auto" w:fill="auto"/>
            <w:noWrap/>
            <w:vAlign w:val="bottom"/>
            <w:hideMark/>
          </w:tcPr>
          <w:p w14:paraId="5AA7C9B0" w14:textId="77777777" w:rsidR="003C5EA3" w:rsidRPr="00CC66A8" w:rsidRDefault="003C5EA3" w:rsidP="00C252BE">
            <w:pPr>
              <w:rPr>
                <w:b/>
                <w:bCs/>
                <w:i/>
                <w:iCs/>
                <w:color w:val="000000"/>
              </w:rPr>
            </w:pPr>
            <w:r w:rsidRPr="00CC66A8">
              <w:rPr>
                <w:b/>
                <w:bCs/>
                <w:i/>
                <w:iCs/>
                <w:color w:val="000000"/>
              </w:rPr>
              <w:t>Tier 2 Committee</w:t>
            </w:r>
          </w:p>
        </w:tc>
        <w:tc>
          <w:tcPr>
            <w:tcW w:w="2792" w:type="dxa"/>
            <w:tcBorders>
              <w:top w:val="nil"/>
              <w:left w:val="nil"/>
              <w:bottom w:val="nil"/>
              <w:right w:val="nil"/>
            </w:tcBorders>
            <w:shd w:val="clear" w:color="auto" w:fill="auto"/>
            <w:noWrap/>
            <w:vAlign w:val="bottom"/>
            <w:hideMark/>
          </w:tcPr>
          <w:p w14:paraId="71F15241" w14:textId="77777777" w:rsidR="003C5EA3" w:rsidRPr="00CC66A8" w:rsidRDefault="003C5EA3" w:rsidP="00C252BE">
            <w:pPr>
              <w:rPr>
                <w:b/>
                <w:bCs/>
                <w:i/>
                <w:iCs/>
                <w:color w:val="000000"/>
              </w:rPr>
            </w:pPr>
          </w:p>
        </w:tc>
        <w:tc>
          <w:tcPr>
            <w:tcW w:w="1450" w:type="dxa"/>
            <w:tcBorders>
              <w:top w:val="nil"/>
              <w:left w:val="nil"/>
              <w:bottom w:val="nil"/>
              <w:right w:val="nil"/>
            </w:tcBorders>
            <w:shd w:val="clear" w:color="auto" w:fill="auto"/>
            <w:noWrap/>
            <w:vAlign w:val="bottom"/>
            <w:hideMark/>
          </w:tcPr>
          <w:p w14:paraId="51ED8857" w14:textId="77777777" w:rsidR="003C5EA3" w:rsidRPr="00CC66A8" w:rsidRDefault="003C5EA3" w:rsidP="00C252BE"/>
        </w:tc>
        <w:tc>
          <w:tcPr>
            <w:tcW w:w="1260" w:type="dxa"/>
            <w:tcBorders>
              <w:top w:val="nil"/>
              <w:left w:val="nil"/>
              <w:bottom w:val="nil"/>
              <w:right w:val="nil"/>
            </w:tcBorders>
            <w:shd w:val="clear" w:color="auto" w:fill="auto"/>
            <w:noWrap/>
            <w:vAlign w:val="bottom"/>
            <w:hideMark/>
          </w:tcPr>
          <w:p w14:paraId="20944DD8" w14:textId="77777777" w:rsidR="003C5EA3" w:rsidRPr="00CC66A8" w:rsidRDefault="003C5EA3" w:rsidP="00C252BE"/>
        </w:tc>
        <w:tc>
          <w:tcPr>
            <w:tcW w:w="1620" w:type="dxa"/>
            <w:tcBorders>
              <w:top w:val="nil"/>
              <w:left w:val="nil"/>
              <w:bottom w:val="nil"/>
              <w:right w:val="nil"/>
            </w:tcBorders>
            <w:shd w:val="clear" w:color="auto" w:fill="auto"/>
            <w:noWrap/>
            <w:vAlign w:val="bottom"/>
            <w:hideMark/>
          </w:tcPr>
          <w:p w14:paraId="747B21F2" w14:textId="77777777" w:rsidR="003C5EA3" w:rsidRPr="00CC66A8" w:rsidRDefault="003C5EA3" w:rsidP="00C252BE"/>
        </w:tc>
        <w:tc>
          <w:tcPr>
            <w:tcW w:w="1710" w:type="dxa"/>
            <w:tcBorders>
              <w:top w:val="nil"/>
              <w:left w:val="nil"/>
              <w:bottom w:val="nil"/>
              <w:right w:val="nil"/>
            </w:tcBorders>
            <w:shd w:val="clear" w:color="auto" w:fill="auto"/>
            <w:noWrap/>
            <w:vAlign w:val="bottom"/>
            <w:hideMark/>
          </w:tcPr>
          <w:p w14:paraId="32D22FE2" w14:textId="77777777" w:rsidR="003C5EA3" w:rsidRPr="00CC66A8" w:rsidRDefault="003C5EA3" w:rsidP="00C252BE">
            <w:pPr>
              <w:rPr>
                <w:color w:val="000000"/>
              </w:rPr>
            </w:pPr>
            <w:r w:rsidRPr="00CC66A8">
              <w:rPr>
                <w:color w:val="000000"/>
              </w:rPr>
              <w:t xml:space="preserve"> $              -   </w:t>
            </w:r>
          </w:p>
        </w:tc>
      </w:tr>
      <w:tr w:rsidR="003C5EA3" w:rsidRPr="00CC66A8" w14:paraId="071F20C8" w14:textId="77777777" w:rsidTr="00C252BE">
        <w:trPr>
          <w:trHeight w:val="260"/>
        </w:trPr>
        <w:tc>
          <w:tcPr>
            <w:tcW w:w="337" w:type="dxa"/>
            <w:tcBorders>
              <w:top w:val="nil"/>
              <w:left w:val="nil"/>
              <w:bottom w:val="nil"/>
              <w:right w:val="nil"/>
            </w:tcBorders>
            <w:shd w:val="clear" w:color="auto" w:fill="auto"/>
            <w:noWrap/>
            <w:vAlign w:val="bottom"/>
            <w:hideMark/>
          </w:tcPr>
          <w:p w14:paraId="0F1E9073" w14:textId="77777777" w:rsidR="003C5EA3" w:rsidRPr="00CC66A8" w:rsidRDefault="003C5EA3" w:rsidP="00C252BE">
            <w:pPr>
              <w:rPr>
                <w:color w:val="000000"/>
              </w:rPr>
            </w:pPr>
          </w:p>
        </w:tc>
        <w:tc>
          <w:tcPr>
            <w:tcW w:w="3791" w:type="dxa"/>
            <w:tcBorders>
              <w:top w:val="nil"/>
              <w:left w:val="nil"/>
              <w:bottom w:val="nil"/>
              <w:right w:val="nil"/>
            </w:tcBorders>
            <w:shd w:val="clear" w:color="auto" w:fill="auto"/>
            <w:noWrap/>
            <w:vAlign w:val="bottom"/>
            <w:hideMark/>
          </w:tcPr>
          <w:p w14:paraId="22984C71" w14:textId="77777777" w:rsidR="003C5EA3" w:rsidRPr="00CC66A8" w:rsidRDefault="003C5EA3" w:rsidP="00C252BE">
            <w:pPr>
              <w:rPr>
                <w:color w:val="000000"/>
              </w:rPr>
            </w:pPr>
            <w:r w:rsidRPr="00CC66A8">
              <w:rPr>
                <w:color w:val="000000"/>
              </w:rPr>
              <w:t>Committee Voting Member - Physician</w:t>
            </w:r>
          </w:p>
        </w:tc>
        <w:tc>
          <w:tcPr>
            <w:tcW w:w="2792" w:type="dxa"/>
            <w:tcBorders>
              <w:top w:val="nil"/>
              <w:left w:val="nil"/>
              <w:bottom w:val="nil"/>
              <w:right w:val="nil"/>
            </w:tcBorders>
            <w:shd w:val="clear" w:color="auto" w:fill="auto"/>
            <w:noWrap/>
            <w:vAlign w:val="bottom"/>
            <w:hideMark/>
          </w:tcPr>
          <w:p w14:paraId="47B95B86" w14:textId="77777777" w:rsidR="003C5EA3" w:rsidRPr="00CC66A8" w:rsidRDefault="003C5EA3" w:rsidP="00C252BE">
            <w:pPr>
              <w:rPr>
                <w:color w:val="000000"/>
              </w:rPr>
            </w:pPr>
            <w:r w:rsidRPr="00CC66A8">
              <w:rPr>
                <w:color w:val="000000"/>
              </w:rPr>
              <w:t>Physicians and Surgeons, All Other</w:t>
            </w:r>
          </w:p>
        </w:tc>
        <w:tc>
          <w:tcPr>
            <w:tcW w:w="1450" w:type="dxa"/>
            <w:tcBorders>
              <w:top w:val="nil"/>
              <w:left w:val="nil"/>
              <w:bottom w:val="nil"/>
              <w:right w:val="nil"/>
            </w:tcBorders>
            <w:shd w:val="clear" w:color="auto" w:fill="auto"/>
            <w:noWrap/>
            <w:vAlign w:val="bottom"/>
            <w:hideMark/>
          </w:tcPr>
          <w:p w14:paraId="2CF900AB" w14:textId="77777777" w:rsidR="003C5EA3" w:rsidRPr="00CC66A8" w:rsidRDefault="003C5EA3" w:rsidP="00C252BE">
            <w:pPr>
              <w:jc w:val="right"/>
              <w:rPr>
                <w:color w:val="000000"/>
              </w:rPr>
            </w:pPr>
            <w:r w:rsidRPr="00CC66A8">
              <w:rPr>
                <w:color w:val="000000"/>
              </w:rPr>
              <w:t>0.01</w:t>
            </w:r>
          </w:p>
        </w:tc>
        <w:tc>
          <w:tcPr>
            <w:tcW w:w="1260" w:type="dxa"/>
            <w:tcBorders>
              <w:top w:val="nil"/>
              <w:left w:val="nil"/>
              <w:bottom w:val="nil"/>
              <w:right w:val="nil"/>
            </w:tcBorders>
            <w:shd w:val="clear" w:color="auto" w:fill="auto"/>
            <w:noWrap/>
            <w:vAlign w:val="bottom"/>
            <w:hideMark/>
          </w:tcPr>
          <w:p w14:paraId="679B638E" w14:textId="77777777" w:rsidR="003C5EA3" w:rsidRPr="00CC66A8" w:rsidRDefault="003C5EA3" w:rsidP="00C252BE">
            <w:pPr>
              <w:jc w:val="right"/>
              <w:rPr>
                <w:color w:val="000000"/>
              </w:rPr>
            </w:pPr>
            <w:r w:rsidRPr="00CC66A8">
              <w:rPr>
                <w:color w:val="000000"/>
              </w:rPr>
              <w:t>7</w:t>
            </w:r>
          </w:p>
        </w:tc>
        <w:tc>
          <w:tcPr>
            <w:tcW w:w="1620" w:type="dxa"/>
            <w:tcBorders>
              <w:top w:val="nil"/>
              <w:left w:val="nil"/>
              <w:bottom w:val="nil"/>
              <w:right w:val="nil"/>
            </w:tcBorders>
            <w:shd w:val="clear" w:color="auto" w:fill="auto"/>
            <w:noWrap/>
            <w:vAlign w:val="bottom"/>
            <w:hideMark/>
          </w:tcPr>
          <w:p w14:paraId="4F472AB5" w14:textId="77777777" w:rsidR="003C5EA3" w:rsidRPr="00CC66A8" w:rsidRDefault="003C5EA3" w:rsidP="00C252BE">
            <w:pPr>
              <w:rPr>
                <w:color w:val="000000"/>
              </w:rPr>
            </w:pPr>
            <w:r w:rsidRPr="00CC66A8">
              <w:rPr>
                <w:color w:val="000000"/>
              </w:rPr>
              <w:t xml:space="preserve"> $       394,414 </w:t>
            </w:r>
          </w:p>
        </w:tc>
        <w:tc>
          <w:tcPr>
            <w:tcW w:w="1710" w:type="dxa"/>
            <w:tcBorders>
              <w:top w:val="nil"/>
              <w:left w:val="nil"/>
              <w:bottom w:val="nil"/>
              <w:right w:val="nil"/>
            </w:tcBorders>
            <w:shd w:val="clear" w:color="auto" w:fill="auto"/>
            <w:noWrap/>
            <w:vAlign w:val="bottom"/>
            <w:hideMark/>
          </w:tcPr>
          <w:p w14:paraId="783E3FB6" w14:textId="77777777" w:rsidR="003C5EA3" w:rsidRPr="00CC66A8" w:rsidRDefault="003C5EA3" w:rsidP="00C252BE">
            <w:pPr>
              <w:rPr>
                <w:color w:val="000000"/>
              </w:rPr>
            </w:pPr>
            <w:r w:rsidRPr="00CC66A8">
              <w:rPr>
                <w:color w:val="000000"/>
              </w:rPr>
              <w:t xml:space="preserve"> $      34,511 </w:t>
            </w:r>
          </w:p>
        </w:tc>
      </w:tr>
      <w:tr w:rsidR="003C5EA3" w:rsidRPr="00CC66A8" w14:paraId="70B4490A" w14:textId="77777777" w:rsidTr="00C252BE">
        <w:trPr>
          <w:trHeight w:val="260"/>
        </w:trPr>
        <w:tc>
          <w:tcPr>
            <w:tcW w:w="337" w:type="dxa"/>
            <w:tcBorders>
              <w:top w:val="nil"/>
              <w:left w:val="nil"/>
              <w:bottom w:val="nil"/>
              <w:right w:val="nil"/>
            </w:tcBorders>
            <w:shd w:val="clear" w:color="auto" w:fill="auto"/>
            <w:noWrap/>
            <w:vAlign w:val="bottom"/>
            <w:hideMark/>
          </w:tcPr>
          <w:p w14:paraId="50394F47" w14:textId="77777777" w:rsidR="003C5EA3" w:rsidRPr="00CC66A8" w:rsidRDefault="003C5EA3" w:rsidP="00C252BE">
            <w:pPr>
              <w:rPr>
                <w:color w:val="000000"/>
              </w:rPr>
            </w:pPr>
          </w:p>
        </w:tc>
        <w:tc>
          <w:tcPr>
            <w:tcW w:w="3791" w:type="dxa"/>
            <w:tcBorders>
              <w:top w:val="nil"/>
              <w:left w:val="nil"/>
              <w:bottom w:val="nil"/>
              <w:right w:val="nil"/>
            </w:tcBorders>
            <w:shd w:val="clear" w:color="auto" w:fill="auto"/>
            <w:noWrap/>
            <w:vAlign w:val="bottom"/>
            <w:hideMark/>
          </w:tcPr>
          <w:p w14:paraId="41A34098" w14:textId="77777777" w:rsidR="003C5EA3" w:rsidRPr="00CC66A8" w:rsidRDefault="003C5EA3" w:rsidP="00C252BE">
            <w:pPr>
              <w:rPr>
                <w:color w:val="000000"/>
              </w:rPr>
            </w:pPr>
            <w:r w:rsidRPr="00CC66A8">
              <w:rPr>
                <w:color w:val="000000"/>
              </w:rPr>
              <w:t>Committee Voting Member - Administrator</w:t>
            </w:r>
          </w:p>
        </w:tc>
        <w:tc>
          <w:tcPr>
            <w:tcW w:w="2792" w:type="dxa"/>
            <w:tcBorders>
              <w:top w:val="nil"/>
              <w:left w:val="nil"/>
              <w:bottom w:val="nil"/>
              <w:right w:val="nil"/>
            </w:tcBorders>
            <w:shd w:val="clear" w:color="auto" w:fill="auto"/>
            <w:noWrap/>
            <w:vAlign w:val="bottom"/>
            <w:hideMark/>
          </w:tcPr>
          <w:p w14:paraId="2EF1CCFA" w14:textId="77777777" w:rsidR="003C5EA3" w:rsidRPr="00CC66A8" w:rsidRDefault="003C5EA3" w:rsidP="00C252BE">
            <w:pPr>
              <w:rPr>
                <w:color w:val="000000"/>
              </w:rPr>
            </w:pPr>
            <w:r w:rsidRPr="00CC66A8">
              <w:rPr>
                <w:color w:val="000000"/>
              </w:rPr>
              <w:t>Chief executive</w:t>
            </w:r>
          </w:p>
        </w:tc>
        <w:tc>
          <w:tcPr>
            <w:tcW w:w="1450" w:type="dxa"/>
            <w:tcBorders>
              <w:top w:val="nil"/>
              <w:left w:val="nil"/>
              <w:bottom w:val="nil"/>
              <w:right w:val="nil"/>
            </w:tcBorders>
            <w:shd w:val="clear" w:color="auto" w:fill="auto"/>
            <w:noWrap/>
            <w:vAlign w:val="bottom"/>
            <w:hideMark/>
          </w:tcPr>
          <w:p w14:paraId="0D5170C9" w14:textId="77777777" w:rsidR="003C5EA3" w:rsidRPr="00CC66A8" w:rsidRDefault="003C5EA3" w:rsidP="00C252BE">
            <w:pPr>
              <w:jc w:val="right"/>
              <w:rPr>
                <w:color w:val="000000"/>
              </w:rPr>
            </w:pPr>
            <w:r w:rsidRPr="00CC66A8">
              <w:rPr>
                <w:color w:val="000000"/>
              </w:rPr>
              <w:t>0.01</w:t>
            </w:r>
          </w:p>
        </w:tc>
        <w:tc>
          <w:tcPr>
            <w:tcW w:w="1260" w:type="dxa"/>
            <w:tcBorders>
              <w:top w:val="nil"/>
              <w:left w:val="nil"/>
              <w:bottom w:val="nil"/>
              <w:right w:val="nil"/>
            </w:tcBorders>
            <w:shd w:val="clear" w:color="auto" w:fill="auto"/>
            <w:noWrap/>
            <w:vAlign w:val="bottom"/>
            <w:hideMark/>
          </w:tcPr>
          <w:p w14:paraId="086079F5" w14:textId="77777777" w:rsidR="003C5EA3" w:rsidRPr="00CC66A8" w:rsidRDefault="003C5EA3" w:rsidP="00C252BE">
            <w:pPr>
              <w:jc w:val="right"/>
              <w:rPr>
                <w:color w:val="000000"/>
              </w:rPr>
            </w:pPr>
            <w:r w:rsidRPr="00CC66A8">
              <w:rPr>
                <w:color w:val="000000"/>
              </w:rPr>
              <w:t>8</w:t>
            </w:r>
          </w:p>
        </w:tc>
        <w:tc>
          <w:tcPr>
            <w:tcW w:w="1620" w:type="dxa"/>
            <w:tcBorders>
              <w:top w:val="nil"/>
              <w:left w:val="nil"/>
              <w:bottom w:val="nil"/>
              <w:right w:val="nil"/>
            </w:tcBorders>
            <w:shd w:val="clear" w:color="auto" w:fill="auto"/>
            <w:noWrap/>
            <w:vAlign w:val="bottom"/>
            <w:hideMark/>
          </w:tcPr>
          <w:p w14:paraId="7833628C" w14:textId="77777777" w:rsidR="003C5EA3" w:rsidRPr="00CC66A8" w:rsidRDefault="003C5EA3" w:rsidP="00C252BE">
            <w:pPr>
              <w:rPr>
                <w:color w:val="000000"/>
              </w:rPr>
            </w:pPr>
            <w:r w:rsidRPr="00CC66A8">
              <w:rPr>
                <w:color w:val="000000"/>
              </w:rPr>
              <w:t xml:space="preserve"> $       392,055 </w:t>
            </w:r>
          </w:p>
        </w:tc>
        <w:tc>
          <w:tcPr>
            <w:tcW w:w="1710" w:type="dxa"/>
            <w:tcBorders>
              <w:top w:val="nil"/>
              <w:left w:val="nil"/>
              <w:bottom w:val="nil"/>
              <w:right w:val="nil"/>
            </w:tcBorders>
            <w:shd w:val="clear" w:color="auto" w:fill="auto"/>
            <w:noWrap/>
            <w:vAlign w:val="bottom"/>
            <w:hideMark/>
          </w:tcPr>
          <w:p w14:paraId="66589E0D" w14:textId="77777777" w:rsidR="003C5EA3" w:rsidRPr="00CC66A8" w:rsidRDefault="003C5EA3" w:rsidP="00C252BE">
            <w:pPr>
              <w:rPr>
                <w:color w:val="000000"/>
              </w:rPr>
            </w:pPr>
            <w:r w:rsidRPr="00CC66A8">
              <w:rPr>
                <w:color w:val="000000"/>
              </w:rPr>
              <w:t xml:space="preserve"> $      39,205 </w:t>
            </w:r>
          </w:p>
        </w:tc>
      </w:tr>
      <w:tr w:rsidR="003C5EA3" w:rsidRPr="00CC66A8" w14:paraId="611EDCA5" w14:textId="77777777" w:rsidTr="00C252BE">
        <w:trPr>
          <w:trHeight w:val="260"/>
        </w:trPr>
        <w:tc>
          <w:tcPr>
            <w:tcW w:w="337" w:type="dxa"/>
            <w:tcBorders>
              <w:top w:val="nil"/>
              <w:left w:val="nil"/>
              <w:bottom w:val="nil"/>
              <w:right w:val="nil"/>
            </w:tcBorders>
            <w:shd w:val="clear" w:color="auto" w:fill="auto"/>
            <w:noWrap/>
            <w:vAlign w:val="bottom"/>
            <w:hideMark/>
          </w:tcPr>
          <w:p w14:paraId="4F62E930" w14:textId="77777777" w:rsidR="003C5EA3" w:rsidRPr="00CC66A8" w:rsidRDefault="003C5EA3" w:rsidP="00C252BE">
            <w:pPr>
              <w:rPr>
                <w:color w:val="000000"/>
              </w:rPr>
            </w:pPr>
          </w:p>
        </w:tc>
        <w:tc>
          <w:tcPr>
            <w:tcW w:w="3791" w:type="dxa"/>
            <w:tcBorders>
              <w:top w:val="nil"/>
              <w:left w:val="nil"/>
              <w:bottom w:val="nil"/>
              <w:right w:val="nil"/>
            </w:tcBorders>
            <w:shd w:val="clear" w:color="auto" w:fill="auto"/>
            <w:noWrap/>
            <w:vAlign w:val="bottom"/>
            <w:hideMark/>
          </w:tcPr>
          <w:p w14:paraId="2098A74A" w14:textId="77777777" w:rsidR="003C5EA3" w:rsidRPr="00CC66A8" w:rsidRDefault="003C5EA3" w:rsidP="00C252BE">
            <w:pPr>
              <w:rPr>
                <w:color w:val="000000"/>
              </w:rPr>
            </w:pPr>
            <w:r w:rsidRPr="00CC66A8">
              <w:rPr>
                <w:color w:val="000000"/>
              </w:rPr>
              <w:t>Legal counsel</w:t>
            </w:r>
          </w:p>
        </w:tc>
        <w:tc>
          <w:tcPr>
            <w:tcW w:w="2792" w:type="dxa"/>
            <w:tcBorders>
              <w:top w:val="nil"/>
              <w:left w:val="nil"/>
              <w:bottom w:val="nil"/>
              <w:right w:val="nil"/>
            </w:tcBorders>
            <w:shd w:val="clear" w:color="auto" w:fill="auto"/>
            <w:noWrap/>
            <w:vAlign w:val="bottom"/>
            <w:hideMark/>
          </w:tcPr>
          <w:p w14:paraId="1B5674FD" w14:textId="77777777" w:rsidR="003C5EA3" w:rsidRPr="00CC66A8" w:rsidRDefault="003C5EA3" w:rsidP="00C252BE">
            <w:pPr>
              <w:rPr>
                <w:color w:val="000000"/>
              </w:rPr>
            </w:pPr>
            <w:r w:rsidRPr="00CC66A8">
              <w:rPr>
                <w:color w:val="000000"/>
              </w:rPr>
              <w:t>Lawyer</w:t>
            </w:r>
          </w:p>
        </w:tc>
        <w:tc>
          <w:tcPr>
            <w:tcW w:w="1450" w:type="dxa"/>
            <w:tcBorders>
              <w:top w:val="nil"/>
              <w:left w:val="nil"/>
              <w:bottom w:val="nil"/>
              <w:right w:val="nil"/>
            </w:tcBorders>
            <w:shd w:val="clear" w:color="auto" w:fill="auto"/>
            <w:noWrap/>
            <w:vAlign w:val="bottom"/>
            <w:hideMark/>
          </w:tcPr>
          <w:p w14:paraId="5ED2BCBD" w14:textId="77777777" w:rsidR="003C5EA3" w:rsidRPr="00CC66A8" w:rsidRDefault="003C5EA3" w:rsidP="00C252BE">
            <w:pPr>
              <w:jc w:val="right"/>
              <w:rPr>
                <w:color w:val="000000"/>
              </w:rPr>
            </w:pPr>
            <w:r w:rsidRPr="00CC66A8">
              <w:rPr>
                <w:color w:val="000000"/>
              </w:rPr>
              <w:t>0.01</w:t>
            </w:r>
          </w:p>
        </w:tc>
        <w:tc>
          <w:tcPr>
            <w:tcW w:w="1260" w:type="dxa"/>
            <w:tcBorders>
              <w:top w:val="nil"/>
              <w:left w:val="nil"/>
              <w:bottom w:val="nil"/>
              <w:right w:val="nil"/>
            </w:tcBorders>
            <w:shd w:val="clear" w:color="auto" w:fill="auto"/>
            <w:noWrap/>
            <w:vAlign w:val="bottom"/>
            <w:hideMark/>
          </w:tcPr>
          <w:p w14:paraId="559F8CA7" w14:textId="77777777" w:rsidR="003C5EA3" w:rsidRPr="00CC66A8" w:rsidRDefault="003C5EA3" w:rsidP="00C252BE">
            <w:pPr>
              <w:jc w:val="right"/>
              <w:rPr>
                <w:color w:val="000000"/>
              </w:rPr>
            </w:pPr>
            <w:r w:rsidRPr="00CC66A8">
              <w:rPr>
                <w:color w:val="000000"/>
              </w:rPr>
              <w:t>1</w:t>
            </w:r>
          </w:p>
        </w:tc>
        <w:tc>
          <w:tcPr>
            <w:tcW w:w="1620" w:type="dxa"/>
            <w:tcBorders>
              <w:top w:val="nil"/>
              <w:left w:val="nil"/>
              <w:bottom w:val="nil"/>
              <w:right w:val="nil"/>
            </w:tcBorders>
            <w:shd w:val="clear" w:color="auto" w:fill="auto"/>
            <w:noWrap/>
            <w:vAlign w:val="bottom"/>
            <w:hideMark/>
          </w:tcPr>
          <w:p w14:paraId="64E3D562" w14:textId="77777777" w:rsidR="003C5EA3" w:rsidRPr="00CC66A8" w:rsidRDefault="003C5EA3" w:rsidP="00C252BE">
            <w:pPr>
              <w:rPr>
                <w:color w:val="000000"/>
              </w:rPr>
            </w:pPr>
            <w:r w:rsidRPr="00CC66A8">
              <w:rPr>
                <w:color w:val="000000"/>
              </w:rPr>
              <w:t xml:space="preserve"> $       333,788 </w:t>
            </w:r>
          </w:p>
        </w:tc>
        <w:tc>
          <w:tcPr>
            <w:tcW w:w="1710" w:type="dxa"/>
            <w:tcBorders>
              <w:top w:val="nil"/>
              <w:left w:val="nil"/>
              <w:bottom w:val="nil"/>
              <w:right w:val="nil"/>
            </w:tcBorders>
            <w:shd w:val="clear" w:color="auto" w:fill="auto"/>
            <w:noWrap/>
            <w:vAlign w:val="bottom"/>
            <w:hideMark/>
          </w:tcPr>
          <w:p w14:paraId="137DEDF7" w14:textId="77777777" w:rsidR="003C5EA3" w:rsidRPr="00CC66A8" w:rsidRDefault="003C5EA3" w:rsidP="00C252BE">
            <w:pPr>
              <w:rPr>
                <w:color w:val="000000"/>
              </w:rPr>
            </w:pPr>
            <w:r w:rsidRPr="00CC66A8">
              <w:rPr>
                <w:color w:val="000000"/>
              </w:rPr>
              <w:t xml:space="preserve"> $        2,086 </w:t>
            </w:r>
          </w:p>
        </w:tc>
      </w:tr>
      <w:tr w:rsidR="003C5EA3" w:rsidRPr="00CC66A8" w14:paraId="1E02955C" w14:textId="77777777" w:rsidTr="00C252BE">
        <w:trPr>
          <w:trHeight w:val="260"/>
        </w:trPr>
        <w:tc>
          <w:tcPr>
            <w:tcW w:w="4128" w:type="dxa"/>
            <w:gridSpan w:val="2"/>
            <w:tcBorders>
              <w:top w:val="nil"/>
              <w:left w:val="nil"/>
              <w:bottom w:val="nil"/>
              <w:right w:val="nil"/>
            </w:tcBorders>
            <w:shd w:val="clear" w:color="auto" w:fill="auto"/>
            <w:noWrap/>
            <w:vAlign w:val="bottom"/>
            <w:hideMark/>
          </w:tcPr>
          <w:p w14:paraId="78037D74" w14:textId="77777777" w:rsidR="003C5EA3" w:rsidRPr="00CC66A8" w:rsidRDefault="003C5EA3" w:rsidP="00C252BE">
            <w:pPr>
              <w:rPr>
                <w:b/>
                <w:bCs/>
                <w:color w:val="000000"/>
              </w:rPr>
            </w:pPr>
            <w:r w:rsidRPr="00CC66A8">
              <w:rPr>
                <w:b/>
                <w:bCs/>
                <w:color w:val="000000"/>
              </w:rPr>
              <w:t>Non-Labor Costs</w:t>
            </w:r>
          </w:p>
        </w:tc>
        <w:tc>
          <w:tcPr>
            <w:tcW w:w="2792" w:type="dxa"/>
            <w:tcBorders>
              <w:top w:val="nil"/>
              <w:left w:val="nil"/>
              <w:bottom w:val="nil"/>
              <w:right w:val="nil"/>
            </w:tcBorders>
            <w:shd w:val="clear" w:color="auto" w:fill="auto"/>
            <w:noWrap/>
            <w:vAlign w:val="bottom"/>
            <w:hideMark/>
          </w:tcPr>
          <w:p w14:paraId="38F0D157" w14:textId="77777777" w:rsidR="003C5EA3" w:rsidRPr="00CC66A8" w:rsidRDefault="003C5EA3" w:rsidP="00C252BE">
            <w:pPr>
              <w:rPr>
                <w:b/>
                <w:bCs/>
                <w:color w:val="000000"/>
              </w:rPr>
            </w:pPr>
          </w:p>
        </w:tc>
        <w:tc>
          <w:tcPr>
            <w:tcW w:w="1450" w:type="dxa"/>
            <w:tcBorders>
              <w:top w:val="nil"/>
              <w:left w:val="nil"/>
              <w:bottom w:val="nil"/>
              <w:right w:val="nil"/>
            </w:tcBorders>
            <w:shd w:val="clear" w:color="auto" w:fill="auto"/>
            <w:noWrap/>
            <w:vAlign w:val="bottom"/>
            <w:hideMark/>
          </w:tcPr>
          <w:p w14:paraId="099BB660" w14:textId="77777777" w:rsidR="003C5EA3" w:rsidRPr="00CC66A8" w:rsidRDefault="003C5EA3" w:rsidP="00C252BE"/>
        </w:tc>
        <w:tc>
          <w:tcPr>
            <w:tcW w:w="1260" w:type="dxa"/>
            <w:tcBorders>
              <w:top w:val="nil"/>
              <w:left w:val="nil"/>
              <w:bottom w:val="nil"/>
              <w:right w:val="nil"/>
            </w:tcBorders>
            <w:shd w:val="clear" w:color="auto" w:fill="auto"/>
            <w:noWrap/>
            <w:vAlign w:val="bottom"/>
            <w:hideMark/>
          </w:tcPr>
          <w:p w14:paraId="35B02418" w14:textId="77777777" w:rsidR="003C5EA3" w:rsidRPr="00CC66A8" w:rsidRDefault="003C5EA3" w:rsidP="00C252BE"/>
        </w:tc>
        <w:tc>
          <w:tcPr>
            <w:tcW w:w="1620" w:type="dxa"/>
            <w:tcBorders>
              <w:top w:val="nil"/>
              <w:left w:val="nil"/>
              <w:bottom w:val="nil"/>
              <w:right w:val="nil"/>
            </w:tcBorders>
            <w:shd w:val="clear" w:color="auto" w:fill="auto"/>
            <w:noWrap/>
            <w:vAlign w:val="bottom"/>
            <w:hideMark/>
          </w:tcPr>
          <w:p w14:paraId="41656E6E" w14:textId="77777777" w:rsidR="003C5EA3" w:rsidRPr="00CC66A8" w:rsidRDefault="003C5EA3" w:rsidP="00C252BE"/>
        </w:tc>
        <w:tc>
          <w:tcPr>
            <w:tcW w:w="1710" w:type="dxa"/>
            <w:tcBorders>
              <w:top w:val="nil"/>
              <w:left w:val="nil"/>
              <w:bottom w:val="nil"/>
              <w:right w:val="nil"/>
            </w:tcBorders>
            <w:shd w:val="clear" w:color="auto" w:fill="auto"/>
            <w:noWrap/>
            <w:vAlign w:val="bottom"/>
            <w:hideMark/>
          </w:tcPr>
          <w:p w14:paraId="6B4A5743" w14:textId="77777777" w:rsidR="003C5EA3" w:rsidRPr="00CC66A8" w:rsidRDefault="003C5EA3" w:rsidP="00C252BE"/>
        </w:tc>
      </w:tr>
      <w:tr w:rsidR="003C5EA3" w:rsidRPr="00CC66A8" w14:paraId="4F987F92" w14:textId="77777777" w:rsidTr="00C252BE">
        <w:trPr>
          <w:trHeight w:val="260"/>
        </w:trPr>
        <w:tc>
          <w:tcPr>
            <w:tcW w:w="337" w:type="dxa"/>
            <w:tcBorders>
              <w:top w:val="nil"/>
              <w:left w:val="nil"/>
              <w:bottom w:val="nil"/>
              <w:right w:val="nil"/>
            </w:tcBorders>
            <w:shd w:val="clear" w:color="auto" w:fill="auto"/>
            <w:noWrap/>
            <w:vAlign w:val="bottom"/>
            <w:hideMark/>
          </w:tcPr>
          <w:p w14:paraId="6428B32D" w14:textId="77777777" w:rsidR="003C5EA3" w:rsidRPr="00CC66A8" w:rsidRDefault="003C5EA3" w:rsidP="00C252BE"/>
        </w:tc>
        <w:tc>
          <w:tcPr>
            <w:tcW w:w="6583" w:type="dxa"/>
            <w:gridSpan w:val="2"/>
            <w:tcBorders>
              <w:top w:val="nil"/>
              <w:left w:val="nil"/>
              <w:bottom w:val="nil"/>
              <w:right w:val="nil"/>
            </w:tcBorders>
            <w:shd w:val="clear" w:color="auto" w:fill="auto"/>
            <w:noWrap/>
            <w:vAlign w:val="bottom"/>
            <w:hideMark/>
          </w:tcPr>
          <w:p w14:paraId="086EAD80" w14:textId="77777777" w:rsidR="003C5EA3" w:rsidRPr="00CC66A8" w:rsidRDefault="003C5EA3" w:rsidP="00C252BE">
            <w:pPr>
              <w:rPr>
                <w:color w:val="000000"/>
              </w:rPr>
            </w:pPr>
            <w:r w:rsidRPr="00CC66A8">
              <w:rPr>
                <w:color w:val="000000"/>
              </w:rPr>
              <w:t>Annual Celebration Lunch (Venue, food, trophies)</w:t>
            </w:r>
          </w:p>
        </w:tc>
        <w:tc>
          <w:tcPr>
            <w:tcW w:w="1450" w:type="dxa"/>
            <w:tcBorders>
              <w:top w:val="nil"/>
              <w:left w:val="nil"/>
              <w:bottom w:val="nil"/>
              <w:right w:val="nil"/>
            </w:tcBorders>
            <w:shd w:val="clear" w:color="auto" w:fill="auto"/>
            <w:noWrap/>
            <w:vAlign w:val="bottom"/>
            <w:hideMark/>
          </w:tcPr>
          <w:p w14:paraId="1902CD69" w14:textId="77777777" w:rsidR="003C5EA3" w:rsidRPr="00CC66A8" w:rsidRDefault="003C5EA3" w:rsidP="00C252BE">
            <w:pPr>
              <w:rPr>
                <w:color w:val="000000"/>
              </w:rPr>
            </w:pPr>
          </w:p>
        </w:tc>
        <w:tc>
          <w:tcPr>
            <w:tcW w:w="1260" w:type="dxa"/>
            <w:tcBorders>
              <w:top w:val="nil"/>
              <w:left w:val="nil"/>
              <w:bottom w:val="nil"/>
              <w:right w:val="nil"/>
            </w:tcBorders>
            <w:shd w:val="clear" w:color="auto" w:fill="auto"/>
            <w:noWrap/>
            <w:vAlign w:val="bottom"/>
            <w:hideMark/>
          </w:tcPr>
          <w:p w14:paraId="1B8EFAAE" w14:textId="77777777" w:rsidR="003C5EA3" w:rsidRPr="00CC66A8" w:rsidRDefault="003C5EA3" w:rsidP="00C252BE"/>
        </w:tc>
        <w:tc>
          <w:tcPr>
            <w:tcW w:w="1620" w:type="dxa"/>
            <w:tcBorders>
              <w:top w:val="nil"/>
              <w:left w:val="nil"/>
              <w:bottom w:val="nil"/>
              <w:right w:val="nil"/>
            </w:tcBorders>
            <w:shd w:val="clear" w:color="auto" w:fill="auto"/>
            <w:noWrap/>
            <w:vAlign w:val="bottom"/>
            <w:hideMark/>
          </w:tcPr>
          <w:p w14:paraId="5733AE44" w14:textId="77777777" w:rsidR="003C5EA3" w:rsidRPr="00CC66A8" w:rsidRDefault="003C5EA3" w:rsidP="00C252BE"/>
        </w:tc>
        <w:tc>
          <w:tcPr>
            <w:tcW w:w="1710" w:type="dxa"/>
            <w:tcBorders>
              <w:top w:val="nil"/>
              <w:left w:val="nil"/>
              <w:bottom w:val="nil"/>
              <w:right w:val="nil"/>
            </w:tcBorders>
            <w:shd w:val="clear" w:color="auto" w:fill="auto"/>
            <w:noWrap/>
            <w:vAlign w:val="bottom"/>
            <w:hideMark/>
          </w:tcPr>
          <w:p w14:paraId="74B1445C" w14:textId="77777777" w:rsidR="003C5EA3" w:rsidRPr="00CC66A8" w:rsidRDefault="003C5EA3" w:rsidP="00C252BE">
            <w:pPr>
              <w:rPr>
                <w:color w:val="000000"/>
              </w:rPr>
            </w:pPr>
            <w:r w:rsidRPr="00CC66A8">
              <w:rPr>
                <w:color w:val="000000"/>
              </w:rPr>
              <w:t xml:space="preserve"> $        3,500 </w:t>
            </w:r>
          </w:p>
        </w:tc>
      </w:tr>
      <w:tr w:rsidR="003C5EA3" w:rsidRPr="00CC66A8" w14:paraId="7E2F7BF6" w14:textId="77777777" w:rsidTr="00C252BE">
        <w:trPr>
          <w:trHeight w:val="260"/>
        </w:trPr>
        <w:tc>
          <w:tcPr>
            <w:tcW w:w="4128" w:type="dxa"/>
            <w:gridSpan w:val="2"/>
            <w:tcBorders>
              <w:top w:val="nil"/>
              <w:left w:val="nil"/>
              <w:bottom w:val="nil"/>
              <w:right w:val="nil"/>
            </w:tcBorders>
            <w:shd w:val="clear" w:color="auto" w:fill="auto"/>
            <w:noWrap/>
            <w:vAlign w:val="bottom"/>
            <w:hideMark/>
          </w:tcPr>
          <w:p w14:paraId="2862F183" w14:textId="77777777" w:rsidR="003C5EA3" w:rsidRPr="00CC66A8" w:rsidRDefault="003C5EA3" w:rsidP="00C252BE">
            <w:pPr>
              <w:rPr>
                <w:b/>
                <w:bCs/>
                <w:color w:val="000000"/>
              </w:rPr>
            </w:pPr>
            <w:r w:rsidRPr="00CC66A8">
              <w:rPr>
                <w:b/>
                <w:bCs/>
                <w:color w:val="000000"/>
              </w:rPr>
              <w:t>Total</w:t>
            </w:r>
          </w:p>
        </w:tc>
        <w:tc>
          <w:tcPr>
            <w:tcW w:w="2792" w:type="dxa"/>
            <w:tcBorders>
              <w:top w:val="nil"/>
              <w:left w:val="nil"/>
              <w:bottom w:val="nil"/>
              <w:right w:val="nil"/>
            </w:tcBorders>
            <w:shd w:val="clear" w:color="auto" w:fill="auto"/>
            <w:noWrap/>
            <w:vAlign w:val="bottom"/>
            <w:hideMark/>
          </w:tcPr>
          <w:p w14:paraId="76D7F086" w14:textId="77777777" w:rsidR="003C5EA3" w:rsidRPr="00CC66A8" w:rsidRDefault="003C5EA3" w:rsidP="00C252BE">
            <w:pPr>
              <w:rPr>
                <w:b/>
                <w:bCs/>
                <w:color w:val="000000"/>
              </w:rPr>
            </w:pPr>
          </w:p>
        </w:tc>
        <w:tc>
          <w:tcPr>
            <w:tcW w:w="1450" w:type="dxa"/>
            <w:tcBorders>
              <w:top w:val="nil"/>
              <w:left w:val="nil"/>
              <w:bottom w:val="nil"/>
              <w:right w:val="nil"/>
            </w:tcBorders>
            <w:shd w:val="clear" w:color="auto" w:fill="auto"/>
            <w:noWrap/>
            <w:vAlign w:val="bottom"/>
            <w:hideMark/>
          </w:tcPr>
          <w:p w14:paraId="55333EE3" w14:textId="77777777" w:rsidR="003C5EA3" w:rsidRPr="00CC66A8" w:rsidRDefault="003C5EA3" w:rsidP="00C252BE"/>
        </w:tc>
        <w:tc>
          <w:tcPr>
            <w:tcW w:w="1260" w:type="dxa"/>
            <w:tcBorders>
              <w:top w:val="nil"/>
              <w:left w:val="nil"/>
              <w:bottom w:val="nil"/>
              <w:right w:val="nil"/>
            </w:tcBorders>
            <w:shd w:val="clear" w:color="auto" w:fill="auto"/>
            <w:noWrap/>
            <w:vAlign w:val="bottom"/>
            <w:hideMark/>
          </w:tcPr>
          <w:p w14:paraId="2A006E32" w14:textId="77777777" w:rsidR="003C5EA3" w:rsidRPr="00CC66A8" w:rsidRDefault="003C5EA3" w:rsidP="00C252BE">
            <w:pPr>
              <w:jc w:val="right"/>
              <w:rPr>
                <w:color w:val="000000"/>
              </w:rPr>
            </w:pPr>
            <w:r w:rsidRPr="00CC66A8">
              <w:rPr>
                <w:color w:val="000000"/>
              </w:rPr>
              <w:t>23</w:t>
            </w:r>
          </w:p>
        </w:tc>
        <w:tc>
          <w:tcPr>
            <w:tcW w:w="1620" w:type="dxa"/>
            <w:tcBorders>
              <w:top w:val="nil"/>
              <w:left w:val="nil"/>
              <w:bottom w:val="nil"/>
              <w:right w:val="nil"/>
            </w:tcBorders>
            <w:shd w:val="clear" w:color="auto" w:fill="auto"/>
            <w:noWrap/>
            <w:vAlign w:val="bottom"/>
            <w:hideMark/>
          </w:tcPr>
          <w:p w14:paraId="6D9044EF" w14:textId="77777777" w:rsidR="003C5EA3" w:rsidRPr="00CC66A8" w:rsidRDefault="003C5EA3" w:rsidP="00C252BE">
            <w:pPr>
              <w:jc w:val="right"/>
              <w:rPr>
                <w:color w:val="000000"/>
              </w:rPr>
            </w:pPr>
          </w:p>
        </w:tc>
        <w:tc>
          <w:tcPr>
            <w:tcW w:w="1710" w:type="dxa"/>
            <w:tcBorders>
              <w:top w:val="nil"/>
              <w:left w:val="nil"/>
              <w:bottom w:val="nil"/>
              <w:right w:val="nil"/>
            </w:tcBorders>
            <w:shd w:val="clear" w:color="auto" w:fill="auto"/>
            <w:noWrap/>
            <w:vAlign w:val="bottom"/>
            <w:hideMark/>
          </w:tcPr>
          <w:p w14:paraId="52B17DAF" w14:textId="77777777" w:rsidR="003C5EA3" w:rsidRPr="00CC66A8" w:rsidRDefault="003C5EA3" w:rsidP="00C252BE">
            <w:pPr>
              <w:rPr>
                <w:color w:val="000000"/>
              </w:rPr>
            </w:pPr>
            <w:r w:rsidRPr="00CC66A8">
              <w:rPr>
                <w:color w:val="000000"/>
              </w:rPr>
              <w:t xml:space="preserve"> $    492,178 </w:t>
            </w:r>
          </w:p>
        </w:tc>
      </w:tr>
    </w:tbl>
    <w:p w14:paraId="19AD3A61" w14:textId="18C08576" w:rsidR="00503672" w:rsidRDefault="008E3883" w:rsidP="00DB4F7A">
      <w:pPr>
        <w:keepNext/>
        <w:rPr>
          <w:rFonts w:eastAsia="STSong"/>
        </w:rPr>
      </w:pPr>
      <w:proofErr w:type="spellStart"/>
      <w:r w:rsidRPr="008E3883">
        <w:rPr>
          <w:b/>
          <w:bCs/>
          <w:vertAlign w:val="superscript"/>
        </w:rPr>
        <w:lastRenderedPageBreak/>
        <w:t>a</w:t>
      </w:r>
      <w:r>
        <w:rPr>
          <w:rFonts w:eastAsia="STSong"/>
        </w:rPr>
        <w:t>S</w:t>
      </w:r>
      <w:r w:rsidRPr="00DB79E9">
        <w:rPr>
          <w:rFonts w:eastAsia="STSong"/>
        </w:rPr>
        <w:t>alary</w:t>
      </w:r>
      <w:proofErr w:type="spellEnd"/>
      <w:r w:rsidRPr="00DB79E9">
        <w:rPr>
          <w:rFonts w:eastAsia="STSong"/>
        </w:rPr>
        <w:t xml:space="preserve"> estimates were drawn from national data adjusted for geographic region</w:t>
      </w:r>
      <w:r w:rsidRPr="00DB79E9">
        <w:rPr>
          <w:rFonts w:eastAsia="STSong"/>
        </w:rPr>
        <w:fldChar w:fldCharType="begin"/>
      </w:r>
      <w:r>
        <w:rPr>
          <w:rFonts w:eastAsia="STSong"/>
        </w:rPr>
        <w:instrText xml:space="preserve"> ADDIN ZOTERO_ITEM CSL_CITATION {"citationID":"1rTiASn0","properties":{"formattedCitation":"\\super 1\\nosupersub{}","plainCitation":"1","noteIndex":0},"citationItems":[{"id":1567,"uris":["http://zotero.org/users/5180324/items/QULPSEIT"],"uri":["http://zotero.org/users/5180324/items/QULPSEIT"],"itemData":{"id":1567,"type":"webpage","container-title":"U.S. Bureau of Labor Statistics","title":"May 2018 Metropolitan and Nonmetropolitan Area Occupational Employment and Wage Estimates: San Jose-Sunnyvale-Santa Clara, CA","URL":"https://www.bls.gov/oes/2018/may/oes_41940.htm#(4)","accessed":{"date-parts":[["2020",2,21]]},"issued":{"date-parts":[["2019",3,29]]}}}],"schema":"https://github.com/citation-style-language/schema/raw/master/csl-citation.json"} </w:instrText>
      </w:r>
      <w:r w:rsidRPr="00DB79E9">
        <w:rPr>
          <w:rFonts w:eastAsia="STSong"/>
        </w:rPr>
        <w:fldChar w:fldCharType="separate"/>
      </w:r>
      <w:r w:rsidRPr="008E3883">
        <w:rPr>
          <w:vertAlign w:val="superscript"/>
        </w:rPr>
        <w:t>1</w:t>
      </w:r>
      <w:r w:rsidRPr="00DB79E9">
        <w:rPr>
          <w:rFonts w:eastAsia="STSong"/>
        </w:rPr>
        <w:fldChar w:fldCharType="end"/>
      </w:r>
      <w:r w:rsidRPr="00DB79E9">
        <w:rPr>
          <w:rFonts w:eastAsia="STSong"/>
        </w:rPr>
        <w:t xml:space="preserve"> and include a 37.8% upward adjustment to account for employee benefits.</w:t>
      </w:r>
      <w:r w:rsidRPr="00DB79E9">
        <w:rPr>
          <w:rFonts w:eastAsia="STSong"/>
        </w:rPr>
        <w:fldChar w:fldCharType="begin"/>
      </w:r>
      <w:r>
        <w:rPr>
          <w:rFonts w:eastAsia="STSong"/>
        </w:rPr>
        <w:instrText xml:space="preserve"> ADDIN ZOTERO_ITEM CSL_CITATION {"citationID":"ob2XpnKQ","properties":{"formattedCitation":"\\super 2\\nosupersub{}","plainCitation":"2","noteIndex":0},"citationItems":[{"id":1568,"uris":["http://zotero.org/users/5180324/items/RE7TKYSC"],"uri":["http://zotero.org/users/5180324/items/RE7TKYSC"],"itemData":{"id":1568,"type":"webpage","abstract":"State and local government worker compensation costs for employers averaged $52.45 per hour worked in\nMarch 2020. Wages and salaries averaged $32.62 and accounted for 62.2 percent of employer costs, while\nbenefit costs averaged $19.82 and accounted for 37.8 percent. Total comp","container-title":"U.S. Bureau of Labor Statistics","title":"News Release: Employer Costs for Employee Compensation - March 2020","URL":"www.bls.gov/news.release/pdf/ecec.pdf","accessed":{"date-parts":[["2020",2,21]]},"issued":{"date-parts":[["2020",3]]}}}],"schema":"https://github.com/citation-style-language/schema/raw/master/csl-citation.json"} </w:instrText>
      </w:r>
      <w:r w:rsidRPr="00DB79E9">
        <w:rPr>
          <w:rFonts w:eastAsia="STSong"/>
        </w:rPr>
        <w:fldChar w:fldCharType="separate"/>
      </w:r>
      <w:r w:rsidRPr="008E3883">
        <w:rPr>
          <w:vertAlign w:val="superscript"/>
        </w:rPr>
        <w:t>2</w:t>
      </w:r>
      <w:r w:rsidRPr="00DB79E9">
        <w:rPr>
          <w:rFonts w:eastAsia="STSong"/>
        </w:rPr>
        <w:fldChar w:fldCharType="end"/>
      </w:r>
      <w:r w:rsidRPr="00DB79E9">
        <w:rPr>
          <w:rFonts w:eastAsia="STSong"/>
        </w:rPr>
        <w:t xml:space="preserve"> </w:t>
      </w:r>
    </w:p>
    <w:p w14:paraId="2316AD39" w14:textId="38001682" w:rsidR="006C0AEA" w:rsidRDefault="006C0AEA" w:rsidP="008E3883">
      <w:pPr>
        <w:keepNext/>
        <w:spacing w:line="480" w:lineRule="auto"/>
        <w:rPr>
          <w:rFonts w:eastAsia="STSong"/>
        </w:rPr>
      </w:pPr>
    </w:p>
    <w:p w14:paraId="3323F4BD" w14:textId="3510BAD7" w:rsidR="006C0AEA" w:rsidRPr="00DB4F7A" w:rsidRDefault="006C0AEA" w:rsidP="008E3883">
      <w:pPr>
        <w:keepNext/>
        <w:spacing w:line="480" w:lineRule="auto"/>
        <w:rPr>
          <w:rFonts w:eastAsia="STSong"/>
          <w:b/>
          <w:bCs/>
        </w:rPr>
      </w:pPr>
      <w:r w:rsidRPr="00DB4F7A">
        <w:rPr>
          <w:rFonts w:eastAsia="STSong"/>
          <w:b/>
          <w:bCs/>
        </w:rPr>
        <w:t xml:space="preserve">Appendix F: Limitations of Return </w:t>
      </w:r>
      <w:proofErr w:type="gramStart"/>
      <w:r w:rsidRPr="00DB4F7A">
        <w:rPr>
          <w:rFonts w:eastAsia="STSong"/>
          <w:b/>
          <w:bCs/>
        </w:rPr>
        <w:t>On</w:t>
      </w:r>
      <w:proofErr w:type="gramEnd"/>
      <w:r w:rsidRPr="00DB4F7A">
        <w:rPr>
          <w:rFonts w:eastAsia="STSong"/>
          <w:b/>
          <w:bCs/>
        </w:rPr>
        <w:t xml:space="preserve"> Investment Calculations</w:t>
      </w:r>
    </w:p>
    <w:p w14:paraId="1F3D5C31" w14:textId="753FE8D2" w:rsidR="006C0AEA" w:rsidRDefault="006C0AEA" w:rsidP="00C51A96">
      <w:pPr>
        <w:keepNext/>
        <w:ind w:firstLine="720"/>
        <w:rPr>
          <w:bCs/>
        </w:rPr>
      </w:pPr>
      <w:r>
        <w:rPr>
          <w:bCs/>
        </w:rPr>
        <w:t>The favorable ROI derived from interview data is included as a directional estimation only and must be interpreted with caution. Its focus on year one data without an available comparator leave findings susceptible to biases including regression to the mean or a return to baseline performance following incentive removal.</w:t>
      </w:r>
      <w:r w:rsidRPr="00DB79E9">
        <w:rPr>
          <w:rFonts w:eastAsia="STSong"/>
        </w:rPr>
        <w:fldChar w:fldCharType="begin"/>
      </w:r>
      <w:r w:rsidR="00DB4F7A">
        <w:rPr>
          <w:rFonts w:eastAsia="STSong"/>
        </w:rPr>
        <w:instrText xml:space="preserve"> ADDIN ZOTERO_ITEM CSL_CITATION {"citationID":"hEmB1oez","properties":{"formattedCitation":"\\super 3\\nosupersub{}","plainCitation":"3","noteIndex":0},"citationItems":[{"id":1694,"uris":["http://zotero.org/users/5180324/items/I6U2HT7Z"],"uri":["http://zotero.org/users/5180324/items/I6U2HT7Z"],"itemData":{"id":1694,"type":"article-journal","container-title":"BMJ","DOI":"10.1136/bmj.c1898","ISSN":"0959-8138, 1468-5833","issue":"may11 1","language":"en","page":"c1898-c1898","source":"Crossref","title":"The impact of removing financial incentives from clinical quality indicators: longitudinal analysis of four Kaiser Permanente indicators","title-short":"The impact of removing financial incentives from clinical quality indicators","URL":"http://www.bmj.com/cgi/doi/10.1136/bmj.c1898","volume":"340","author":[{"family":"Lester","given":"H."},{"family":"Schmittdiel","given":"J."},{"family":"Selby","given":"J."},{"family":"Fireman","given":"B."},{"family":"Campbell","given":"S."},{"family":"Lee","given":"J."},{"family":"Whippy","given":"A."},{"family":"Madvig","given":"P."}],"accessed":{"date-parts":[["2020",8,18]]},"issued":{"date-parts":[["2010",5,11]]}}}],"schema":"https://github.com/citation-style-language/schema/raw/master/csl-citation.json"} </w:instrText>
      </w:r>
      <w:r w:rsidRPr="00DB79E9">
        <w:rPr>
          <w:rFonts w:eastAsia="STSong"/>
        </w:rPr>
        <w:fldChar w:fldCharType="separate"/>
      </w:r>
      <w:r w:rsidR="00DB4F7A" w:rsidRPr="00DB4F7A">
        <w:rPr>
          <w:vertAlign w:val="superscript"/>
        </w:rPr>
        <w:t>3</w:t>
      </w:r>
      <w:r w:rsidRPr="00DB79E9">
        <w:rPr>
          <w:rFonts w:eastAsia="STSong"/>
        </w:rPr>
        <w:fldChar w:fldCharType="end"/>
      </w:r>
      <w:r>
        <w:rPr>
          <w:bCs/>
        </w:rPr>
        <w:t xml:space="preserve"> We also note significant physician and other clinical support staff time were uncompensated and therefore not included in the estimate. Furthermore, these cost-reduction efforts do not directly translate to the bottom line from the health system’s perspective.</w:t>
      </w:r>
      <w:r>
        <w:rPr>
          <w:bCs/>
        </w:rPr>
        <w:fldChar w:fldCharType="begin"/>
      </w:r>
      <w:r w:rsidR="00DB4F7A">
        <w:rPr>
          <w:bCs/>
        </w:rPr>
        <w:instrText xml:space="preserve"> ADDIN ZOTERO_ITEM CSL_CITATION {"citationID":"EwHJ07Gf","properties":{"formattedCitation":"\\super 4\\nosupersub{}","plainCitation":"4","noteIndex":0},"citationItems":[{"id":1640,"uris":["http://zotero.org/users/5180324/items/HN3PFT5A"],"uri":["http://zotero.org/users/5180324/items/HN3PFT5A"],"itemData":{"id":1640,"type":"article-journal","abstract":"PROBLEM: Many health care systems in the United States are shifting from a fee-for-service reimbursement model to a value-based payment model. To remain competitive, health care administrators must engage frontline clinicians in their efforts to reduce costs and improve patient outcomes. Engaging physicians and other clinicians is challenging, however, as many feel overwhelmed with clinical responsibilities and do not view cost reduction as in their purview. Even if they are willing, providing a direct financial incentive to clinicians to control costs poses ethical and legal challenges. An effective incentive in the current system must motivate clinicians to engage in creative problem solving and mitigate ethical and legal risk.\nAPPROACH: Evidence suggests the most successful behavior change interventions in physicians are multi-faceted and combine intrinsic motivators, such as increased autonomy, with extrinsic motivators, such as access to funding or social recognition. Two academic health centers-the University of Utah Health and Stanford Health Care-have begun experimenting with an alternative value-sharing arrangement. Physician-directed reinvestment is an explicit agreement in which a health care system reinvests a portion of savings attributed to physician-led cost reduction initiatives back into areas of the physician's choosing, such as capital investment, research, or education.\nOUTCOMES: Both organizations reported similar positive outcomes, including increased engagement from clinicians and administrators, sustained or improved quality of care, reduced costs of care, and benefits from reinvested funds. Many savings opportunities were previously unknown to administrators.\nNEXT STEPS: Physician-directed reinvestment appears to effectively engage physicians in ongoing efforts to improve value in health care, although formal evaluation is still needed. This incentive structure may hold promise in other configurations, such as inviting non-physicians to apply as project leaders (clinician-directed reinvestment) and expanding the program to non-academic and ambulatory settings.","container-title":"Academic Medicine: Journal of the Association of American Medical Colleges","DOI":"10.1097/ACM.0000000000003650","ISSN":"1938-808X","journalAbbreviation":"Acad Med","language":"eng","note":"PMID: 32739931","source":"PubMed","title":"An Incentive to Innovate: Improving Health Care Value and Restoring Physician Autonomy Through Physician-Directed Reinvestment","title-short":"An Incentive to Innovate","author":[{"family":"Vilendrer","given":"Stacie M."},{"family":"Asch","given":"Steven M."},{"family":"Anzai","given":"Yoshimi"},{"family":"Maggio","given":"Paul"}],"issued":{"date-parts":[["2020",7,28]]}}}],"schema":"https://github.com/citation-style-language/schema/raw/master/csl-citation.json"} </w:instrText>
      </w:r>
      <w:r>
        <w:rPr>
          <w:bCs/>
        </w:rPr>
        <w:fldChar w:fldCharType="separate"/>
      </w:r>
      <w:r w:rsidR="00DB4F7A" w:rsidRPr="00DB4F7A">
        <w:rPr>
          <w:vertAlign w:val="superscript"/>
        </w:rPr>
        <w:t>4</w:t>
      </w:r>
      <w:r>
        <w:rPr>
          <w:bCs/>
        </w:rPr>
        <w:fldChar w:fldCharType="end"/>
      </w:r>
      <w:r>
        <w:rPr>
          <w:bCs/>
        </w:rPr>
        <w:t xml:space="preserve"> Actual financial outcomes will vary depending on the detailed circumstances of each individual project, particularly in the contractually-obligated reimbursements for health services that can vary widely between payers; because of this difference, some efforts may be cost-saving from an internal accounting perspective but ultimately reduce incoming revenue (e.g. recognizing when a patient </w:t>
      </w:r>
      <w:r w:rsidR="00522CDF">
        <w:rPr>
          <w:bCs/>
        </w:rPr>
        <w:t>whose insurance operates within</w:t>
      </w:r>
      <w:r w:rsidR="000F6FF3">
        <w:rPr>
          <w:bCs/>
        </w:rPr>
        <w:t xml:space="preserve"> </w:t>
      </w:r>
      <w:r w:rsidR="00522CDF">
        <w:rPr>
          <w:bCs/>
        </w:rPr>
        <w:t xml:space="preserve">the fee-for-service model </w:t>
      </w:r>
      <w:r>
        <w:rPr>
          <w:bCs/>
        </w:rPr>
        <w:t xml:space="preserve">can be de-escalated from the intensive care unit to a floor bed). Despite this ongoing challenge, the administrator </w:t>
      </w:r>
      <w:proofErr w:type="gramStart"/>
      <w:r>
        <w:rPr>
          <w:bCs/>
        </w:rPr>
        <w:t>support</w:t>
      </w:r>
      <w:proofErr w:type="gramEnd"/>
      <w:r>
        <w:rPr>
          <w:bCs/>
        </w:rPr>
        <w:t xml:space="preserve"> of the program documented in these interviews reveals the degree to which local leaders support the need to prepare for a value-oriented reimbursement environment.  </w:t>
      </w:r>
    </w:p>
    <w:p w14:paraId="1DE73461" w14:textId="77777777" w:rsidR="00B63358" w:rsidRDefault="00B63358" w:rsidP="006C0AEA">
      <w:pPr>
        <w:keepNext/>
        <w:spacing w:line="480" w:lineRule="auto"/>
        <w:ind w:firstLine="720"/>
        <w:rPr>
          <w:bCs/>
        </w:rPr>
      </w:pPr>
    </w:p>
    <w:p w14:paraId="54927414" w14:textId="0E0DF75E" w:rsidR="00503672" w:rsidRDefault="006C0AEA">
      <w:pPr>
        <w:rPr>
          <w:b/>
          <w:bCs/>
          <w:u w:val="single"/>
        </w:rPr>
      </w:pPr>
      <w:r>
        <w:rPr>
          <w:b/>
          <w:bCs/>
          <w:u w:val="single"/>
        </w:rPr>
        <w:t>References</w:t>
      </w:r>
      <w:r w:rsidR="00DB4F7A">
        <w:rPr>
          <w:b/>
          <w:bCs/>
          <w:u w:val="single"/>
        </w:rPr>
        <w:t xml:space="preserve"> </w:t>
      </w:r>
    </w:p>
    <w:p w14:paraId="1278C518" w14:textId="77777777" w:rsidR="00DB4F7A" w:rsidRDefault="00DB4F7A" w:rsidP="00DB4F7A">
      <w:pPr>
        <w:keepNext/>
        <w:rPr>
          <w:rFonts w:eastAsia="STSong"/>
        </w:rPr>
      </w:pPr>
    </w:p>
    <w:p w14:paraId="023DA550" w14:textId="77777777" w:rsidR="00DB4F7A" w:rsidRPr="00DB4F7A" w:rsidRDefault="00DB4F7A" w:rsidP="00DB4F7A">
      <w:pPr>
        <w:pStyle w:val="Bibliography"/>
      </w:pPr>
      <w:r>
        <w:rPr>
          <w:rFonts w:eastAsia="STSong"/>
        </w:rPr>
        <w:fldChar w:fldCharType="begin"/>
      </w:r>
      <w:r>
        <w:rPr>
          <w:rFonts w:eastAsia="STSong"/>
        </w:rPr>
        <w:instrText xml:space="preserve"> ADDIN ZOTERO_BIBL {"uncited":[],"omitted":[],"custom":[]} CSL_BIBLIOGRAPHY </w:instrText>
      </w:r>
      <w:r>
        <w:rPr>
          <w:rFonts w:eastAsia="STSong"/>
        </w:rPr>
        <w:fldChar w:fldCharType="separate"/>
      </w:r>
      <w:r w:rsidRPr="00DB4F7A">
        <w:t xml:space="preserve">1. </w:t>
      </w:r>
      <w:r w:rsidRPr="00DB4F7A">
        <w:tab/>
        <w:t>May 2018 Metropolitan and Nonmetropolitan Area Occupational Employment and Wage Estimates: San Jose-Sunnyvale-Santa Clara, CA. U.S. Bureau of Labor Statistics. Published March 29, 2019. Accessed February 21, 2020. https://www.bls.gov/oes/2018/may/oes_41940.htm#(4)</w:t>
      </w:r>
    </w:p>
    <w:p w14:paraId="11FB98A0" w14:textId="77777777" w:rsidR="00DB4F7A" w:rsidRPr="00DB4F7A" w:rsidRDefault="00DB4F7A" w:rsidP="00DB4F7A">
      <w:pPr>
        <w:pStyle w:val="Bibliography"/>
      </w:pPr>
      <w:r w:rsidRPr="00DB4F7A">
        <w:t xml:space="preserve">2. </w:t>
      </w:r>
      <w:r w:rsidRPr="00DB4F7A">
        <w:tab/>
        <w:t>News Release: Employer Costs for Employee Compensation - March 2020. U.S. Bureau of Labor Statistics. Published March 2020. Accessed February 21, 2020. www.bls.gov/news.release/pdf/ecec.pdf</w:t>
      </w:r>
    </w:p>
    <w:p w14:paraId="7C1AEC32" w14:textId="77777777" w:rsidR="00DB4F7A" w:rsidRPr="00DB4F7A" w:rsidRDefault="00DB4F7A" w:rsidP="00DB4F7A">
      <w:pPr>
        <w:pStyle w:val="Bibliography"/>
      </w:pPr>
      <w:r w:rsidRPr="00DB4F7A">
        <w:t xml:space="preserve">3. </w:t>
      </w:r>
      <w:r w:rsidRPr="00DB4F7A">
        <w:tab/>
        <w:t xml:space="preserve">Lester H, Schmittdiel J, Selby J, et al. The impact of removing financial incentives from clinical quality indicators: longitudinal analysis of four Kaiser Permanente indicators. </w:t>
      </w:r>
      <w:r w:rsidRPr="00DB4F7A">
        <w:rPr>
          <w:i/>
          <w:iCs/>
        </w:rPr>
        <w:t>BMJ</w:t>
      </w:r>
      <w:r w:rsidRPr="00DB4F7A">
        <w:t>. 2010;340(may11 1):c1898-c1898. doi:10.1136/bmj.c1898</w:t>
      </w:r>
    </w:p>
    <w:p w14:paraId="2FE4223E" w14:textId="77777777" w:rsidR="00DB4F7A" w:rsidRPr="00DB4F7A" w:rsidRDefault="00DB4F7A" w:rsidP="00DB4F7A">
      <w:pPr>
        <w:pStyle w:val="Bibliography"/>
      </w:pPr>
      <w:r w:rsidRPr="00DB4F7A">
        <w:t xml:space="preserve">4. </w:t>
      </w:r>
      <w:r w:rsidRPr="00DB4F7A">
        <w:tab/>
        <w:t xml:space="preserve">Vilendrer SM, Asch SM, Anzai Y, Maggio P. An Incentive to Innovate: Improving Health Care Value and Restoring Physician Autonomy Through Physician-Directed Reinvestment. </w:t>
      </w:r>
      <w:r w:rsidRPr="00DB4F7A">
        <w:rPr>
          <w:i/>
          <w:iCs/>
        </w:rPr>
        <w:t>Acad Med</w:t>
      </w:r>
      <w:r w:rsidRPr="00DB4F7A">
        <w:t>. Published online July 28, 2020. doi:10.1097/ACM.0000000000003650</w:t>
      </w:r>
    </w:p>
    <w:p w14:paraId="48D79A47" w14:textId="5E026389" w:rsidR="00DB4F7A" w:rsidRDefault="00DB4F7A" w:rsidP="00DB4F7A">
      <w:pPr>
        <w:rPr>
          <w:b/>
          <w:bCs/>
          <w:u w:val="single"/>
        </w:rPr>
      </w:pPr>
      <w:r>
        <w:rPr>
          <w:rFonts w:eastAsia="STSong"/>
        </w:rPr>
        <w:lastRenderedPageBreak/>
        <w:fldChar w:fldCharType="end"/>
      </w:r>
    </w:p>
    <w:p w14:paraId="0D084644" w14:textId="117C5208" w:rsidR="006C0AEA" w:rsidRDefault="006C0AEA">
      <w:pPr>
        <w:rPr>
          <w:b/>
          <w:bCs/>
          <w:u w:val="single"/>
        </w:rPr>
      </w:pPr>
    </w:p>
    <w:p w14:paraId="6963C0A4" w14:textId="77777777" w:rsidR="006C0AEA" w:rsidRPr="00503672" w:rsidRDefault="006C0AEA">
      <w:pPr>
        <w:rPr>
          <w:b/>
          <w:bCs/>
          <w:u w:val="single"/>
        </w:rPr>
      </w:pPr>
    </w:p>
    <w:sectPr w:rsidR="006C0AEA" w:rsidRPr="00503672" w:rsidSect="0008131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TSong">
    <w:altName w:val="Microsoft YaHei"/>
    <w:charset w:val="86"/>
    <w:family w:val="auto"/>
    <w:pitch w:val="variable"/>
    <w:sig w:usb0="80000287" w:usb1="280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009B"/>
    <w:multiLevelType w:val="hybridMultilevel"/>
    <w:tmpl w:val="ACAE0E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F0AD1"/>
    <w:multiLevelType w:val="hybridMultilevel"/>
    <w:tmpl w:val="963C15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A0"/>
    <w:rsid w:val="00005755"/>
    <w:rsid w:val="0000621B"/>
    <w:rsid w:val="00022E04"/>
    <w:rsid w:val="000813D5"/>
    <w:rsid w:val="000D3DD9"/>
    <w:rsid w:val="000F6FF3"/>
    <w:rsid w:val="001035DB"/>
    <w:rsid w:val="00114E70"/>
    <w:rsid w:val="00126EE5"/>
    <w:rsid w:val="00154D13"/>
    <w:rsid w:val="00161A64"/>
    <w:rsid w:val="00170F7F"/>
    <w:rsid w:val="001811DE"/>
    <w:rsid w:val="0019364A"/>
    <w:rsid w:val="001F234A"/>
    <w:rsid w:val="001F4A0D"/>
    <w:rsid w:val="00270B7D"/>
    <w:rsid w:val="0028785F"/>
    <w:rsid w:val="00297FD5"/>
    <w:rsid w:val="002A4767"/>
    <w:rsid w:val="002E0FFB"/>
    <w:rsid w:val="002E737E"/>
    <w:rsid w:val="003C5EA3"/>
    <w:rsid w:val="003D781A"/>
    <w:rsid w:val="00407273"/>
    <w:rsid w:val="00431EC7"/>
    <w:rsid w:val="00433973"/>
    <w:rsid w:val="004416BA"/>
    <w:rsid w:val="00493AD5"/>
    <w:rsid w:val="004C2C5D"/>
    <w:rsid w:val="004D1941"/>
    <w:rsid w:val="004F5574"/>
    <w:rsid w:val="00502072"/>
    <w:rsid w:val="00503672"/>
    <w:rsid w:val="00503FA0"/>
    <w:rsid w:val="00522CDF"/>
    <w:rsid w:val="0053207E"/>
    <w:rsid w:val="005812E7"/>
    <w:rsid w:val="00584CF4"/>
    <w:rsid w:val="005868DA"/>
    <w:rsid w:val="0059336F"/>
    <w:rsid w:val="005C2D8A"/>
    <w:rsid w:val="005D25BE"/>
    <w:rsid w:val="00645417"/>
    <w:rsid w:val="00651AC2"/>
    <w:rsid w:val="00653AB5"/>
    <w:rsid w:val="0065400C"/>
    <w:rsid w:val="00664358"/>
    <w:rsid w:val="006731F6"/>
    <w:rsid w:val="006B1918"/>
    <w:rsid w:val="006B1978"/>
    <w:rsid w:val="006C0AEA"/>
    <w:rsid w:val="006D56D6"/>
    <w:rsid w:val="006D578C"/>
    <w:rsid w:val="006E118C"/>
    <w:rsid w:val="006F7CF2"/>
    <w:rsid w:val="00700077"/>
    <w:rsid w:val="007159E2"/>
    <w:rsid w:val="007216EB"/>
    <w:rsid w:val="00726DC5"/>
    <w:rsid w:val="00730AEE"/>
    <w:rsid w:val="00741BC9"/>
    <w:rsid w:val="00752192"/>
    <w:rsid w:val="00775068"/>
    <w:rsid w:val="00792C45"/>
    <w:rsid w:val="00834916"/>
    <w:rsid w:val="008629CA"/>
    <w:rsid w:val="00897151"/>
    <w:rsid w:val="008971A3"/>
    <w:rsid w:val="008B60BC"/>
    <w:rsid w:val="008E3883"/>
    <w:rsid w:val="00927988"/>
    <w:rsid w:val="00977B6B"/>
    <w:rsid w:val="0098687F"/>
    <w:rsid w:val="009A7474"/>
    <w:rsid w:val="009B66D1"/>
    <w:rsid w:val="009F120E"/>
    <w:rsid w:val="009F18B8"/>
    <w:rsid w:val="009F3EB3"/>
    <w:rsid w:val="00A12574"/>
    <w:rsid w:val="00A21D51"/>
    <w:rsid w:val="00A4253D"/>
    <w:rsid w:val="00A66D8D"/>
    <w:rsid w:val="00A759F0"/>
    <w:rsid w:val="00AE6B3E"/>
    <w:rsid w:val="00B63358"/>
    <w:rsid w:val="00B843BC"/>
    <w:rsid w:val="00BA0D4D"/>
    <w:rsid w:val="00BA6C7B"/>
    <w:rsid w:val="00BF56E3"/>
    <w:rsid w:val="00C23F8F"/>
    <w:rsid w:val="00C37C7D"/>
    <w:rsid w:val="00C51A96"/>
    <w:rsid w:val="00C83222"/>
    <w:rsid w:val="00C87583"/>
    <w:rsid w:val="00CB3A0B"/>
    <w:rsid w:val="00CC3594"/>
    <w:rsid w:val="00CC66A8"/>
    <w:rsid w:val="00D060B5"/>
    <w:rsid w:val="00D175CB"/>
    <w:rsid w:val="00D20202"/>
    <w:rsid w:val="00D244C9"/>
    <w:rsid w:val="00D34BB6"/>
    <w:rsid w:val="00D47BAA"/>
    <w:rsid w:val="00D5628B"/>
    <w:rsid w:val="00D7727C"/>
    <w:rsid w:val="00D802F3"/>
    <w:rsid w:val="00DA59E4"/>
    <w:rsid w:val="00DB4F7A"/>
    <w:rsid w:val="00E233FD"/>
    <w:rsid w:val="00E626C0"/>
    <w:rsid w:val="00EA3C62"/>
    <w:rsid w:val="00EA3EE7"/>
    <w:rsid w:val="00EA7C78"/>
    <w:rsid w:val="00EB0237"/>
    <w:rsid w:val="00ED1BAF"/>
    <w:rsid w:val="00EE66C6"/>
    <w:rsid w:val="00F40128"/>
    <w:rsid w:val="00F401D5"/>
    <w:rsid w:val="00FC0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30B2"/>
  <w15:chartTrackingRefBased/>
  <w15:docId w15:val="{3D094A57-0D26-AB45-9977-2E5F7A3A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F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FA0"/>
    <w:pPr>
      <w:ind w:left="720"/>
      <w:contextualSpacing/>
    </w:pPr>
    <w:rPr>
      <w:rFonts w:eastAsiaTheme="minorEastAsia"/>
      <w:lang w:eastAsia="zh-CN"/>
    </w:rPr>
  </w:style>
  <w:style w:type="paragraph" w:styleId="Bibliography">
    <w:name w:val="Bibliography"/>
    <w:basedOn w:val="Normal"/>
    <w:next w:val="Normal"/>
    <w:uiPriority w:val="37"/>
    <w:unhideWhenUsed/>
    <w:rsid w:val="004D1941"/>
    <w:pPr>
      <w:tabs>
        <w:tab w:val="left" w:pos="380"/>
      </w:tabs>
      <w:spacing w:after="240"/>
      <w:ind w:left="384" w:hanging="384"/>
    </w:pPr>
  </w:style>
  <w:style w:type="character" w:styleId="Hyperlink">
    <w:name w:val="Hyperlink"/>
    <w:basedOn w:val="DefaultParagraphFont"/>
    <w:uiPriority w:val="99"/>
    <w:unhideWhenUsed/>
    <w:rsid w:val="008E3883"/>
    <w:rPr>
      <w:color w:val="0563C1" w:themeColor="hyperlink"/>
      <w:u w:val="single"/>
    </w:rPr>
  </w:style>
  <w:style w:type="character" w:styleId="UnresolvedMention">
    <w:name w:val="Unresolved Mention"/>
    <w:basedOn w:val="DefaultParagraphFont"/>
    <w:uiPriority w:val="99"/>
    <w:semiHidden/>
    <w:unhideWhenUsed/>
    <w:rsid w:val="008E3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2582</Words>
  <Characters>14723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Vilendrer</dc:creator>
  <cp:keywords/>
  <dc:description/>
  <cp:lastModifiedBy>Lee, Boon</cp:lastModifiedBy>
  <cp:revision>2</cp:revision>
  <dcterms:created xsi:type="dcterms:W3CDTF">2022-03-31T21:17:00Z</dcterms:created>
  <dcterms:modified xsi:type="dcterms:W3CDTF">2022-03-31T21:17:00Z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id="M1fWA004"/&gt;&lt;style id="http://www.zotero.org/styles/american-medical-association" hasBibliography="1" bibliographyStyleHasBeenSet="1"/&gt;&lt;prefs&gt;&lt;pref name="fieldType" value="Field"/&gt;&lt;/prefs&gt;&lt;/data</vt:lpwstr>
  </property>
  <property fmtid="{D5CDD505-2E9C-101B-9397-08002B2CF9AE}" pid="3" name="ZOTERO_PREF_2">
    <vt:lpwstr>&gt;</vt:lpwstr>
  </property>
</Properties>
</file>