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A9438" w14:textId="4E37C063" w:rsidR="00C64D33" w:rsidRPr="00C64D33" w:rsidRDefault="00C64D33" w:rsidP="00C64D33">
      <w:pPr>
        <w:jc w:val="center"/>
        <w:rPr>
          <w:sz w:val="32"/>
          <w:szCs w:val="32"/>
          <w:lang w:eastAsia="zh-CN"/>
        </w:rPr>
      </w:pPr>
      <w:r w:rsidRPr="00C64D33">
        <w:rPr>
          <w:rFonts w:hint="eastAsia"/>
          <w:sz w:val="32"/>
          <w:szCs w:val="32"/>
          <w:lang w:eastAsia="zh-CN"/>
        </w:rPr>
        <w:t>S</w:t>
      </w:r>
      <w:r w:rsidRPr="00C64D33">
        <w:rPr>
          <w:sz w:val="32"/>
          <w:szCs w:val="32"/>
          <w:lang w:eastAsia="zh-CN"/>
        </w:rPr>
        <w:t>upplementary Materials</w:t>
      </w:r>
    </w:p>
    <w:p w14:paraId="4678A7B0" w14:textId="28A129BA" w:rsidR="00C64D33" w:rsidRDefault="00C64D33" w:rsidP="008F2926">
      <w:r>
        <w:rPr>
          <w:noProof/>
        </w:rPr>
        <w:drawing>
          <wp:inline distT="0" distB="0" distL="0" distR="0" wp14:anchorId="18648321" wp14:editId="1CFB2D56">
            <wp:extent cx="5274310" cy="3327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5571 Supplementary Figure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6179" w14:textId="7795BCCB" w:rsidR="008F2926" w:rsidRDefault="008F2926" w:rsidP="008F2926">
      <w:bookmarkStart w:id="0" w:name="_GoBack"/>
      <w:r w:rsidRPr="0074145B">
        <w:rPr>
          <w:color w:val="000000" w:themeColor="text1"/>
        </w:rPr>
        <w:t>Supplementary</w:t>
      </w:r>
      <w:bookmarkEnd w:id="0"/>
      <w:r w:rsidRPr="0074145B">
        <w:rPr>
          <w:color w:val="FF0000"/>
        </w:rPr>
        <w:t xml:space="preserve"> </w:t>
      </w:r>
      <w:r>
        <w:t xml:space="preserve">Figure 1. External validation of the ARG-related risk signature in CGGAseq1, CGGAseq2, and GSE16011 datasets. </w:t>
      </w:r>
    </w:p>
    <w:p w14:paraId="36510758" w14:textId="77777777" w:rsidR="008F2926" w:rsidRDefault="008F2926" w:rsidP="008F2926">
      <w:r>
        <w:t>A-C. The prognostic value of the risk signature in three external validation cohorts showed by Kaplan-Meier survival curves between high- and low-risk groups. D-F. ROC curves for predicting 1-, 3-, 5-year survival of glioma patients in external validation cohorts.</w:t>
      </w:r>
    </w:p>
    <w:p w14:paraId="5D939123" w14:textId="6B070BF7" w:rsidR="008F2926" w:rsidRDefault="008F2926" w:rsidP="008F2926">
      <w:pPr>
        <w:rPr>
          <w:color w:val="FF0000"/>
        </w:rPr>
      </w:pPr>
    </w:p>
    <w:p w14:paraId="0862E6C3" w14:textId="68A4A681" w:rsidR="00C64D33" w:rsidRDefault="00C64D33" w:rsidP="008F2926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F949FEC" wp14:editId="1285F115">
            <wp:extent cx="5274310" cy="69126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5571 Supplementary Figure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837" w14:textId="77777777" w:rsidR="008F2926" w:rsidRDefault="008F2926" w:rsidP="008F2926">
      <w:pPr>
        <w:rPr>
          <w:color w:val="FF0000"/>
          <w:lang w:eastAsia="zh-CN"/>
        </w:rPr>
      </w:pPr>
      <w:r w:rsidRPr="003A0C45">
        <w:rPr>
          <w:color w:val="FF0000"/>
        </w:rPr>
        <w:t xml:space="preserve">Supplementary Figure </w:t>
      </w:r>
      <w:r>
        <w:rPr>
          <w:color w:val="FF0000"/>
        </w:rPr>
        <w:t>2.</w:t>
      </w:r>
      <w:r w:rsidRPr="000557D1">
        <w:rPr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>The prognostic value of the ARG-related risk signature in primary glioma patients in the CGGAseq1 and CGGAseq2 validation cohorts.</w:t>
      </w:r>
    </w:p>
    <w:p w14:paraId="3CFA6A0E" w14:textId="77777777" w:rsidR="008F2926" w:rsidRDefault="008F2926" w:rsidP="008F2926">
      <w:p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A</w:t>
      </w:r>
      <w:r>
        <w:rPr>
          <w:color w:val="FF0000"/>
          <w:lang w:eastAsia="zh-CN"/>
        </w:rPr>
        <w:t xml:space="preserve">-B. </w:t>
      </w:r>
      <w:r w:rsidRPr="00413BC8">
        <w:rPr>
          <w:color w:val="FF0000"/>
          <w:lang w:eastAsia="zh-CN"/>
        </w:rPr>
        <w:t>Kaplan-Meier survival curves between high- and low-risk groups</w:t>
      </w:r>
      <w:r>
        <w:rPr>
          <w:color w:val="FF0000"/>
          <w:lang w:eastAsia="zh-CN"/>
        </w:rPr>
        <w:t>.</w:t>
      </w:r>
    </w:p>
    <w:p w14:paraId="6DC37E24" w14:textId="77777777" w:rsidR="008F2926" w:rsidRDefault="008F2926" w:rsidP="008F2926">
      <w:pPr>
        <w:rPr>
          <w:color w:val="FF0000"/>
        </w:rPr>
      </w:pPr>
      <w:r>
        <w:rPr>
          <w:rFonts w:hint="eastAsia"/>
          <w:color w:val="FF0000"/>
          <w:lang w:eastAsia="zh-CN"/>
        </w:rPr>
        <w:t>C</w:t>
      </w:r>
      <w:r>
        <w:rPr>
          <w:color w:val="FF0000"/>
          <w:lang w:eastAsia="zh-CN"/>
        </w:rPr>
        <w:t>-D. R</w:t>
      </w:r>
      <w:r w:rsidRPr="00413BC8">
        <w:rPr>
          <w:color w:val="FF0000"/>
        </w:rPr>
        <w:t xml:space="preserve">OC curves for predicting 1-, 3-, 5-year survival of </w:t>
      </w:r>
      <w:r>
        <w:rPr>
          <w:color w:val="FF0000"/>
        </w:rPr>
        <w:t xml:space="preserve">primary </w:t>
      </w:r>
      <w:r w:rsidRPr="00413BC8">
        <w:rPr>
          <w:color w:val="FF0000"/>
        </w:rPr>
        <w:t>glioma patient</w:t>
      </w:r>
      <w:r>
        <w:rPr>
          <w:color w:val="FF0000"/>
        </w:rPr>
        <w:t>s</w:t>
      </w:r>
      <w:r w:rsidRPr="00413BC8">
        <w:rPr>
          <w:color w:val="FF0000"/>
        </w:rPr>
        <w:t>.</w:t>
      </w:r>
    </w:p>
    <w:p w14:paraId="7FCB1553" w14:textId="77777777" w:rsidR="008F2926" w:rsidRPr="00413BC8" w:rsidRDefault="008F2926" w:rsidP="008F2926">
      <w:pPr>
        <w:rPr>
          <w:color w:val="FF0000"/>
          <w:lang w:eastAsia="zh-CN"/>
        </w:rPr>
      </w:pPr>
      <w:r>
        <w:rPr>
          <w:color w:val="FF0000"/>
          <w:lang w:eastAsia="zh-CN"/>
        </w:rPr>
        <w:lastRenderedPageBreak/>
        <w:t>E-F.</w:t>
      </w:r>
      <w:r w:rsidRPr="00413BC8">
        <w:t xml:space="preserve"> </w:t>
      </w:r>
      <w:r w:rsidRPr="00413BC8">
        <w:rPr>
          <w:color w:val="FF0000"/>
          <w:lang w:eastAsia="zh-CN"/>
        </w:rPr>
        <w:t>Univariate and multivariate Cox regression analys</w:t>
      </w:r>
      <w:r>
        <w:rPr>
          <w:color w:val="FF0000"/>
          <w:lang w:eastAsia="zh-CN"/>
        </w:rPr>
        <w:t>e</w:t>
      </w:r>
      <w:r w:rsidRPr="00413BC8">
        <w:rPr>
          <w:color w:val="FF0000"/>
          <w:lang w:eastAsia="zh-CN"/>
        </w:rPr>
        <w:t>s</w:t>
      </w:r>
      <w:r>
        <w:rPr>
          <w:color w:val="FF0000"/>
          <w:lang w:eastAsia="zh-CN"/>
        </w:rPr>
        <w:t xml:space="preserve"> were used to further validate the independent prognostic ability of the ARG-related risk signature.</w:t>
      </w:r>
    </w:p>
    <w:p w14:paraId="2CFE00DF" w14:textId="377E6DC0" w:rsidR="008F2926" w:rsidRDefault="008F2926" w:rsidP="008F2926">
      <w:pPr>
        <w:rPr>
          <w:color w:val="FF0000"/>
        </w:rPr>
      </w:pPr>
    </w:p>
    <w:p w14:paraId="08451E4B" w14:textId="681346CF" w:rsidR="00C64D33" w:rsidRDefault="00C64D33" w:rsidP="008F2926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6905761" wp14:editId="741652C8">
            <wp:extent cx="5274310" cy="27216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5571 Supplementary Figure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3E42" w14:textId="6E5F1550" w:rsidR="008F2926" w:rsidRDefault="008F2926" w:rsidP="008F2926">
      <w:pPr>
        <w:rPr>
          <w:color w:val="FF0000"/>
        </w:rPr>
      </w:pPr>
      <w:r w:rsidRPr="003A0C45">
        <w:rPr>
          <w:color w:val="FF0000"/>
        </w:rPr>
        <w:t xml:space="preserve">Supplementary Figure </w:t>
      </w:r>
      <w:r>
        <w:rPr>
          <w:color w:val="FF0000"/>
        </w:rPr>
        <w:t>3</w:t>
      </w:r>
      <w:r w:rsidRPr="003A0C45">
        <w:rPr>
          <w:color w:val="FF0000"/>
        </w:rPr>
        <w:t>.</w:t>
      </w:r>
      <w:r>
        <w:rPr>
          <w:color w:val="FF0000"/>
        </w:rPr>
        <w:t xml:space="preserve"> T</w:t>
      </w:r>
      <w:r w:rsidRPr="00A53505">
        <w:rPr>
          <w:color w:val="FF0000"/>
        </w:rPr>
        <w:t xml:space="preserve">he </w:t>
      </w:r>
      <w:r>
        <w:rPr>
          <w:color w:val="FF0000"/>
        </w:rPr>
        <w:t xml:space="preserve">mRNA </w:t>
      </w:r>
      <w:r w:rsidRPr="00A53505">
        <w:rPr>
          <w:color w:val="FF0000"/>
        </w:rPr>
        <w:t xml:space="preserve">expression </w:t>
      </w:r>
      <w:r>
        <w:rPr>
          <w:color w:val="FF0000"/>
        </w:rPr>
        <w:t xml:space="preserve">level </w:t>
      </w:r>
      <w:r w:rsidRPr="00A53505">
        <w:rPr>
          <w:color w:val="FF0000"/>
        </w:rPr>
        <w:t>of identified ARGs in the high</w:t>
      </w:r>
      <w:r>
        <w:rPr>
          <w:color w:val="FF0000"/>
        </w:rPr>
        <w:t xml:space="preserve">- </w:t>
      </w:r>
      <w:r w:rsidRPr="00A53505">
        <w:rPr>
          <w:color w:val="FF0000"/>
        </w:rPr>
        <w:t>and low</w:t>
      </w:r>
      <w:r>
        <w:rPr>
          <w:color w:val="FF0000"/>
        </w:rPr>
        <w:t>-</w:t>
      </w:r>
      <w:r w:rsidRPr="00A53505">
        <w:rPr>
          <w:color w:val="FF0000"/>
        </w:rPr>
        <w:t xml:space="preserve">risk </w:t>
      </w:r>
      <w:r>
        <w:rPr>
          <w:color w:val="FF0000"/>
        </w:rPr>
        <w:t>groups</w:t>
      </w:r>
      <w:r w:rsidRPr="00A53505">
        <w:rPr>
          <w:color w:val="FF0000"/>
        </w:rPr>
        <w:t>.</w:t>
      </w:r>
    </w:p>
    <w:p w14:paraId="50C1A2C3" w14:textId="77777777" w:rsidR="00C64D33" w:rsidRDefault="00C64D33" w:rsidP="008F2926">
      <w:pPr>
        <w:rPr>
          <w:color w:val="FF0000"/>
        </w:rPr>
      </w:pPr>
    </w:p>
    <w:p w14:paraId="31853C40" w14:textId="25E4438A" w:rsidR="008F2926" w:rsidRDefault="00C64D33" w:rsidP="008F2926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0FFCC9D" wp14:editId="7FA169A7">
            <wp:extent cx="5274310" cy="54406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5571 Supplementary Figure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27A8" w14:textId="77777777" w:rsidR="008F2926" w:rsidRPr="003A0C45" w:rsidRDefault="008F2926" w:rsidP="008F2926">
      <w:pPr>
        <w:rPr>
          <w:color w:val="FF0000"/>
        </w:rPr>
      </w:pPr>
      <w:r w:rsidRPr="003A0C45">
        <w:rPr>
          <w:color w:val="FF0000"/>
        </w:rPr>
        <w:t xml:space="preserve">Supplementary Figure </w:t>
      </w:r>
      <w:r>
        <w:rPr>
          <w:color w:val="FF0000"/>
        </w:rPr>
        <w:t>4</w:t>
      </w:r>
      <w:r w:rsidRPr="003A0C45">
        <w:rPr>
          <w:color w:val="FF0000"/>
        </w:rPr>
        <w:t xml:space="preserve">. </w:t>
      </w:r>
      <w:r>
        <w:rPr>
          <w:color w:val="FF0000"/>
        </w:rPr>
        <w:t>IHC staining images of representative</w:t>
      </w:r>
      <w:r w:rsidRPr="003A0C45">
        <w:rPr>
          <w:color w:val="FF0000"/>
        </w:rPr>
        <w:t xml:space="preserve"> ARGs in low- and high-grade glioma</w:t>
      </w:r>
      <w:r>
        <w:rPr>
          <w:color w:val="FF0000"/>
        </w:rPr>
        <w:t xml:space="preserve"> samples</w:t>
      </w:r>
      <w:r w:rsidRPr="003A0C45">
        <w:rPr>
          <w:color w:val="FF0000"/>
        </w:rPr>
        <w:t xml:space="preserve"> from HPA database.</w:t>
      </w:r>
    </w:p>
    <w:p w14:paraId="46AF5204" w14:textId="77777777" w:rsidR="008F2926" w:rsidRDefault="008F2926" w:rsidP="008F2926">
      <w:r>
        <w:t>A-H. The protein expression levels of the ARGs (including CHAF1B, CTSB, ANXA5, DIRAS3, ERBB2, NAMPT, VEGFA and TREM1) in high-grade glioma patients were significantly higher than those in patients with low-grade glioma. I. The protein expression level of BID in high-grade glioma patients were significantly lower than patients with low-grade glioma.</w:t>
      </w:r>
    </w:p>
    <w:p w14:paraId="4EEA3234" w14:textId="2F8DE0B1" w:rsidR="008F2926" w:rsidRDefault="008F2926" w:rsidP="008F2926"/>
    <w:p w14:paraId="70F1B592" w14:textId="5092AAA1" w:rsidR="00C64D33" w:rsidRDefault="00C64D33" w:rsidP="008F2926">
      <w:r>
        <w:rPr>
          <w:noProof/>
        </w:rPr>
        <w:lastRenderedPageBreak/>
        <w:drawing>
          <wp:inline distT="0" distB="0" distL="0" distR="0" wp14:anchorId="25A8CF96" wp14:editId="7ED4111B">
            <wp:extent cx="5274310" cy="6726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5571 Supplementary Figure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CB10" w14:textId="77777777" w:rsidR="008F2926" w:rsidRDefault="008F2926" w:rsidP="008F2926">
      <w:r w:rsidRPr="00A53505">
        <w:rPr>
          <w:color w:val="FF0000"/>
        </w:rPr>
        <w:t xml:space="preserve">Supplementary Figure </w:t>
      </w:r>
      <w:r>
        <w:rPr>
          <w:color w:val="FF0000"/>
        </w:rPr>
        <w:t>5</w:t>
      </w:r>
      <w:r w:rsidRPr="00A53505">
        <w:rPr>
          <w:color w:val="FF0000"/>
        </w:rPr>
        <w:t>.</w:t>
      </w:r>
      <w:r>
        <w:t xml:space="preserve"> External validation of the nomogram model in CGGAseq1, CGGAseq2, and GSE16011 datasets. </w:t>
      </w:r>
    </w:p>
    <w:p w14:paraId="2C3ED3F2" w14:textId="77777777" w:rsidR="008F2926" w:rsidRDefault="008F2926" w:rsidP="008F2926">
      <w:pPr>
        <w:pStyle w:val="EndNoteBibliography"/>
        <w:spacing w:line="480" w:lineRule="auto"/>
        <w:rPr>
          <w:rFonts w:cs="Times New Roman"/>
          <w:noProof w:val="0"/>
        </w:rPr>
      </w:pPr>
      <w:r w:rsidRPr="00E42625">
        <w:rPr>
          <w:rFonts w:cs="Times New Roman"/>
          <w:noProof w:val="0"/>
        </w:rPr>
        <w:t xml:space="preserve">A-C. Excellent predictive ability for the 1-, 3-, and 5-year survival rates showed by the AUC values of ROC curves in external validation datasets. </w:t>
      </w:r>
    </w:p>
    <w:p w14:paraId="0155A80F" w14:textId="77777777" w:rsidR="008F2926" w:rsidRPr="00E42625" w:rsidRDefault="008F2926" w:rsidP="008F2926">
      <w:pPr>
        <w:pStyle w:val="EndNoteBibliography"/>
        <w:spacing w:line="480" w:lineRule="auto"/>
        <w:rPr>
          <w:rFonts w:cs="Times New Roman"/>
          <w:noProof w:val="0"/>
        </w:rPr>
      </w:pPr>
      <w:r w:rsidRPr="00E42625">
        <w:rPr>
          <w:rFonts w:cs="Times New Roman"/>
          <w:noProof w:val="0"/>
        </w:rPr>
        <w:lastRenderedPageBreak/>
        <w:t>D-L. The calibration plots for the three validation cohorts showed excellent agreement between the nomogram prediction and actual survival proportion.</w:t>
      </w:r>
    </w:p>
    <w:p w14:paraId="24EDE4BF" w14:textId="77777777" w:rsidR="00DB4874" w:rsidRDefault="00DB4874"/>
    <w:sectPr w:rsidR="00DB48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3C83D" w14:textId="77777777" w:rsidR="000D0EB1" w:rsidRDefault="000D0EB1" w:rsidP="008F2926">
      <w:pPr>
        <w:spacing w:line="240" w:lineRule="auto"/>
      </w:pPr>
      <w:r>
        <w:separator/>
      </w:r>
    </w:p>
  </w:endnote>
  <w:endnote w:type="continuationSeparator" w:id="0">
    <w:p w14:paraId="1298810A" w14:textId="77777777" w:rsidR="000D0EB1" w:rsidRDefault="000D0EB1" w:rsidP="008F2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3F456" w14:textId="77777777" w:rsidR="000D0EB1" w:rsidRDefault="000D0EB1" w:rsidP="008F2926">
      <w:pPr>
        <w:spacing w:line="240" w:lineRule="auto"/>
      </w:pPr>
      <w:r>
        <w:separator/>
      </w:r>
    </w:p>
  </w:footnote>
  <w:footnote w:type="continuationSeparator" w:id="0">
    <w:p w14:paraId="5D90E062" w14:textId="77777777" w:rsidR="000D0EB1" w:rsidRDefault="000D0EB1" w:rsidP="008F29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E5"/>
    <w:rsid w:val="000D0EB1"/>
    <w:rsid w:val="006C57E5"/>
    <w:rsid w:val="0074145B"/>
    <w:rsid w:val="007F1639"/>
    <w:rsid w:val="008F2926"/>
    <w:rsid w:val="00C64D33"/>
    <w:rsid w:val="00DB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210A7"/>
  <w15:chartTrackingRefBased/>
  <w15:docId w15:val="{58E51577-7AD9-4ED1-A17D-EEE89FEEF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2926"/>
    <w:pPr>
      <w:spacing w:line="480" w:lineRule="auto"/>
    </w:pPr>
    <w:rPr>
      <w:rFonts w:ascii="Arial" w:eastAsia="等线" w:hAnsi="Arial" w:cs="Times New Roman"/>
      <w:kern w:val="0"/>
      <w:sz w:val="2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92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8F29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2926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8F2926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8F2926"/>
    <w:pPr>
      <w:spacing w:line="240" w:lineRule="auto"/>
    </w:pPr>
    <w:rPr>
      <w:rFonts w:cs="Arial"/>
      <w:noProof/>
    </w:rPr>
  </w:style>
  <w:style w:type="character" w:customStyle="1" w:styleId="EndNoteBibliography0">
    <w:name w:val="EndNote Bibliography 字符"/>
    <w:link w:val="EndNoteBibliography"/>
    <w:rsid w:val="008F2926"/>
    <w:rPr>
      <w:rFonts w:ascii="Arial" w:eastAsia="等线" w:hAnsi="Arial" w:cs="Arial"/>
      <w:noProof/>
      <w:kern w:val="0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Xiaofeng</dc:creator>
  <cp:keywords/>
  <dc:description/>
  <cp:lastModifiedBy>Fu Xiaofeng</cp:lastModifiedBy>
  <cp:revision>4</cp:revision>
  <dcterms:created xsi:type="dcterms:W3CDTF">2021-12-31T16:06:00Z</dcterms:created>
  <dcterms:modified xsi:type="dcterms:W3CDTF">2021-12-31T17:47:00Z</dcterms:modified>
</cp:coreProperties>
</file>