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page" w:horzAnchor="margin" w:tblpY="2216"/>
        <w:tblW w:w="7770" w:type="dxa"/>
        <w:tblLook w:val="04A0" w:firstRow="1" w:lastRow="0" w:firstColumn="1" w:lastColumn="0" w:noHBand="0" w:noVBand="1"/>
      </w:tblPr>
      <w:tblGrid>
        <w:gridCol w:w="1802"/>
        <w:gridCol w:w="5968"/>
      </w:tblGrid>
      <w:tr w:rsidR="00BC46AE" w:rsidRPr="001D4A4D" w14:paraId="46F9E9DA" w14:textId="77777777" w:rsidTr="00E50267">
        <w:trPr>
          <w:trHeight w:val="339"/>
        </w:trPr>
        <w:tc>
          <w:tcPr>
            <w:tcW w:w="1802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A73538" w14:textId="77777777" w:rsidR="00BC46AE" w:rsidRPr="001D4A4D" w:rsidRDefault="00BC46AE" w:rsidP="00E5026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1D4A4D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Gene</w:t>
            </w:r>
          </w:p>
        </w:tc>
        <w:tc>
          <w:tcPr>
            <w:tcW w:w="596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DB1543F" w14:textId="77777777" w:rsidR="00BC46AE" w:rsidRPr="001D4A4D" w:rsidRDefault="00BC46AE" w:rsidP="00E5026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1D4A4D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Sequence</w:t>
            </w:r>
          </w:p>
        </w:tc>
      </w:tr>
      <w:tr w:rsidR="00BC46AE" w:rsidRPr="001D4A4D" w14:paraId="160D6887" w14:textId="77777777" w:rsidTr="00E50267">
        <w:trPr>
          <w:trHeight w:val="326"/>
        </w:trPr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D187F" w14:textId="77777777" w:rsidR="00BC46AE" w:rsidRPr="001D4A4D" w:rsidRDefault="00BC46AE" w:rsidP="00E5026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1D4A4D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GAPDH</w:t>
            </w:r>
          </w:p>
        </w:tc>
        <w:tc>
          <w:tcPr>
            <w:tcW w:w="5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CB34" w14:textId="77777777" w:rsidR="00BC46AE" w:rsidRPr="001D4A4D" w:rsidRDefault="00BC46AE" w:rsidP="00E5026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BC46AE" w:rsidRPr="001D4A4D" w14:paraId="048F533C" w14:textId="77777777" w:rsidTr="00E50267">
        <w:trPr>
          <w:trHeight w:val="314"/>
        </w:trPr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FC655" w14:textId="77777777" w:rsidR="00BC46AE" w:rsidRPr="001D4A4D" w:rsidRDefault="00BC46AE" w:rsidP="00E50267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1D4A4D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</w:t>
            </w:r>
          </w:p>
        </w:tc>
        <w:tc>
          <w:tcPr>
            <w:tcW w:w="5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1862B4" w14:textId="77777777" w:rsidR="00BC46AE" w:rsidRPr="001D4A4D" w:rsidRDefault="00BC46AE" w:rsidP="00E5026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1D4A4D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5′- GGTGGTCTCCTCTGACTTCAACA -3′</w:t>
            </w:r>
          </w:p>
        </w:tc>
      </w:tr>
      <w:tr w:rsidR="00342A0B" w:rsidRPr="001D4A4D" w14:paraId="62366285" w14:textId="77777777" w:rsidTr="00E50267">
        <w:trPr>
          <w:trHeight w:val="314"/>
        </w:trPr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69E58BA" w14:textId="2E450496" w:rsidR="00342A0B" w:rsidRPr="001D4A4D" w:rsidRDefault="00342A0B" w:rsidP="00E50267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1D4A4D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</w:t>
            </w:r>
          </w:p>
        </w:tc>
        <w:tc>
          <w:tcPr>
            <w:tcW w:w="5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BE9A69" w14:textId="356015A5" w:rsidR="00342A0B" w:rsidRPr="001D4A4D" w:rsidRDefault="00342A0B" w:rsidP="00E5026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342A0B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5′- GTTGCTGTAGCCAAATTCGTTGT-3′</w:t>
            </w:r>
          </w:p>
        </w:tc>
      </w:tr>
      <w:tr w:rsidR="00BC46AE" w:rsidRPr="001D4A4D" w14:paraId="0361974E" w14:textId="77777777" w:rsidTr="00E50267">
        <w:trPr>
          <w:trHeight w:val="314"/>
        </w:trPr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3B4BE6" w14:textId="77777777" w:rsidR="00BC46AE" w:rsidRPr="001D4A4D" w:rsidRDefault="00BC46AE" w:rsidP="00E5026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1D4A4D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CYP2C8</w:t>
            </w:r>
          </w:p>
        </w:tc>
        <w:tc>
          <w:tcPr>
            <w:tcW w:w="5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DB97F7" w14:textId="77777777" w:rsidR="00BC46AE" w:rsidRPr="001D4A4D" w:rsidRDefault="00BC46AE" w:rsidP="00E5026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BC46AE" w:rsidRPr="001D4A4D" w14:paraId="00FBDA9C" w14:textId="77777777" w:rsidTr="00E50267">
        <w:trPr>
          <w:trHeight w:val="326"/>
        </w:trPr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64422" w14:textId="77777777" w:rsidR="00BC46AE" w:rsidRPr="001D4A4D" w:rsidRDefault="00BC46AE" w:rsidP="00E50267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1D4A4D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</w:t>
            </w:r>
          </w:p>
        </w:tc>
        <w:tc>
          <w:tcPr>
            <w:tcW w:w="5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A0A58C" w14:textId="77777777" w:rsidR="00BC46AE" w:rsidRPr="001D4A4D" w:rsidRDefault="00BC46AE" w:rsidP="00E5026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1D4A4D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</w:t>
            </w:r>
            <w:r w:rsidRPr="001D4A4D">
              <w:rPr>
                <w:rFonts w:ascii="宋体" w:eastAsia="宋体" w:hAnsi="宋体" w:cs="Times New Roman" w:hint="eastAsia"/>
                <w:color w:val="000000"/>
                <w:kern w:val="0"/>
                <w:sz w:val="24"/>
                <w:szCs w:val="24"/>
              </w:rPr>
              <w:t>′</w:t>
            </w:r>
            <w:r w:rsidRPr="001D4A4D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- CATCTGGCTGCCGATCTGCTATC -3</w:t>
            </w:r>
            <w:r w:rsidRPr="001D4A4D">
              <w:rPr>
                <w:rFonts w:ascii="宋体" w:eastAsia="宋体" w:hAnsi="宋体" w:cs="Times New Roman" w:hint="eastAsia"/>
                <w:color w:val="000000"/>
                <w:kern w:val="0"/>
                <w:sz w:val="24"/>
                <w:szCs w:val="24"/>
              </w:rPr>
              <w:t>′</w:t>
            </w:r>
          </w:p>
        </w:tc>
      </w:tr>
      <w:tr w:rsidR="00BC46AE" w:rsidRPr="001D4A4D" w14:paraId="58CD37EA" w14:textId="77777777" w:rsidTr="00E50267">
        <w:trPr>
          <w:trHeight w:val="339"/>
        </w:trPr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E31C4" w14:textId="77777777" w:rsidR="00BC46AE" w:rsidRPr="001D4A4D" w:rsidRDefault="00BC46AE" w:rsidP="00E50267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1D4A4D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</w:t>
            </w:r>
          </w:p>
        </w:tc>
        <w:tc>
          <w:tcPr>
            <w:tcW w:w="5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C814A8" w14:textId="77777777" w:rsidR="00BC46AE" w:rsidRPr="001D4A4D" w:rsidRDefault="00BC46AE" w:rsidP="00E5026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1D4A4D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</w:t>
            </w:r>
            <w:r w:rsidRPr="001D4A4D">
              <w:rPr>
                <w:rFonts w:ascii="宋体" w:eastAsia="宋体" w:hAnsi="宋体" w:cs="Times New Roman" w:hint="eastAsia"/>
                <w:color w:val="000000"/>
                <w:kern w:val="0"/>
                <w:sz w:val="24"/>
                <w:szCs w:val="24"/>
              </w:rPr>
              <w:t>′</w:t>
            </w:r>
            <w:r w:rsidRPr="001D4A4D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- AGTGACCTGAACAACTCTCCTTAATGG -3</w:t>
            </w:r>
            <w:r w:rsidRPr="001D4A4D">
              <w:rPr>
                <w:rFonts w:ascii="宋体" w:eastAsia="宋体" w:hAnsi="宋体" w:cs="Times New Roman" w:hint="eastAsia"/>
                <w:color w:val="000000"/>
                <w:kern w:val="0"/>
                <w:sz w:val="24"/>
                <w:szCs w:val="24"/>
              </w:rPr>
              <w:t>′</w:t>
            </w:r>
          </w:p>
        </w:tc>
      </w:tr>
      <w:tr w:rsidR="00EB18C2" w:rsidRPr="001D4A4D" w14:paraId="1EA69A4B" w14:textId="77777777" w:rsidTr="00E50267">
        <w:trPr>
          <w:trHeight w:val="339"/>
        </w:trPr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94655E" w14:textId="767D2A91" w:rsidR="00EB18C2" w:rsidRPr="001D4A4D" w:rsidRDefault="00EB18C2" w:rsidP="00EB18C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T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4"/>
                <w:szCs w:val="24"/>
              </w:rPr>
              <w:t>P</w:t>
            </w:r>
            <w:r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53</w:t>
            </w:r>
          </w:p>
        </w:tc>
        <w:tc>
          <w:tcPr>
            <w:tcW w:w="5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01A1BE" w14:textId="77777777" w:rsidR="00EB18C2" w:rsidRPr="001D4A4D" w:rsidRDefault="00EB18C2" w:rsidP="00E5026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</w:p>
        </w:tc>
      </w:tr>
      <w:tr w:rsidR="000560C6" w:rsidRPr="001D4A4D" w14:paraId="79061B10" w14:textId="77777777" w:rsidTr="00E50267">
        <w:trPr>
          <w:trHeight w:val="339"/>
        </w:trPr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A697EF" w14:textId="1C4980D5" w:rsidR="000560C6" w:rsidRPr="001D4A4D" w:rsidRDefault="000560C6" w:rsidP="00E50267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1D4A4D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F</w:t>
            </w:r>
          </w:p>
        </w:tc>
        <w:tc>
          <w:tcPr>
            <w:tcW w:w="5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1FAB94" w14:textId="609585FF" w:rsidR="000560C6" w:rsidRPr="001D4A4D" w:rsidRDefault="000560C6" w:rsidP="00E5026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560C6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5′‐GAGGATTCACAGTCGGATA‐3′</w:t>
            </w:r>
          </w:p>
        </w:tc>
      </w:tr>
      <w:tr w:rsidR="000560C6" w:rsidRPr="001D4A4D" w14:paraId="21320BFA" w14:textId="77777777" w:rsidTr="00E50267">
        <w:trPr>
          <w:trHeight w:val="339"/>
        </w:trPr>
        <w:tc>
          <w:tcPr>
            <w:tcW w:w="1802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</w:tcPr>
          <w:p w14:paraId="73BBB2B3" w14:textId="4AE03F86" w:rsidR="000560C6" w:rsidRPr="001D4A4D" w:rsidRDefault="000560C6" w:rsidP="00E50267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1D4A4D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R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</w:tcPr>
          <w:p w14:paraId="02C380D5" w14:textId="56CE452B" w:rsidR="000560C6" w:rsidRPr="001D4A4D" w:rsidRDefault="000560C6" w:rsidP="00E50267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</w:pPr>
            <w:r w:rsidRPr="000560C6">
              <w:rPr>
                <w:rFonts w:ascii="Times New Roman" w:eastAsia="等线" w:hAnsi="Times New Roman" w:cs="Times New Roman"/>
                <w:color w:val="000000"/>
                <w:kern w:val="0"/>
                <w:sz w:val="24"/>
                <w:szCs w:val="24"/>
              </w:rPr>
              <w:t>5′‐ATCATCTGGAGGAAGAAGTT‐3′</w:t>
            </w:r>
          </w:p>
        </w:tc>
      </w:tr>
    </w:tbl>
    <w:p w14:paraId="428D0B85" w14:textId="67E77977" w:rsidR="00E50267" w:rsidRDefault="00BC46AE" w:rsidP="00E50267">
      <w:pPr>
        <w:rPr>
          <w:rFonts w:ascii="Times New Roman" w:hAnsi="Times New Roman" w:cs="Times New Roman"/>
          <w:sz w:val="24"/>
          <w:szCs w:val="24"/>
        </w:rPr>
      </w:pPr>
      <w:r w:rsidRPr="001D4A4D">
        <w:rPr>
          <w:rFonts w:ascii="Times New Roman" w:hAnsi="Times New Roman" w:cs="Times New Roman"/>
          <w:sz w:val="24"/>
          <w:szCs w:val="24"/>
        </w:rPr>
        <w:t>Table</w:t>
      </w:r>
      <w:r>
        <w:rPr>
          <w:rFonts w:ascii="Times New Roman" w:hAnsi="Times New Roman" w:cs="Times New Roman"/>
          <w:sz w:val="24"/>
          <w:szCs w:val="24"/>
        </w:rPr>
        <w:t xml:space="preserve"> S1</w:t>
      </w:r>
      <w:r w:rsidRPr="001D4A4D">
        <w:rPr>
          <w:rFonts w:ascii="Times New Roman" w:hAnsi="Times New Roman" w:cs="Times New Roman"/>
          <w:sz w:val="24"/>
          <w:szCs w:val="24"/>
        </w:rPr>
        <w:t>. The forward and reverse primer sequences of GAPDH</w:t>
      </w:r>
      <w:r w:rsidR="00E50267">
        <w:rPr>
          <w:rFonts w:ascii="Times New Roman" w:hAnsi="Times New Roman" w:cs="Times New Roman"/>
          <w:sz w:val="24"/>
          <w:szCs w:val="24"/>
        </w:rPr>
        <w:t>,</w:t>
      </w:r>
      <w:r w:rsidR="00E50267" w:rsidRPr="001D4A4D">
        <w:rPr>
          <w:rFonts w:ascii="Times New Roman" w:hAnsi="Times New Roman" w:cs="Times New Roman"/>
          <w:sz w:val="24"/>
          <w:szCs w:val="24"/>
        </w:rPr>
        <w:t xml:space="preserve"> CYP2C8</w:t>
      </w:r>
    </w:p>
    <w:p w14:paraId="53E6DF67" w14:textId="03254C46" w:rsidR="00BC46AE" w:rsidRDefault="00BC46AE" w:rsidP="00BC46AE">
      <w:pPr>
        <w:rPr>
          <w:rFonts w:ascii="Times New Roman" w:hAnsi="Times New Roman" w:cs="Times New Roman"/>
          <w:sz w:val="24"/>
          <w:szCs w:val="24"/>
        </w:rPr>
      </w:pPr>
      <w:r w:rsidRPr="001D4A4D">
        <w:rPr>
          <w:rFonts w:ascii="Times New Roman" w:hAnsi="Times New Roman" w:cs="Times New Roman"/>
          <w:sz w:val="24"/>
          <w:szCs w:val="24"/>
        </w:rPr>
        <w:t xml:space="preserve"> and </w:t>
      </w:r>
      <w:r w:rsidR="00E50267">
        <w:rPr>
          <w:rFonts w:ascii="Times New Roman" w:hAnsi="Times New Roman" w:cs="Times New Roman"/>
          <w:sz w:val="24"/>
          <w:szCs w:val="24"/>
        </w:rPr>
        <w:t>TP53</w:t>
      </w:r>
      <w:r w:rsidR="00EB18C2">
        <w:rPr>
          <w:rFonts w:ascii="Times New Roman" w:hAnsi="Times New Roman" w:cs="Times New Roman"/>
          <w:sz w:val="24"/>
          <w:szCs w:val="24"/>
        </w:rPr>
        <w:t>.</w:t>
      </w:r>
    </w:p>
    <w:p w14:paraId="5B1552A0" w14:textId="77777777" w:rsidR="00BC46AE" w:rsidRPr="001D4A4D" w:rsidRDefault="00BC46AE" w:rsidP="00BC46A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 w:rsidRPr="001D4A4D">
        <w:rPr>
          <w:rFonts w:ascii="Times New Roman" w:hAnsi="Times New Roman" w:cs="Times New Roman"/>
          <w:sz w:val="24"/>
          <w:szCs w:val="24"/>
        </w:rPr>
        <w:t>bbreviation</w:t>
      </w:r>
      <w:r>
        <w:rPr>
          <w:rFonts w:ascii="Times New Roman" w:hAnsi="Times New Roman" w:cs="Times New Roman"/>
          <w:sz w:val="24"/>
          <w:szCs w:val="24"/>
        </w:rPr>
        <w:t xml:space="preserve">: F, </w:t>
      </w:r>
      <w:r w:rsidRPr="001D4A4D">
        <w:rPr>
          <w:rFonts w:ascii="Times New Roman" w:hAnsi="Times New Roman" w:cs="Times New Roman"/>
          <w:sz w:val="24"/>
          <w:szCs w:val="24"/>
        </w:rPr>
        <w:t>forward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1D4A4D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>R</w:t>
      </w:r>
      <w:r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 xml:space="preserve"> </w:t>
      </w:r>
      <w:r w:rsidRPr="001D4A4D"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>reverse</w:t>
      </w:r>
      <w:r>
        <w:rPr>
          <w:rFonts w:ascii="Times New Roman" w:eastAsia="等线" w:hAnsi="Times New Roman" w:cs="Times New Roman"/>
          <w:color w:val="000000"/>
          <w:kern w:val="0"/>
          <w:sz w:val="24"/>
          <w:szCs w:val="24"/>
        </w:rPr>
        <w:t>.</w:t>
      </w:r>
    </w:p>
    <w:p w14:paraId="1B0DA0F3" w14:textId="77777777" w:rsidR="00BC46AE" w:rsidRDefault="00BC46AE">
      <w:pPr>
        <w:widowControl/>
        <w:jc w:val="left"/>
        <w:rPr>
          <w:rFonts w:ascii="Times New Roman" w:hAnsi="Times New Roman" w:cs="Times New Roman"/>
          <w:kern w:val="0"/>
          <w:sz w:val="24"/>
          <w:szCs w:val="24"/>
          <w:lang w:eastAsia="en-US"/>
        </w:rPr>
      </w:pPr>
      <w:r>
        <w:rPr>
          <w:rFonts w:ascii="Times New Roman" w:hAnsi="Times New Roman" w:cs="Times New Roman"/>
          <w:kern w:val="0"/>
          <w:sz w:val="24"/>
          <w:szCs w:val="24"/>
          <w:lang w:eastAsia="en-US"/>
        </w:rPr>
        <w:br w:type="page"/>
      </w:r>
    </w:p>
    <w:p w14:paraId="70DA93D4" w14:textId="1BB68F97" w:rsidR="005844DE" w:rsidRDefault="005844DE" w:rsidP="005844DE">
      <w:pPr>
        <w:snapToGrid w:val="0"/>
        <w:spacing w:before="100" w:beforeAutospacing="1" w:after="100" w:afterAutospacing="1" w:line="480" w:lineRule="auto"/>
        <w:rPr>
          <w:rFonts w:ascii="Times New Roman" w:hAnsi="Times New Roman" w:cs="Times New Roman"/>
          <w:kern w:val="0"/>
          <w:sz w:val="24"/>
          <w:szCs w:val="24"/>
          <w:lang w:eastAsia="en-US"/>
        </w:rPr>
      </w:pPr>
      <w:r w:rsidRPr="005844DE">
        <w:rPr>
          <w:rFonts w:ascii="Times New Roman" w:hAnsi="Times New Roman" w:cs="Times New Roman"/>
          <w:kern w:val="0"/>
          <w:sz w:val="24"/>
          <w:szCs w:val="24"/>
          <w:lang w:eastAsia="en-US"/>
        </w:rPr>
        <w:lastRenderedPageBreak/>
        <w:t>Figure S1. Construction of stable CYP2C8-over-expression HepG2 and HCCM. a, Expression of CYP2C8 in several HCC cell lines</w:t>
      </w:r>
      <w:r w:rsidR="001504C7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</w:t>
      </w:r>
      <w:r w:rsidR="001504C7">
        <w:rPr>
          <w:rFonts w:ascii="Times New Roman" w:hAnsi="Times New Roman" w:cs="Times New Roman" w:hint="eastAsia"/>
          <w:kern w:val="0"/>
          <w:sz w:val="24"/>
          <w:szCs w:val="24"/>
        </w:rPr>
        <w:t>and</w:t>
      </w:r>
      <w:r w:rsidR="001504C7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normal liver cell lines</w:t>
      </w:r>
      <w:r w:rsidRPr="005844DE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. b, Achromatic and fluorescent image of HepG2-CYP2C8 cells and HepG2-GFP cells. c, Achromatic and fluorescent image of HCCM-CYP2C8 cells and HCCM-GFP cells. d, Expression level of CYP2C8 in HepG2-CYP2C8, HepG2-GFP and HepG2-Mock cells assessed by qRT-PCR. e, Expression level of CYP2C8 in HCCM -CYP2C8, HCCM -GFP and HCCM -Mock cells assessed by qRT-PCR. f, Expression level of CYP2C8 in HepG2-CYP2C8, HepG2-GFP and HepG2-Mock cells assessed by WB assays. g, Expression level of CYP2C8 in HCCM -CYP2C8, HCCM -GFP and HCCM -Mock cells assessed by WB assays. </w:t>
      </w:r>
      <w:r w:rsidRPr="005844DE">
        <w:rPr>
          <w:rFonts w:ascii="Times New Roman" w:hAnsi="Times New Roman" w:cs="Times New Roman" w:hint="eastAsia"/>
          <w:kern w:val="0"/>
          <w:sz w:val="24"/>
          <w:szCs w:val="24"/>
        </w:rPr>
        <w:t>h</w:t>
      </w:r>
      <w:r w:rsidRPr="005844DE">
        <w:rPr>
          <w:rFonts w:ascii="Times New Roman" w:hAnsi="Times New Roman" w:cs="Times New Roman"/>
          <w:kern w:val="0"/>
          <w:sz w:val="24"/>
          <w:szCs w:val="24"/>
        </w:rPr>
        <w:t>-i</w:t>
      </w:r>
      <w:r w:rsidRPr="005844DE">
        <w:rPr>
          <w:rFonts w:ascii="Times New Roman" w:hAnsi="Times New Roman" w:cs="Times New Roman"/>
          <w:kern w:val="0"/>
          <w:sz w:val="24"/>
          <w:szCs w:val="24"/>
          <w:lang w:eastAsia="en-US"/>
        </w:rPr>
        <w:t>, CYP2C8 over-expression had no significant influence on TP53 expression in HepG2 cells. Data were presented as the mean ± SD, * P&lt;0.05, ** P&lt;0.01, *** P&lt;0.001, **** P&lt;0.0001.</w:t>
      </w:r>
      <w:r w:rsidRPr="005844DE"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5D17704A" wp14:editId="673BBE64">
            <wp:simplePos x="0" y="0"/>
            <wp:positionH relativeFrom="column">
              <wp:posOffset>0</wp:posOffset>
            </wp:positionH>
            <wp:positionV relativeFrom="paragraph">
              <wp:posOffset>4382770</wp:posOffset>
            </wp:positionV>
            <wp:extent cx="5270500" cy="3924300"/>
            <wp:effectExtent l="0" t="0" r="6350" b="0"/>
            <wp:wrapTopAndBottom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62CC1" w14:textId="77777777" w:rsidR="00975D9E" w:rsidRDefault="00975D9E">
      <w:pPr>
        <w:widowControl/>
        <w:jc w:val="left"/>
        <w:rPr>
          <w:rFonts w:ascii="Times New Roman" w:hAnsi="Times New Roman" w:cs="Times New Roman"/>
          <w:kern w:val="0"/>
          <w:sz w:val="24"/>
          <w:szCs w:val="24"/>
          <w:lang w:eastAsia="en-US"/>
        </w:rPr>
      </w:pPr>
      <w:r>
        <w:rPr>
          <w:rFonts w:ascii="Times New Roman" w:hAnsi="Times New Roman" w:cs="Times New Roman"/>
          <w:kern w:val="0"/>
          <w:sz w:val="24"/>
          <w:szCs w:val="24"/>
          <w:lang w:eastAsia="en-US"/>
        </w:rPr>
        <w:br w:type="page"/>
      </w:r>
    </w:p>
    <w:p w14:paraId="5C02A359" w14:textId="3CE0E5A1" w:rsidR="005844DE" w:rsidRPr="005844DE" w:rsidRDefault="005844DE" w:rsidP="005844DE">
      <w:pPr>
        <w:widowControl/>
        <w:snapToGrid w:val="0"/>
        <w:spacing w:before="100" w:beforeAutospacing="1" w:after="100" w:afterAutospacing="1" w:line="480" w:lineRule="auto"/>
        <w:jc w:val="left"/>
        <w:rPr>
          <w:rFonts w:ascii="Times New Roman" w:hAnsi="Times New Roman" w:cs="Times New Roman"/>
          <w:kern w:val="0"/>
          <w:sz w:val="24"/>
          <w:szCs w:val="24"/>
          <w:lang w:eastAsia="en-US"/>
        </w:rPr>
      </w:pPr>
      <w:r w:rsidRPr="005844DE">
        <w:rPr>
          <w:rFonts w:ascii="Times New Roman" w:hAnsi="Times New Roman" w:cs="Times New Roman"/>
          <w:kern w:val="0"/>
          <w:sz w:val="24"/>
          <w:szCs w:val="24"/>
          <w:lang w:eastAsia="en-US"/>
        </w:rPr>
        <w:lastRenderedPageBreak/>
        <w:t>Figure S2. CYP2C8 over-expression enhanced the therapeutic effect of sorafenib in migration and invasion. a, CYP2C8 over-expression enhanced the migration inhibition of sorafenib in HepG2 cells. b, CYP2C8 over-expression enhanced the migration inhibition of sorafenib in HCCM cells. c, CYP2C8 over-expression enhanced the invasion inhibition of sorafenib in HepG2 cells. d, CYP2C8 over-expression enhanced the invasion inhibition of sorafenib in HCCM cells. e-f, The effect of CYP2C8 over-expression on proliferation of HepG2 (e) and HCCM (f) cells was offset by 740YP assessed by CCK8 assays. g-h, The effect of CYP2C8 over-expression on colony formation of HepG2 (g) and HCCM (h) cells was offset by 740YP assessed by colony formation assays.</w:t>
      </w:r>
      <w:r w:rsidRPr="005844DE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5844DE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Data were presented as the mean ± SD, * P&lt;0.05, ** P&lt;0.01, *** P&lt;0.001, **** P&lt;0.0001. </w:t>
      </w:r>
    </w:p>
    <w:p w14:paraId="431BA5A0" w14:textId="6A36B8EA" w:rsidR="005844DE" w:rsidRDefault="005844DE">
      <w:pPr>
        <w:widowControl/>
        <w:jc w:val="left"/>
        <w:rPr>
          <w:noProof/>
        </w:rPr>
      </w:pPr>
      <w:r>
        <w:rPr>
          <w:noProof/>
        </w:rPr>
        <w:drawing>
          <wp:inline distT="0" distB="0" distL="0" distR="0" wp14:anchorId="005566C7" wp14:editId="562D4054">
            <wp:extent cx="5274310" cy="3674110"/>
            <wp:effectExtent l="0" t="0" r="2540" b="254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DBF9A" w14:textId="77777777" w:rsidR="005844DE" w:rsidRDefault="005844DE">
      <w:pPr>
        <w:widowControl/>
        <w:jc w:val="left"/>
        <w:rPr>
          <w:noProof/>
        </w:rPr>
      </w:pPr>
      <w:r>
        <w:rPr>
          <w:noProof/>
        </w:rPr>
        <w:br w:type="page"/>
      </w:r>
    </w:p>
    <w:p w14:paraId="5060CB9D" w14:textId="716A28BC" w:rsidR="005844DE" w:rsidRPr="005844DE" w:rsidRDefault="005844DE">
      <w:pPr>
        <w:widowControl/>
        <w:jc w:val="left"/>
        <w:rPr>
          <w:rFonts w:ascii="Times New Roman" w:hAnsi="Times New Roman" w:cs="Times New Roman"/>
          <w:kern w:val="0"/>
          <w:sz w:val="24"/>
          <w:szCs w:val="24"/>
          <w:lang w:eastAsia="en-US"/>
        </w:rPr>
      </w:pPr>
      <w:r w:rsidRPr="005844DE">
        <w:rPr>
          <w:rFonts w:ascii="Times New Roman" w:hAnsi="Times New Roman" w:cs="Times New Roman" w:hint="eastAsia"/>
          <w:kern w:val="0"/>
          <w:sz w:val="24"/>
          <w:szCs w:val="24"/>
          <w:lang w:eastAsia="en-US"/>
        </w:rPr>
        <w:lastRenderedPageBreak/>
        <w:t>Figure</w:t>
      </w:r>
      <w:r w:rsidRPr="005844DE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 S3. Graphical abstract</w:t>
      </w:r>
    </w:p>
    <w:p w14:paraId="7FC47A92" w14:textId="11898E39" w:rsidR="0007432C" w:rsidRDefault="005844DE">
      <w:r>
        <w:rPr>
          <w:noProof/>
        </w:rPr>
        <w:drawing>
          <wp:inline distT="0" distB="0" distL="0" distR="0" wp14:anchorId="25E54CD3" wp14:editId="68C0F7A4">
            <wp:extent cx="5270500" cy="4006850"/>
            <wp:effectExtent l="0" t="0" r="635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400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7432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C625BF" w14:textId="77777777" w:rsidR="008772EA" w:rsidRDefault="008772EA" w:rsidP="005844DE">
      <w:r>
        <w:separator/>
      </w:r>
    </w:p>
  </w:endnote>
  <w:endnote w:type="continuationSeparator" w:id="0">
    <w:p w14:paraId="60A6BAB6" w14:textId="77777777" w:rsidR="008772EA" w:rsidRDefault="008772EA" w:rsidP="005844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0D2249" w14:textId="77777777" w:rsidR="008772EA" w:rsidRDefault="008772EA" w:rsidP="005844DE">
      <w:r>
        <w:separator/>
      </w:r>
    </w:p>
  </w:footnote>
  <w:footnote w:type="continuationSeparator" w:id="0">
    <w:p w14:paraId="78442228" w14:textId="77777777" w:rsidR="008772EA" w:rsidRDefault="008772EA" w:rsidP="005844D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0644"/>
    <w:rsid w:val="000560C6"/>
    <w:rsid w:val="0007432C"/>
    <w:rsid w:val="000A0722"/>
    <w:rsid w:val="001504C7"/>
    <w:rsid w:val="001F5509"/>
    <w:rsid w:val="00342A0B"/>
    <w:rsid w:val="005844DE"/>
    <w:rsid w:val="008772EA"/>
    <w:rsid w:val="00975D9E"/>
    <w:rsid w:val="009E0644"/>
    <w:rsid w:val="00BC46AE"/>
    <w:rsid w:val="00E50267"/>
    <w:rsid w:val="00EB18C2"/>
    <w:rsid w:val="00F855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C5F9729"/>
  <w14:defaultImageDpi w14:val="32767"/>
  <w15:chartTrackingRefBased/>
  <w15:docId w15:val="{ACBE4B0C-9CF7-4CE2-9730-9F88CC3328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844D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5844DE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5844D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5844D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829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4</Pages>
  <Words>316</Words>
  <Characters>1803</Characters>
  <Application>Microsoft Office Word</Application>
  <DocSecurity>0</DocSecurity>
  <Lines>15</Lines>
  <Paragraphs>4</Paragraphs>
  <ScaleCrop>false</ScaleCrop>
  <Company/>
  <LinksUpToDate>false</LinksUpToDate>
  <CharactersWithSpaces>2115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ZHOU XIN</dc:creator>
  <cp:keywords/>
  <dc:description/>
  <cp:lastModifiedBy>ZHOU XIN</cp:lastModifiedBy>
  <cp:revision>24</cp:revision>
  <dcterms:created xsi:type="dcterms:W3CDTF">2021-10-05T01:12:00Z</dcterms:created>
  <dcterms:modified xsi:type="dcterms:W3CDTF">2021-10-12T01:18:00Z</dcterms:modified>
</cp:coreProperties>
</file>