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D29ED" w14:textId="5B26ABD8" w:rsidR="006773D5" w:rsidRDefault="007C7A6F">
      <w:r>
        <w:rPr>
          <w:noProof/>
        </w:rPr>
        <w:drawing>
          <wp:inline distT="0" distB="0" distL="0" distR="0" wp14:anchorId="7A2B460D" wp14:editId="32A95CCB">
            <wp:extent cx="5274310" cy="7460615"/>
            <wp:effectExtent l="0" t="0" r="2540" b="6985"/>
            <wp:docPr id="1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&#10;&#10;中度可信度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1BEC" w14:textId="68F5DEB0" w:rsidR="007C7A6F" w:rsidRPr="00A006EF" w:rsidRDefault="007C7A6F">
      <w:pPr>
        <w:rPr>
          <w:rFonts w:ascii="Times New Roman" w:hAnsi="Times New Roman" w:cs="Times New Roman"/>
          <w:b/>
          <w:bCs/>
          <w:szCs w:val="21"/>
        </w:rPr>
      </w:pPr>
      <w:r w:rsidRPr="007C7A6F">
        <w:rPr>
          <w:rFonts w:ascii="Times New Roman" w:hAnsi="Times New Roman" w:cs="Times New Roman"/>
          <w:b/>
          <w:bCs/>
        </w:rPr>
        <w:t xml:space="preserve">Supplementary </w:t>
      </w:r>
      <w:r w:rsidRPr="007C7A6F">
        <w:rPr>
          <w:rFonts w:ascii="Times New Roman" w:hAnsi="Times New Roman" w:cs="Times New Roman" w:hint="eastAsia"/>
          <w:b/>
          <w:bCs/>
        </w:rPr>
        <w:t>Figure</w:t>
      </w:r>
      <w:r w:rsidR="00A006EF">
        <w:rPr>
          <w:rFonts w:ascii="Times New Roman" w:hAnsi="Times New Roman" w:cs="Times New Roman"/>
          <w:b/>
          <w:bCs/>
        </w:rPr>
        <w:t xml:space="preserve"> </w:t>
      </w:r>
      <w:r w:rsidRPr="007C7A6F">
        <w:rPr>
          <w:rFonts w:ascii="Times New Roman" w:hAnsi="Times New Roman" w:cs="Times New Roman"/>
          <w:b/>
          <w:bCs/>
        </w:rPr>
        <w:t xml:space="preserve">1 </w:t>
      </w:r>
      <w:r w:rsidRPr="007C7A6F">
        <w:rPr>
          <w:rFonts w:ascii="Times New Roman" w:hAnsi="Times New Roman" w:cs="Times New Roman"/>
          <w:b/>
          <w:bCs/>
          <w:szCs w:val="21"/>
        </w:rPr>
        <w:t>Enrichment analysis of DETFTGs</w:t>
      </w:r>
      <w:r w:rsidR="00F35F3B">
        <w:rPr>
          <w:rFonts w:ascii="Times New Roman" w:hAnsi="Times New Roman" w:cs="Times New Roman"/>
          <w:b/>
          <w:bCs/>
          <w:szCs w:val="21"/>
        </w:rPr>
        <w:t>.</w:t>
      </w:r>
      <w:r w:rsidR="00A006EF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A006EF" w:rsidRPr="00F35F3B">
        <w:rPr>
          <w:rFonts w:ascii="Times New Roman" w:hAnsi="Times New Roman" w:cs="Times New Roman"/>
          <w:b/>
          <w:bCs/>
          <w:szCs w:val="21"/>
        </w:rPr>
        <w:t>(</w:t>
      </w:r>
      <w:r w:rsidRPr="00F35F3B">
        <w:rPr>
          <w:rFonts w:ascii="Times New Roman" w:hAnsi="Times New Roman" w:cs="Times New Roman" w:hint="eastAsia"/>
          <w:b/>
          <w:bCs/>
        </w:rPr>
        <w:t>A</w:t>
      </w:r>
      <w:r w:rsidRPr="00F35F3B">
        <w:rPr>
          <w:rFonts w:ascii="Times New Roman" w:hAnsi="Times New Roman" w:cs="Times New Roman"/>
          <w:b/>
          <w:bCs/>
        </w:rPr>
        <w:t>, B</w:t>
      </w:r>
      <w:r w:rsidR="00A006EF" w:rsidRPr="00F35F3B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</w:rPr>
        <w:t xml:space="preserve"> GO enrichment results;</w:t>
      </w:r>
      <w:r w:rsidRPr="00F35F3B">
        <w:rPr>
          <w:rFonts w:ascii="Times New Roman" w:hAnsi="Times New Roman" w:cs="Times New Roman"/>
          <w:b/>
          <w:bCs/>
        </w:rPr>
        <w:t xml:space="preserve"> </w:t>
      </w:r>
      <w:r w:rsidR="00A006EF" w:rsidRPr="00F35F3B">
        <w:rPr>
          <w:rFonts w:ascii="Times New Roman" w:hAnsi="Times New Roman" w:cs="Times New Roman"/>
          <w:b/>
          <w:bCs/>
        </w:rPr>
        <w:t>(</w:t>
      </w:r>
      <w:r w:rsidRPr="00F35F3B">
        <w:rPr>
          <w:rFonts w:ascii="Times New Roman" w:hAnsi="Times New Roman" w:cs="Times New Roman"/>
          <w:b/>
          <w:bCs/>
        </w:rPr>
        <w:t>C</w:t>
      </w:r>
      <w:r w:rsidR="00A006EF" w:rsidRPr="00F35F3B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</w:rPr>
        <w:t xml:space="preserve"> GSEA result; </w:t>
      </w:r>
      <w:r w:rsidR="00A006EF" w:rsidRPr="00F35F3B">
        <w:rPr>
          <w:rFonts w:ascii="Times New Roman" w:hAnsi="Times New Roman" w:cs="Times New Roman"/>
          <w:b/>
          <w:bCs/>
        </w:rPr>
        <w:t>(</w:t>
      </w:r>
      <w:r w:rsidRPr="00F35F3B">
        <w:rPr>
          <w:rFonts w:ascii="Times New Roman" w:hAnsi="Times New Roman" w:cs="Times New Roman"/>
          <w:b/>
          <w:bCs/>
        </w:rPr>
        <w:t>D, E, F</w:t>
      </w:r>
      <w:r w:rsidR="00A006EF" w:rsidRPr="00F35F3B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</w:rPr>
        <w:t xml:space="preserve"> KEGG pathway enrichment result</w:t>
      </w:r>
      <w:r w:rsidR="00A006EF">
        <w:rPr>
          <w:rFonts w:ascii="Times New Roman" w:hAnsi="Times New Roman" w:cs="Times New Roman"/>
        </w:rPr>
        <w:t>s</w:t>
      </w:r>
    </w:p>
    <w:p w14:paraId="3131FF99" w14:textId="6627560A" w:rsidR="007C7A6F" w:rsidRDefault="007C7A6F">
      <w:pPr>
        <w:rPr>
          <w:rFonts w:ascii="Times New Roman" w:hAnsi="Times New Roman" w:cs="Times New Roman"/>
        </w:rPr>
      </w:pPr>
    </w:p>
    <w:p w14:paraId="0E1CA616" w14:textId="7C1C5568" w:rsidR="007C7A6F" w:rsidRDefault="007C7A6F">
      <w:pPr>
        <w:rPr>
          <w:rFonts w:ascii="Times New Roman" w:hAnsi="Times New Roman" w:cs="Times New Roman"/>
        </w:rPr>
      </w:pPr>
    </w:p>
    <w:p w14:paraId="6605788E" w14:textId="7AEED080" w:rsidR="007C7A6F" w:rsidRDefault="007C7A6F">
      <w:pPr>
        <w:rPr>
          <w:rFonts w:ascii="Times New Roman" w:hAnsi="Times New Roman" w:cs="Times New Roman"/>
        </w:rPr>
      </w:pPr>
    </w:p>
    <w:p w14:paraId="36C1B470" w14:textId="403402EE" w:rsidR="007C7A6F" w:rsidRDefault="007C7A6F">
      <w:pPr>
        <w:rPr>
          <w:rFonts w:ascii="Times New Roman" w:hAnsi="Times New Roman" w:cs="Times New Roman"/>
        </w:rPr>
      </w:pPr>
    </w:p>
    <w:p w14:paraId="266140ED" w14:textId="4C790A56" w:rsidR="007C7A6F" w:rsidRDefault="007C7A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77A59233" wp14:editId="28F7FB86">
            <wp:extent cx="5274310" cy="7460615"/>
            <wp:effectExtent l="0" t="0" r="2540" b="6985"/>
            <wp:docPr id="2" name="图片 2" descr="图示,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, 日程表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69BE" w14:textId="29B63887" w:rsidR="007C7A6F" w:rsidRPr="00F35F3B" w:rsidRDefault="007C7A6F" w:rsidP="007C7A6F">
      <w:pPr>
        <w:rPr>
          <w:rFonts w:ascii="Times New Roman" w:hAnsi="Times New Roman" w:cs="Times New Roman"/>
          <w:b/>
          <w:bCs/>
          <w:szCs w:val="21"/>
        </w:rPr>
      </w:pPr>
      <w:r w:rsidRPr="007C7A6F">
        <w:rPr>
          <w:rFonts w:ascii="Times New Roman" w:hAnsi="Times New Roman" w:cs="Times New Roman"/>
          <w:b/>
          <w:bCs/>
        </w:rPr>
        <w:t xml:space="preserve">Supplementary </w:t>
      </w:r>
      <w:r w:rsidRPr="007C7A6F">
        <w:rPr>
          <w:rFonts w:ascii="Times New Roman" w:hAnsi="Times New Roman" w:cs="Times New Roman" w:hint="eastAsia"/>
          <w:b/>
          <w:bCs/>
        </w:rPr>
        <w:t>Figure</w:t>
      </w:r>
      <w:r w:rsidR="00A006E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2</w:t>
      </w:r>
      <w:r w:rsidRPr="007C7A6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Immune infiltrating analysis between high/low-risk groups</w:t>
      </w:r>
      <w:r w:rsidR="00F35F3B">
        <w:rPr>
          <w:rFonts w:ascii="Times New Roman" w:hAnsi="Times New Roman" w:cs="Times New Roman"/>
          <w:b/>
          <w:bCs/>
          <w:szCs w:val="21"/>
        </w:rPr>
        <w:t>.</w:t>
      </w:r>
      <w:r w:rsidR="00F35F3B" w:rsidRPr="00F35F3B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F35F3B" w:rsidRPr="00F35F3B">
        <w:rPr>
          <w:rFonts w:ascii="Times New Roman" w:hAnsi="Times New Roman" w:cs="Times New Roman"/>
          <w:b/>
          <w:bCs/>
          <w:szCs w:val="21"/>
        </w:rPr>
        <w:t>(</w:t>
      </w:r>
      <w:r w:rsidRPr="00F35F3B">
        <w:rPr>
          <w:rFonts w:ascii="Times New Roman" w:hAnsi="Times New Roman" w:cs="Times New Roman" w:hint="eastAsia"/>
          <w:b/>
          <w:bCs/>
          <w:szCs w:val="21"/>
        </w:rPr>
        <w:t>A</w:t>
      </w:r>
      <w:r w:rsidRPr="00F35F3B">
        <w:rPr>
          <w:rFonts w:ascii="Times New Roman" w:hAnsi="Times New Roman" w:cs="Times New Roman"/>
          <w:b/>
          <w:bCs/>
          <w:szCs w:val="21"/>
        </w:rPr>
        <w:t xml:space="preserve">, </w:t>
      </w:r>
      <w:r w:rsidR="00F35F3B" w:rsidRPr="00F35F3B">
        <w:rPr>
          <w:rFonts w:ascii="Times New Roman" w:hAnsi="Times New Roman" w:cs="Times New Roman"/>
          <w:b/>
          <w:bCs/>
          <w:szCs w:val="21"/>
        </w:rPr>
        <w:t>B)</w:t>
      </w:r>
      <w:r w:rsidR="00F35F3B">
        <w:rPr>
          <w:rFonts w:ascii="Times New Roman" w:hAnsi="Times New Roman" w:cs="Times New Roman"/>
          <w:szCs w:val="21"/>
        </w:rPr>
        <w:t xml:space="preserve"> Immune</w:t>
      </w:r>
      <w:r w:rsidRPr="007C7A6F">
        <w:rPr>
          <w:rFonts w:ascii="Times New Roman" w:hAnsi="Times New Roman" w:cs="Times New Roman"/>
          <w:szCs w:val="21"/>
        </w:rPr>
        <w:t xml:space="preserve"> infiltrating analysis</w:t>
      </w:r>
      <w:r>
        <w:rPr>
          <w:rFonts w:ascii="Times New Roman" w:hAnsi="Times New Roman" w:cs="Times New Roman"/>
          <w:szCs w:val="21"/>
        </w:rPr>
        <w:t xml:space="preserve"> via TIMER algorithm</w:t>
      </w:r>
      <w:r w:rsidRPr="00F35F3B">
        <w:rPr>
          <w:rFonts w:ascii="Times New Roman" w:hAnsi="Times New Roman" w:cs="Times New Roman"/>
          <w:szCs w:val="21"/>
        </w:rPr>
        <w:t xml:space="preserve"> (A)</w:t>
      </w:r>
      <w:r>
        <w:rPr>
          <w:rFonts w:ascii="Times New Roman" w:hAnsi="Times New Roman" w:cs="Times New Roman"/>
          <w:szCs w:val="21"/>
        </w:rPr>
        <w:t xml:space="preserve"> and CIBERSORT algorithm</w:t>
      </w:r>
      <w:r w:rsidRPr="00F35F3B">
        <w:rPr>
          <w:rFonts w:ascii="Times New Roman" w:hAnsi="Times New Roman" w:cs="Times New Roman"/>
          <w:szCs w:val="21"/>
        </w:rPr>
        <w:t xml:space="preserve"> (B)</w:t>
      </w:r>
    </w:p>
    <w:p w14:paraId="6FC10166" w14:textId="5A5FA50F" w:rsidR="00D140F2" w:rsidRDefault="00D140F2" w:rsidP="007C7A6F">
      <w:pPr>
        <w:rPr>
          <w:rFonts w:ascii="Times New Roman" w:hAnsi="Times New Roman" w:cs="Times New Roman"/>
          <w:szCs w:val="21"/>
        </w:rPr>
      </w:pPr>
    </w:p>
    <w:p w14:paraId="224C05CB" w14:textId="59871250" w:rsidR="00D140F2" w:rsidRDefault="00D140F2" w:rsidP="007C7A6F">
      <w:pPr>
        <w:rPr>
          <w:rFonts w:ascii="Times New Roman" w:hAnsi="Times New Roman" w:cs="Times New Roman"/>
          <w:szCs w:val="21"/>
        </w:rPr>
      </w:pPr>
    </w:p>
    <w:p w14:paraId="2DD67189" w14:textId="58424813" w:rsidR="00D140F2" w:rsidRDefault="00D140F2" w:rsidP="007C7A6F">
      <w:pPr>
        <w:rPr>
          <w:rFonts w:ascii="Times New Roman" w:hAnsi="Times New Roman" w:cs="Times New Roman"/>
          <w:szCs w:val="21"/>
        </w:rPr>
      </w:pPr>
    </w:p>
    <w:p w14:paraId="01D3F4D2" w14:textId="3B63CFB1" w:rsidR="00D422A1" w:rsidRDefault="00D422A1" w:rsidP="007C7A6F">
      <w:pPr>
        <w:rPr>
          <w:rFonts w:ascii="Times New Roman" w:hAnsi="Times New Roman" w:cs="Times New Roman"/>
          <w:szCs w:val="21"/>
        </w:rPr>
      </w:pPr>
    </w:p>
    <w:p w14:paraId="7F238401" w14:textId="68239298" w:rsidR="00D422A1" w:rsidRDefault="00D422A1" w:rsidP="007C7A6F">
      <w:pPr>
        <w:rPr>
          <w:rFonts w:ascii="Times New Roman" w:hAnsi="Times New Roman" w:cs="Times New Roman" w:hint="eastAsia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lastRenderedPageBreak/>
        <w:drawing>
          <wp:inline distT="0" distB="0" distL="0" distR="0" wp14:anchorId="37BBCEA6" wp14:editId="4A6E7614">
            <wp:extent cx="5274310" cy="3871595"/>
            <wp:effectExtent l="0" t="0" r="2540" b="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00FA" w14:textId="05E4525E" w:rsidR="00D140F2" w:rsidRDefault="00D422A1" w:rsidP="007C7A6F">
      <w:pPr>
        <w:rPr>
          <w:rFonts w:ascii="Times New Roman" w:hAnsi="Times New Roman" w:cs="Times New Roman"/>
          <w:b/>
          <w:bCs/>
        </w:rPr>
      </w:pPr>
      <w:r w:rsidRPr="007C7A6F">
        <w:rPr>
          <w:rFonts w:ascii="Times New Roman" w:hAnsi="Times New Roman" w:cs="Times New Roman"/>
          <w:b/>
          <w:bCs/>
        </w:rPr>
        <w:t xml:space="preserve">Supplementary </w:t>
      </w:r>
      <w:r w:rsidRPr="007C7A6F">
        <w:rPr>
          <w:rFonts w:ascii="Times New Roman" w:hAnsi="Times New Roman" w:cs="Times New Roman" w:hint="eastAsia"/>
          <w:b/>
          <w:bCs/>
        </w:rPr>
        <w:t>Figure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3 Brief workflow</w:t>
      </w:r>
    </w:p>
    <w:p w14:paraId="2338A23D" w14:textId="4EB4B994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06403E2F" w14:textId="699E3543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756E4146" w14:textId="21CB16E3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0739D112" w14:textId="50164168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00D81085" w14:textId="7BFE7AB5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6CB65B07" w14:textId="2ACF08DD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6393E0B9" w14:textId="3B20FC43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7B7A751F" w14:textId="23EC1DD9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3441E3C7" w14:textId="5ECC09E1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54A3EC9B" w14:textId="2FB8D76B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612CE6EE" w14:textId="12A4281B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3EA36003" w14:textId="1CA72284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52E3EA1C" w14:textId="0C990AF1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66458010" w14:textId="134ECEB7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515D0158" w14:textId="78097604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1E016A9F" w14:textId="37641048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14D16EAE" w14:textId="418FB87E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41A584DA" w14:textId="05E67930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75C3DFAE" w14:textId="76690DB8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37404142" w14:textId="37144CBB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20D06DEA" w14:textId="77156486" w:rsidR="00D422A1" w:rsidRDefault="00D422A1" w:rsidP="007C7A6F">
      <w:pPr>
        <w:rPr>
          <w:rFonts w:ascii="Times New Roman" w:hAnsi="Times New Roman" w:cs="Times New Roman"/>
          <w:b/>
          <w:bCs/>
        </w:rPr>
      </w:pPr>
    </w:p>
    <w:p w14:paraId="0ABE6391" w14:textId="77777777" w:rsidR="00D422A1" w:rsidRDefault="00D422A1" w:rsidP="007C7A6F">
      <w:pPr>
        <w:rPr>
          <w:rFonts w:ascii="Times New Roman" w:hAnsi="Times New Roman" w:cs="Times New Roman" w:hint="eastAsia"/>
          <w:szCs w:val="21"/>
        </w:rPr>
      </w:pPr>
    </w:p>
    <w:p w14:paraId="45312034" w14:textId="7369B783" w:rsidR="00D140F2" w:rsidRPr="00D140F2" w:rsidRDefault="00D140F2" w:rsidP="007C7A6F">
      <w:pPr>
        <w:rPr>
          <w:rFonts w:ascii="Times New Roman" w:hAnsi="Times New Roman" w:cs="Times New Roman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2"/>
        <w:gridCol w:w="3136"/>
        <w:gridCol w:w="1173"/>
        <w:gridCol w:w="1134"/>
        <w:gridCol w:w="1211"/>
      </w:tblGrid>
      <w:tr w:rsidR="00D140F2" w:rsidRPr="003B1969" w14:paraId="0B86EA69" w14:textId="77777777" w:rsidTr="00CB7E0C">
        <w:tc>
          <w:tcPr>
            <w:tcW w:w="165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796D343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spellStart"/>
            <w:r w:rsidRPr="003B1969"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lastRenderedPageBreak/>
              <w:t>Reactome</w:t>
            </w:r>
            <w:proofErr w:type="spellEnd"/>
            <w:r w:rsidRPr="003B1969"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 xml:space="preserve"> ID</w:t>
            </w:r>
          </w:p>
        </w:tc>
        <w:tc>
          <w:tcPr>
            <w:tcW w:w="31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0337CCB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Term Description</w:t>
            </w:r>
          </w:p>
        </w:tc>
        <w:tc>
          <w:tcPr>
            <w:tcW w:w="11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2474E37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spellStart"/>
            <w:r w:rsidRPr="003B1969"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GeneRatio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4905EFC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spellStart"/>
            <w:r w:rsidRPr="003B1969"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BgRatio</w:t>
            </w:r>
            <w:proofErr w:type="spellEnd"/>
          </w:p>
        </w:tc>
        <w:tc>
          <w:tcPr>
            <w:tcW w:w="12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198BC91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spellStart"/>
            <w:proofErr w:type="gramStart"/>
            <w:r w:rsidRPr="003B1969"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p.adjust</w:t>
            </w:r>
            <w:proofErr w:type="spellEnd"/>
            <w:proofErr w:type="gramEnd"/>
          </w:p>
        </w:tc>
      </w:tr>
      <w:tr w:rsidR="00D140F2" w:rsidRPr="003B1969" w14:paraId="76178C81" w14:textId="77777777" w:rsidTr="00CB7E0C">
        <w:tc>
          <w:tcPr>
            <w:tcW w:w="1652" w:type="dxa"/>
            <w:tcBorders>
              <w:top w:val="single" w:sz="4" w:space="0" w:color="auto"/>
            </w:tcBorders>
            <w:vAlign w:val="center"/>
          </w:tcPr>
          <w:p w14:paraId="51DB68A1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R-HSA-112316</w:t>
            </w:r>
          </w:p>
        </w:tc>
        <w:tc>
          <w:tcPr>
            <w:tcW w:w="3136" w:type="dxa"/>
            <w:tcBorders>
              <w:top w:val="single" w:sz="4" w:space="0" w:color="auto"/>
            </w:tcBorders>
            <w:vAlign w:val="center"/>
          </w:tcPr>
          <w:p w14:paraId="6949C1F3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Neuronal System</w:t>
            </w:r>
          </w:p>
        </w:tc>
        <w:tc>
          <w:tcPr>
            <w:tcW w:w="1173" w:type="dxa"/>
            <w:tcBorders>
              <w:top w:val="single" w:sz="4" w:space="0" w:color="auto"/>
            </w:tcBorders>
            <w:vAlign w:val="center"/>
          </w:tcPr>
          <w:p w14:paraId="4DA282D5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24/167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E82135F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410/10856</w:t>
            </w:r>
          </w:p>
        </w:tc>
        <w:tc>
          <w:tcPr>
            <w:tcW w:w="1211" w:type="dxa"/>
            <w:tcBorders>
              <w:top w:val="single" w:sz="4" w:space="0" w:color="auto"/>
            </w:tcBorders>
            <w:vAlign w:val="center"/>
          </w:tcPr>
          <w:p w14:paraId="0F2E163B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9.82E-06</w:t>
            </w:r>
          </w:p>
        </w:tc>
      </w:tr>
      <w:tr w:rsidR="00D140F2" w:rsidRPr="003B1969" w14:paraId="29A4B66D" w14:textId="77777777" w:rsidTr="00CB7E0C">
        <w:tc>
          <w:tcPr>
            <w:tcW w:w="1652" w:type="dxa"/>
            <w:vAlign w:val="center"/>
          </w:tcPr>
          <w:p w14:paraId="00761E1D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R-HSA-112315</w:t>
            </w:r>
          </w:p>
        </w:tc>
        <w:tc>
          <w:tcPr>
            <w:tcW w:w="3136" w:type="dxa"/>
            <w:vAlign w:val="center"/>
          </w:tcPr>
          <w:p w14:paraId="4E6DEBB7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Transmission across Chemical Synapses</w:t>
            </w:r>
          </w:p>
        </w:tc>
        <w:tc>
          <w:tcPr>
            <w:tcW w:w="1173" w:type="dxa"/>
            <w:vAlign w:val="center"/>
          </w:tcPr>
          <w:p w14:paraId="69F8B9A0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14/167</w:t>
            </w:r>
          </w:p>
        </w:tc>
        <w:tc>
          <w:tcPr>
            <w:tcW w:w="1134" w:type="dxa"/>
            <w:vAlign w:val="center"/>
          </w:tcPr>
          <w:p w14:paraId="05F614E2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270/10856</w:t>
            </w:r>
          </w:p>
        </w:tc>
        <w:tc>
          <w:tcPr>
            <w:tcW w:w="1211" w:type="dxa"/>
            <w:vAlign w:val="center"/>
          </w:tcPr>
          <w:p w14:paraId="4C8BC8D7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0.022168</w:t>
            </w:r>
          </w:p>
        </w:tc>
      </w:tr>
      <w:tr w:rsidR="00D140F2" w:rsidRPr="003B1969" w14:paraId="6DE8899E" w14:textId="77777777" w:rsidTr="00CB7E0C">
        <w:tc>
          <w:tcPr>
            <w:tcW w:w="1652" w:type="dxa"/>
            <w:vAlign w:val="center"/>
          </w:tcPr>
          <w:p w14:paraId="2EF730AA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R-HSA-2500257</w:t>
            </w:r>
          </w:p>
        </w:tc>
        <w:tc>
          <w:tcPr>
            <w:tcW w:w="3136" w:type="dxa"/>
            <w:vAlign w:val="center"/>
          </w:tcPr>
          <w:p w14:paraId="5C12C505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Resolution of Sister Chromatid Cohesion</w:t>
            </w:r>
          </w:p>
        </w:tc>
        <w:tc>
          <w:tcPr>
            <w:tcW w:w="1173" w:type="dxa"/>
            <w:vAlign w:val="center"/>
          </w:tcPr>
          <w:p w14:paraId="571D33CC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9/167</w:t>
            </w:r>
          </w:p>
        </w:tc>
        <w:tc>
          <w:tcPr>
            <w:tcW w:w="1134" w:type="dxa"/>
            <w:vAlign w:val="center"/>
          </w:tcPr>
          <w:p w14:paraId="1658F0EE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126/10856</w:t>
            </w:r>
          </w:p>
        </w:tc>
        <w:tc>
          <w:tcPr>
            <w:tcW w:w="1211" w:type="dxa"/>
            <w:vAlign w:val="center"/>
          </w:tcPr>
          <w:p w14:paraId="6D1F8970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0.02859</w:t>
            </w:r>
          </w:p>
        </w:tc>
      </w:tr>
      <w:tr w:rsidR="00D140F2" w:rsidRPr="003B1969" w14:paraId="721797D5" w14:textId="77777777" w:rsidTr="00CB7E0C">
        <w:tc>
          <w:tcPr>
            <w:tcW w:w="1652" w:type="dxa"/>
            <w:vAlign w:val="center"/>
          </w:tcPr>
          <w:p w14:paraId="0CF45D06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R-HSA-69618</w:t>
            </w:r>
          </w:p>
        </w:tc>
        <w:tc>
          <w:tcPr>
            <w:tcW w:w="3136" w:type="dxa"/>
            <w:vAlign w:val="center"/>
          </w:tcPr>
          <w:p w14:paraId="15A174F1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Mitotic Spindle Checkpoint</w:t>
            </w:r>
          </w:p>
        </w:tc>
        <w:tc>
          <w:tcPr>
            <w:tcW w:w="1173" w:type="dxa"/>
            <w:vAlign w:val="center"/>
          </w:tcPr>
          <w:p w14:paraId="6E0FF925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8/167</w:t>
            </w:r>
          </w:p>
        </w:tc>
        <w:tc>
          <w:tcPr>
            <w:tcW w:w="1134" w:type="dxa"/>
            <w:vAlign w:val="center"/>
          </w:tcPr>
          <w:p w14:paraId="75D5F819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113/10856</w:t>
            </w:r>
          </w:p>
        </w:tc>
        <w:tc>
          <w:tcPr>
            <w:tcW w:w="1211" w:type="dxa"/>
            <w:vAlign w:val="center"/>
          </w:tcPr>
          <w:p w14:paraId="2C9BDA6F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0.030701</w:t>
            </w:r>
          </w:p>
        </w:tc>
      </w:tr>
      <w:tr w:rsidR="00D140F2" w:rsidRPr="003B1969" w14:paraId="3B4F7C52" w14:textId="77777777" w:rsidTr="00CB7E0C">
        <w:tc>
          <w:tcPr>
            <w:tcW w:w="1652" w:type="dxa"/>
            <w:vAlign w:val="center"/>
          </w:tcPr>
          <w:p w14:paraId="0E28B979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R-HSA-9609736</w:t>
            </w:r>
          </w:p>
        </w:tc>
        <w:tc>
          <w:tcPr>
            <w:tcW w:w="3136" w:type="dxa"/>
            <w:vAlign w:val="center"/>
          </w:tcPr>
          <w:p w14:paraId="4B600A6F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Assembly and cell surface presentation of NMDA receptors</w:t>
            </w:r>
          </w:p>
        </w:tc>
        <w:tc>
          <w:tcPr>
            <w:tcW w:w="1173" w:type="dxa"/>
            <w:vAlign w:val="center"/>
          </w:tcPr>
          <w:p w14:paraId="3E7D15FF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5/167</w:t>
            </w:r>
          </w:p>
        </w:tc>
        <w:tc>
          <w:tcPr>
            <w:tcW w:w="1134" w:type="dxa"/>
            <w:vAlign w:val="center"/>
          </w:tcPr>
          <w:p w14:paraId="5FC1B106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41/10856</w:t>
            </w:r>
          </w:p>
        </w:tc>
        <w:tc>
          <w:tcPr>
            <w:tcW w:w="1211" w:type="dxa"/>
            <w:vAlign w:val="center"/>
          </w:tcPr>
          <w:p w14:paraId="24B127C5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0.030701</w:t>
            </w:r>
          </w:p>
        </w:tc>
      </w:tr>
      <w:tr w:rsidR="00D140F2" w:rsidRPr="003B1969" w14:paraId="6D69A974" w14:textId="77777777" w:rsidTr="00CB7E0C">
        <w:tc>
          <w:tcPr>
            <w:tcW w:w="1652" w:type="dxa"/>
            <w:vAlign w:val="center"/>
          </w:tcPr>
          <w:p w14:paraId="736121C3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R-HSA-168799</w:t>
            </w:r>
          </w:p>
        </w:tc>
        <w:tc>
          <w:tcPr>
            <w:tcW w:w="3136" w:type="dxa"/>
            <w:vAlign w:val="center"/>
          </w:tcPr>
          <w:p w14:paraId="70593D15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Neurotoxicity of clostridium toxins</w:t>
            </w:r>
          </w:p>
        </w:tc>
        <w:tc>
          <w:tcPr>
            <w:tcW w:w="1173" w:type="dxa"/>
            <w:vAlign w:val="center"/>
          </w:tcPr>
          <w:p w14:paraId="2A894996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3/167</w:t>
            </w:r>
          </w:p>
        </w:tc>
        <w:tc>
          <w:tcPr>
            <w:tcW w:w="1134" w:type="dxa"/>
            <w:vAlign w:val="center"/>
          </w:tcPr>
          <w:p w14:paraId="6FD8DC2D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10/10856</w:t>
            </w:r>
          </w:p>
        </w:tc>
        <w:tc>
          <w:tcPr>
            <w:tcW w:w="1211" w:type="dxa"/>
            <w:vAlign w:val="center"/>
          </w:tcPr>
          <w:p w14:paraId="6D839EA2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0.030701</w:t>
            </w:r>
          </w:p>
        </w:tc>
      </w:tr>
      <w:tr w:rsidR="00D140F2" w:rsidRPr="003B1969" w14:paraId="5FB63541" w14:textId="77777777" w:rsidTr="00CB7E0C">
        <w:tc>
          <w:tcPr>
            <w:tcW w:w="1652" w:type="dxa"/>
            <w:vAlign w:val="center"/>
          </w:tcPr>
          <w:p w14:paraId="0996CA0B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R-HSA-9648025</w:t>
            </w:r>
          </w:p>
        </w:tc>
        <w:tc>
          <w:tcPr>
            <w:tcW w:w="3136" w:type="dxa"/>
            <w:vAlign w:val="center"/>
          </w:tcPr>
          <w:p w14:paraId="78D1C80F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EML4 and NUDC in mitotic spindle formation</w:t>
            </w:r>
          </w:p>
        </w:tc>
        <w:tc>
          <w:tcPr>
            <w:tcW w:w="1173" w:type="dxa"/>
            <w:vAlign w:val="center"/>
          </w:tcPr>
          <w:p w14:paraId="22F4CCE7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8/167</w:t>
            </w:r>
          </w:p>
        </w:tc>
        <w:tc>
          <w:tcPr>
            <w:tcW w:w="1134" w:type="dxa"/>
            <w:vAlign w:val="center"/>
          </w:tcPr>
          <w:p w14:paraId="246591A9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117/10856</w:t>
            </w:r>
          </w:p>
        </w:tc>
        <w:tc>
          <w:tcPr>
            <w:tcW w:w="1211" w:type="dxa"/>
            <w:vAlign w:val="center"/>
          </w:tcPr>
          <w:p w14:paraId="6791CEC4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0.030701</w:t>
            </w:r>
          </w:p>
        </w:tc>
      </w:tr>
      <w:tr w:rsidR="00D140F2" w:rsidRPr="003B1969" w14:paraId="3C334F0A" w14:textId="77777777" w:rsidTr="00CB7E0C">
        <w:tc>
          <w:tcPr>
            <w:tcW w:w="1652" w:type="dxa"/>
            <w:vAlign w:val="center"/>
          </w:tcPr>
          <w:p w14:paraId="6C25E8B6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R-HSA-1296072</w:t>
            </w:r>
          </w:p>
        </w:tc>
        <w:tc>
          <w:tcPr>
            <w:tcW w:w="3136" w:type="dxa"/>
            <w:vAlign w:val="center"/>
          </w:tcPr>
          <w:p w14:paraId="055D6FC1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Voltage gated Potassium channels</w:t>
            </w:r>
          </w:p>
        </w:tc>
        <w:tc>
          <w:tcPr>
            <w:tcW w:w="1173" w:type="dxa"/>
            <w:vAlign w:val="center"/>
          </w:tcPr>
          <w:p w14:paraId="6C94E64C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5/167</w:t>
            </w:r>
          </w:p>
        </w:tc>
        <w:tc>
          <w:tcPr>
            <w:tcW w:w="1134" w:type="dxa"/>
            <w:vAlign w:val="center"/>
          </w:tcPr>
          <w:p w14:paraId="2753F1BD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43/10856</w:t>
            </w:r>
          </w:p>
        </w:tc>
        <w:tc>
          <w:tcPr>
            <w:tcW w:w="1211" w:type="dxa"/>
            <w:vAlign w:val="center"/>
          </w:tcPr>
          <w:p w14:paraId="5A6DAA83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0.030701</w:t>
            </w:r>
          </w:p>
        </w:tc>
      </w:tr>
      <w:tr w:rsidR="00D140F2" w:rsidRPr="003B1969" w14:paraId="3CEFCC49" w14:textId="77777777" w:rsidTr="00CB7E0C">
        <w:tc>
          <w:tcPr>
            <w:tcW w:w="1652" w:type="dxa"/>
            <w:vAlign w:val="center"/>
          </w:tcPr>
          <w:p w14:paraId="176BF83E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R-HSA-373760</w:t>
            </w:r>
          </w:p>
        </w:tc>
        <w:tc>
          <w:tcPr>
            <w:tcW w:w="3136" w:type="dxa"/>
            <w:vAlign w:val="center"/>
          </w:tcPr>
          <w:p w14:paraId="241F328D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L1CAM interactions</w:t>
            </w:r>
          </w:p>
        </w:tc>
        <w:tc>
          <w:tcPr>
            <w:tcW w:w="1173" w:type="dxa"/>
            <w:vAlign w:val="center"/>
          </w:tcPr>
          <w:p w14:paraId="5BE2FE66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8/167</w:t>
            </w:r>
          </w:p>
        </w:tc>
        <w:tc>
          <w:tcPr>
            <w:tcW w:w="1134" w:type="dxa"/>
            <w:vAlign w:val="center"/>
          </w:tcPr>
          <w:p w14:paraId="2E466B38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119/10856</w:t>
            </w:r>
          </w:p>
        </w:tc>
        <w:tc>
          <w:tcPr>
            <w:tcW w:w="1211" w:type="dxa"/>
            <w:vAlign w:val="center"/>
          </w:tcPr>
          <w:p w14:paraId="5E8C06DA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0.030701</w:t>
            </w:r>
          </w:p>
        </w:tc>
      </w:tr>
      <w:tr w:rsidR="00D140F2" w:rsidRPr="003B1969" w14:paraId="16B0C82E" w14:textId="77777777" w:rsidTr="00CB7E0C">
        <w:tc>
          <w:tcPr>
            <w:tcW w:w="1652" w:type="dxa"/>
            <w:vAlign w:val="center"/>
          </w:tcPr>
          <w:p w14:paraId="567CE65C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R-HSA-877300</w:t>
            </w:r>
          </w:p>
        </w:tc>
        <w:tc>
          <w:tcPr>
            <w:tcW w:w="3136" w:type="dxa"/>
            <w:vAlign w:val="center"/>
          </w:tcPr>
          <w:p w14:paraId="109E2919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Interferon gamma signaling</w:t>
            </w:r>
          </w:p>
        </w:tc>
        <w:tc>
          <w:tcPr>
            <w:tcW w:w="1173" w:type="dxa"/>
            <w:vAlign w:val="center"/>
          </w:tcPr>
          <w:p w14:paraId="1E9B571C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7/167</w:t>
            </w:r>
          </w:p>
        </w:tc>
        <w:tc>
          <w:tcPr>
            <w:tcW w:w="1134" w:type="dxa"/>
            <w:vAlign w:val="center"/>
          </w:tcPr>
          <w:p w14:paraId="48699B66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91/10856</w:t>
            </w:r>
          </w:p>
        </w:tc>
        <w:tc>
          <w:tcPr>
            <w:tcW w:w="1211" w:type="dxa"/>
            <w:vAlign w:val="center"/>
          </w:tcPr>
          <w:p w14:paraId="167B63CF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0.030701</w:t>
            </w:r>
          </w:p>
        </w:tc>
      </w:tr>
      <w:tr w:rsidR="00D140F2" w:rsidRPr="003B1969" w14:paraId="4A38F263" w14:textId="77777777" w:rsidTr="00CB7E0C">
        <w:tc>
          <w:tcPr>
            <w:tcW w:w="1652" w:type="dxa"/>
            <w:vAlign w:val="center"/>
          </w:tcPr>
          <w:p w14:paraId="16FC473C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R-HSA-141424</w:t>
            </w:r>
          </w:p>
        </w:tc>
        <w:tc>
          <w:tcPr>
            <w:tcW w:w="3136" w:type="dxa"/>
            <w:vAlign w:val="center"/>
          </w:tcPr>
          <w:p w14:paraId="674576F3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Amplification of signal from the kinetochores</w:t>
            </w:r>
          </w:p>
        </w:tc>
        <w:tc>
          <w:tcPr>
            <w:tcW w:w="1173" w:type="dxa"/>
            <w:vAlign w:val="center"/>
          </w:tcPr>
          <w:p w14:paraId="6EF14448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7/167</w:t>
            </w:r>
          </w:p>
        </w:tc>
        <w:tc>
          <w:tcPr>
            <w:tcW w:w="1134" w:type="dxa"/>
            <w:vAlign w:val="center"/>
          </w:tcPr>
          <w:p w14:paraId="38D56F99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96/10856</w:t>
            </w:r>
          </w:p>
        </w:tc>
        <w:tc>
          <w:tcPr>
            <w:tcW w:w="1211" w:type="dxa"/>
            <w:vAlign w:val="center"/>
          </w:tcPr>
          <w:p w14:paraId="6F271AB8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0.03452</w:t>
            </w:r>
          </w:p>
        </w:tc>
      </w:tr>
      <w:tr w:rsidR="00D140F2" w:rsidRPr="003B1969" w14:paraId="369E4FA9" w14:textId="77777777" w:rsidTr="00CB7E0C">
        <w:tc>
          <w:tcPr>
            <w:tcW w:w="1652" w:type="dxa"/>
            <w:vAlign w:val="center"/>
          </w:tcPr>
          <w:p w14:paraId="05B7AF63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R-HSA-141444</w:t>
            </w:r>
          </w:p>
        </w:tc>
        <w:tc>
          <w:tcPr>
            <w:tcW w:w="3136" w:type="dxa"/>
            <w:vAlign w:val="center"/>
          </w:tcPr>
          <w:p w14:paraId="72D02042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proofErr w:type="gramStart"/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Amplification  of</w:t>
            </w:r>
            <w:proofErr w:type="gramEnd"/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signal from unattached  kinetochores via a MAD2  inhibitory signal</w:t>
            </w:r>
          </w:p>
        </w:tc>
        <w:tc>
          <w:tcPr>
            <w:tcW w:w="1173" w:type="dxa"/>
            <w:vAlign w:val="center"/>
          </w:tcPr>
          <w:p w14:paraId="35728621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7/167</w:t>
            </w:r>
          </w:p>
        </w:tc>
        <w:tc>
          <w:tcPr>
            <w:tcW w:w="1134" w:type="dxa"/>
            <w:vAlign w:val="center"/>
          </w:tcPr>
          <w:p w14:paraId="05906719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96/10856</w:t>
            </w:r>
          </w:p>
        </w:tc>
        <w:tc>
          <w:tcPr>
            <w:tcW w:w="1211" w:type="dxa"/>
            <w:vAlign w:val="center"/>
          </w:tcPr>
          <w:p w14:paraId="0FCFEC06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0.03452</w:t>
            </w:r>
          </w:p>
        </w:tc>
      </w:tr>
      <w:tr w:rsidR="00D140F2" w:rsidRPr="003B1969" w14:paraId="13FA2980" w14:textId="77777777" w:rsidTr="00CB7E0C">
        <w:tc>
          <w:tcPr>
            <w:tcW w:w="1652" w:type="dxa"/>
            <w:vAlign w:val="center"/>
          </w:tcPr>
          <w:p w14:paraId="7262EA0C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R-HSA-3000170</w:t>
            </w:r>
          </w:p>
        </w:tc>
        <w:tc>
          <w:tcPr>
            <w:tcW w:w="3136" w:type="dxa"/>
            <w:vAlign w:val="center"/>
          </w:tcPr>
          <w:p w14:paraId="57B9BE87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Syndecan</w:t>
            </w:r>
            <w:proofErr w:type="spellEnd"/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interactions</w:t>
            </w:r>
          </w:p>
        </w:tc>
        <w:tc>
          <w:tcPr>
            <w:tcW w:w="1173" w:type="dxa"/>
            <w:vAlign w:val="center"/>
          </w:tcPr>
          <w:p w14:paraId="0BCF17BD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4/167</w:t>
            </w:r>
          </w:p>
        </w:tc>
        <w:tc>
          <w:tcPr>
            <w:tcW w:w="1134" w:type="dxa"/>
            <w:vAlign w:val="center"/>
          </w:tcPr>
          <w:p w14:paraId="22CE6735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27/10856</w:t>
            </w:r>
          </w:p>
        </w:tc>
        <w:tc>
          <w:tcPr>
            <w:tcW w:w="1211" w:type="dxa"/>
            <w:vAlign w:val="center"/>
          </w:tcPr>
          <w:p w14:paraId="635A22E9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0.03452</w:t>
            </w:r>
          </w:p>
        </w:tc>
      </w:tr>
      <w:tr w:rsidR="00D140F2" w:rsidRPr="003B1969" w14:paraId="2B60D8CE" w14:textId="77777777" w:rsidTr="00CB7E0C">
        <w:tc>
          <w:tcPr>
            <w:tcW w:w="1652" w:type="dxa"/>
            <w:vAlign w:val="center"/>
          </w:tcPr>
          <w:p w14:paraId="7F16D9B4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R-HSA-1296071</w:t>
            </w:r>
          </w:p>
        </w:tc>
        <w:tc>
          <w:tcPr>
            <w:tcW w:w="3136" w:type="dxa"/>
            <w:vAlign w:val="center"/>
          </w:tcPr>
          <w:p w14:paraId="2AAAD62A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Potassium Channels</w:t>
            </w:r>
          </w:p>
        </w:tc>
        <w:tc>
          <w:tcPr>
            <w:tcW w:w="1173" w:type="dxa"/>
            <w:vAlign w:val="center"/>
          </w:tcPr>
          <w:p w14:paraId="76E6C1D3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7/167</w:t>
            </w:r>
          </w:p>
        </w:tc>
        <w:tc>
          <w:tcPr>
            <w:tcW w:w="1134" w:type="dxa"/>
            <w:vAlign w:val="center"/>
          </w:tcPr>
          <w:p w14:paraId="0DA6C12E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103/10856</w:t>
            </w:r>
          </w:p>
        </w:tc>
        <w:tc>
          <w:tcPr>
            <w:tcW w:w="1211" w:type="dxa"/>
            <w:vAlign w:val="center"/>
          </w:tcPr>
          <w:p w14:paraId="514DA933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0.043328</w:t>
            </w:r>
          </w:p>
        </w:tc>
      </w:tr>
      <w:tr w:rsidR="00D140F2" w:rsidRPr="003B1969" w14:paraId="5E6DC6A5" w14:textId="77777777" w:rsidTr="00CB7E0C">
        <w:tc>
          <w:tcPr>
            <w:tcW w:w="1652" w:type="dxa"/>
            <w:vAlign w:val="center"/>
          </w:tcPr>
          <w:p w14:paraId="3D6A110E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R-HSA-3000178</w:t>
            </w:r>
          </w:p>
        </w:tc>
        <w:tc>
          <w:tcPr>
            <w:tcW w:w="3136" w:type="dxa"/>
            <w:vAlign w:val="center"/>
          </w:tcPr>
          <w:p w14:paraId="291D2519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ECM proteoglycans</w:t>
            </w:r>
          </w:p>
        </w:tc>
        <w:tc>
          <w:tcPr>
            <w:tcW w:w="1173" w:type="dxa"/>
            <w:vAlign w:val="center"/>
          </w:tcPr>
          <w:p w14:paraId="5E24EFD8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6/167</w:t>
            </w:r>
          </w:p>
        </w:tc>
        <w:tc>
          <w:tcPr>
            <w:tcW w:w="1134" w:type="dxa"/>
            <w:vAlign w:val="center"/>
          </w:tcPr>
          <w:p w14:paraId="4A122169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76/10856</w:t>
            </w:r>
          </w:p>
        </w:tc>
        <w:tc>
          <w:tcPr>
            <w:tcW w:w="1211" w:type="dxa"/>
            <w:vAlign w:val="center"/>
          </w:tcPr>
          <w:p w14:paraId="3498A139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0.043328</w:t>
            </w:r>
          </w:p>
        </w:tc>
      </w:tr>
      <w:tr w:rsidR="00D140F2" w:rsidRPr="003B1969" w14:paraId="3DB8C15C" w14:textId="77777777" w:rsidTr="00CB7E0C">
        <w:tc>
          <w:tcPr>
            <w:tcW w:w="1652" w:type="dxa"/>
            <w:vAlign w:val="center"/>
          </w:tcPr>
          <w:p w14:paraId="346A97F6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R-HSA-428540</w:t>
            </w:r>
          </w:p>
        </w:tc>
        <w:tc>
          <w:tcPr>
            <w:tcW w:w="3136" w:type="dxa"/>
            <w:vAlign w:val="center"/>
          </w:tcPr>
          <w:p w14:paraId="7854810B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Activation of RAC1</w:t>
            </w:r>
          </w:p>
        </w:tc>
        <w:tc>
          <w:tcPr>
            <w:tcW w:w="1173" w:type="dxa"/>
            <w:vAlign w:val="center"/>
          </w:tcPr>
          <w:p w14:paraId="5CE78A8A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3/167</w:t>
            </w:r>
          </w:p>
        </w:tc>
        <w:tc>
          <w:tcPr>
            <w:tcW w:w="1134" w:type="dxa"/>
            <w:vAlign w:val="center"/>
          </w:tcPr>
          <w:p w14:paraId="39BAC09A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14/10856</w:t>
            </w:r>
          </w:p>
        </w:tc>
        <w:tc>
          <w:tcPr>
            <w:tcW w:w="1211" w:type="dxa"/>
            <w:vAlign w:val="center"/>
          </w:tcPr>
          <w:p w14:paraId="4C7BA012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0.043328</w:t>
            </w:r>
          </w:p>
        </w:tc>
      </w:tr>
      <w:tr w:rsidR="00D140F2" w:rsidRPr="003B1969" w14:paraId="3B4E292B" w14:textId="77777777" w:rsidTr="00CB7E0C">
        <w:tc>
          <w:tcPr>
            <w:tcW w:w="1652" w:type="dxa"/>
            <w:vAlign w:val="center"/>
          </w:tcPr>
          <w:p w14:paraId="73DEB2B2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R-HSA-68877</w:t>
            </w:r>
          </w:p>
        </w:tc>
        <w:tc>
          <w:tcPr>
            <w:tcW w:w="3136" w:type="dxa"/>
            <w:vAlign w:val="center"/>
          </w:tcPr>
          <w:p w14:paraId="417A536B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Mitotic Prometaphase</w:t>
            </w:r>
          </w:p>
        </w:tc>
        <w:tc>
          <w:tcPr>
            <w:tcW w:w="1173" w:type="dxa"/>
            <w:vAlign w:val="center"/>
          </w:tcPr>
          <w:p w14:paraId="0CDF1A59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10/167</w:t>
            </w:r>
          </w:p>
        </w:tc>
        <w:tc>
          <w:tcPr>
            <w:tcW w:w="1134" w:type="dxa"/>
            <w:vAlign w:val="center"/>
          </w:tcPr>
          <w:p w14:paraId="66028014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204/10856</w:t>
            </w:r>
          </w:p>
        </w:tc>
        <w:tc>
          <w:tcPr>
            <w:tcW w:w="1211" w:type="dxa"/>
            <w:vAlign w:val="center"/>
          </w:tcPr>
          <w:p w14:paraId="08F85E81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0.043328</w:t>
            </w:r>
          </w:p>
        </w:tc>
      </w:tr>
      <w:tr w:rsidR="00D140F2" w:rsidRPr="003B1969" w14:paraId="36BD33D4" w14:textId="77777777" w:rsidTr="00CB7E0C">
        <w:tc>
          <w:tcPr>
            <w:tcW w:w="1652" w:type="dxa"/>
            <w:vAlign w:val="center"/>
          </w:tcPr>
          <w:p w14:paraId="408E3A33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R-HSA-418594</w:t>
            </w:r>
          </w:p>
        </w:tc>
        <w:tc>
          <w:tcPr>
            <w:tcW w:w="3136" w:type="dxa"/>
            <w:vAlign w:val="center"/>
          </w:tcPr>
          <w:p w14:paraId="2B5B9FBA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G alpha (</w:t>
            </w:r>
            <w:proofErr w:type="spellStart"/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i</w:t>
            </w:r>
            <w:proofErr w:type="spellEnd"/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) </w:t>
            </w:r>
            <w:proofErr w:type="spellStart"/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signalling</w:t>
            </w:r>
            <w:proofErr w:type="spellEnd"/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events</w:t>
            </w:r>
          </w:p>
        </w:tc>
        <w:tc>
          <w:tcPr>
            <w:tcW w:w="1173" w:type="dxa"/>
            <w:vAlign w:val="center"/>
          </w:tcPr>
          <w:p w14:paraId="750B7D4E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13/167</w:t>
            </w:r>
          </w:p>
        </w:tc>
        <w:tc>
          <w:tcPr>
            <w:tcW w:w="1134" w:type="dxa"/>
            <w:vAlign w:val="center"/>
          </w:tcPr>
          <w:p w14:paraId="54D31843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318/10856</w:t>
            </w:r>
          </w:p>
        </w:tc>
        <w:tc>
          <w:tcPr>
            <w:tcW w:w="1211" w:type="dxa"/>
            <w:vAlign w:val="center"/>
          </w:tcPr>
          <w:p w14:paraId="4156B727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0.043328</w:t>
            </w:r>
          </w:p>
        </w:tc>
      </w:tr>
      <w:tr w:rsidR="00D140F2" w:rsidRPr="003B1969" w14:paraId="73485B7E" w14:textId="77777777" w:rsidTr="00CB7E0C">
        <w:tc>
          <w:tcPr>
            <w:tcW w:w="1652" w:type="dxa"/>
            <w:vAlign w:val="center"/>
          </w:tcPr>
          <w:p w14:paraId="137A0BA2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R-HSA-5663220</w:t>
            </w:r>
          </w:p>
        </w:tc>
        <w:tc>
          <w:tcPr>
            <w:tcW w:w="3136" w:type="dxa"/>
            <w:vAlign w:val="center"/>
          </w:tcPr>
          <w:p w14:paraId="4C1D017E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RHO GTPases Activate </w:t>
            </w:r>
            <w:proofErr w:type="spellStart"/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Formins</w:t>
            </w:r>
            <w:proofErr w:type="spellEnd"/>
          </w:p>
        </w:tc>
        <w:tc>
          <w:tcPr>
            <w:tcW w:w="1173" w:type="dxa"/>
            <w:vAlign w:val="center"/>
          </w:tcPr>
          <w:p w14:paraId="0FCF2F18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8/167</w:t>
            </w:r>
          </w:p>
        </w:tc>
        <w:tc>
          <w:tcPr>
            <w:tcW w:w="1134" w:type="dxa"/>
            <w:vAlign w:val="center"/>
          </w:tcPr>
          <w:p w14:paraId="1A4E69E9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140/10856</w:t>
            </w:r>
          </w:p>
        </w:tc>
        <w:tc>
          <w:tcPr>
            <w:tcW w:w="1211" w:type="dxa"/>
            <w:vAlign w:val="center"/>
          </w:tcPr>
          <w:p w14:paraId="4D41E058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0.046589</w:t>
            </w:r>
          </w:p>
        </w:tc>
      </w:tr>
      <w:tr w:rsidR="00D140F2" w:rsidRPr="003B1969" w14:paraId="628E0754" w14:textId="77777777" w:rsidTr="00CB7E0C">
        <w:tc>
          <w:tcPr>
            <w:tcW w:w="1652" w:type="dxa"/>
            <w:tcBorders>
              <w:bottom w:val="single" w:sz="12" w:space="0" w:color="auto"/>
            </w:tcBorders>
            <w:vAlign w:val="center"/>
          </w:tcPr>
          <w:p w14:paraId="39EAF493" w14:textId="77777777" w:rsidR="00D140F2" w:rsidRPr="003B1969" w:rsidRDefault="00D140F2" w:rsidP="00CB7E0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R-HSA-6794361</w:t>
            </w:r>
          </w:p>
        </w:tc>
        <w:tc>
          <w:tcPr>
            <w:tcW w:w="3136" w:type="dxa"/>
            <w:tcBorders>
              <w:bottom w:val="single" w:sz="12" w:space="0" w:color="auto"/>
            </w:tcBorders>
            <w:vAlign w:val="center"/>
          </w:tcPr>
          <w:p w14:paraId="05B5725D" w14:textId="77777777" w:rsidR="00D140F2" w:rsidRPr="003B1969" w:rsidRDefault="00D140F2" w:rsidP="00CB7E0C">
            <w:pPr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Neurexins and neuroligins</w:t>
            </w:r>
          </w:p>
        </w:tc>
        <w:tc>
          <w:tcPr>
            <w:tcW w:w="1173" w:type="dxa"/>
            <w:tcBorders>
              <w:bottom w:val="single" w:sz="12" w:space="0" w:color="auto"/>
            </w:tcBorders>
            <w:vAlign w:val="center"/>
          </w:tcPr>
          <w:p w14:paraId="1CF10DCA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5/167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66AAB41B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55/10856</w:t>
            </w:r>
          </w:p>
        </w:tc>
        <w:tc>
          <w:tcPr>
            <w:tcW w:w="1211" w:type="dxa"/>
            <w:tcBorders>
              <w:bottom w:val="single" w:sz="12" w:space="0" w:color="auto"/>
            </w:tcBorders>
            <w:vAlign w:val="center"/>
          </w:tcPr>
          <w:p w14:paraId="3DCC52B7" w14:textId="77777777" w:rsidR="00D140F2" w:rsidRPr="003B1969" w:rsidRDefault="00D140F2" w:rsidP="00CB7E0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B1969">
              <w:rPr>
                <w:rFonts w:ascii="Times New Roman" w:eastAsia="等线" w:hAnsi="Times New Roman" w:cs="Times New Roman"/>
                <w:color w:val="000000"/>
                <w:szCs w:val="21"/>
              </w:rPr>
              <w:t>0.047328</w:t>
            </w:r>
          </w:p>
        </w:tc>
      </w:tr>
    </w:tbl>
    <w:p w14:paraId="5A8E6A18" w14:textId="1B245779" w:rsidR="007C7A6F" w:rsidRPr="007C7A6F" w:rsidRDefault="00A006EF">
      <w:pPr>
        <w:rPr>
          <w:rFonts w:ascii="Times New Roman" w:hAnsi="Times New Roman" w:cs="Times New Roman"/>
        </w:rPr>
      </w:pPr>
      <w:r w:rsidRPr="007C7A6F">
        <w:rPr>
          <w:rFonts w:ascii="Times New Roman" w:hAnsi="Times New Roman" w:cs="Times New Roman"/>
          <w:b/>
          <w:bCs/>
        </w:rPr>
        <w:t xml:space="preserve">Supplementary </w:t>
      </w:r>
      <w:r w:rsidR="002238FB">
        <w:rPr>
          <w:rFonts w:ascii="Times New Roman" w:hAnsi="Times New Roman" w:cs="Times New Roman"/>
          <w:b/>
          <w:bCs/>
        </w:rPr>
        <w:t>Table Enrichment</w:t>
      </w:r>
      <w:r w:rsidRPr="007C7A6F">
        <w:rPr>
          <w:rFonts w:ascii="Times New Roman" w:hAnsi="Times New Roman" w:cs="Times New Roman"/>
          <w:b/>
          <w:bCs/>
          <w:szCs w:val="21"/>
        </w:rPr>
        <w:t xml:space="preserve"> analysis of DETFTGs</w:t>
      </w:r>
      <w:r>
        <w:rPr>
          <w:rFonts w:ascii="Times New Roman" w:hAnsi="Times New Roman" w:cs="Times New Roman"/>
          <w:b/>
          <w:bCs/>
          <w:szCs w:val="21"/>
        </w:rPr>
        <w:t xml:space="preserve"> via </w:t>
      </w:r>
      <w:proofErr w:type="spellStart"/>
      <w:r>
        <w:rPr>
          <w:rFonts w:ascii="Times New Roman" w:hAnsi="Times New Roman" w:cs="Times New Roman"/>
          <w:b/>
          <w:bCs/>
          <w:szCs w:val="21"/>
        </w:rPr>
        <w:t>Reactome</w:t>
      </w:r>
      <w:proofErr w:type="spellEnd"/>
      <w:r>
        <w:rPr>
          <w:rFonts w:ascii="Times New Roman" w:hAnsi="Times New Roman" w:cs="Times New Roman"/>
          <w:b/>
          <w:bCs/>
          <w:szCs w:val="21"/>
        </w:rPr>
        <w:t xml:space="preserve"> database</w:t>
      </w:r>
      <w:r w:rsidR="00CA1317">
        <w:rPr>
          <w:rFonts w:ascii="Times New Roman" w:hAnsi="Times New Roman" w:cs="Times New Roman"/>
          <w:b/>
          <w:bCs/>
          <w:szCs w:val="21"/>
        </w:rPr>
        <w:t xml:space="preserve">. </w:t>
      </w:r>
    </w:p>
    <w:sectPr w:rsidR="007C7A6F" w:rsidRPr="007C7A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2A170" w14:textId="77777777" w:rsidR="00EA4E94" w:rsidRDefault="00EA4E94" w:rsidP="00A006EF">
      <w:r>
        <w:separator/>
      </w:r>
    </w:p>
  </w:endnote>
  <w:endnote w:type="continuationSeparator" w:id="0">
    <w:p w14:paraId="3E93D98B" w14:textId="77777777" w:rsidR="00EA4E94" w:rsidRDefault="00EA4E94" w:rsidP="00A00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64A80" w14:textId="77777777" w:rsidR="00EA4E94" w:rsidRDefault="00EA4E94" w:rsidP="00A006EF">
      <w:r>
        <w:separator/>
      </w:r>
    </w:p>
  </w:footnote>
  <w:footnote w:type="continuationSeparator" w:id="0">
    <w:p w14:paraId="55A51F8C" w14:textId="77777777" w:rsidR="00EA4E94" w:rsidRDefault="00EA4E94" w:rsidP="00A006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12251"/>
    <w:multiLevelType w:val="hybridMultilevel"/>
    <w:tmpl w:val="C3F8A224"/>
    <w:lvl w:ilvl="0" w:tplc="8140F1C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7DA"/>
    <w:rsid w:val="002238FB"/>
    <w:rsid w:val="003F611B"/>
    <w:rsid w:val="004D57DA"/>
    <w:rsid w:val="0058587B"/>
    <w:rsid w:val="006773D5"/>
    <w:rsid w:val="007C7A6F"/>
    <w:rsid w:val="00A006EF"/>
    <w:rsid w:val="00CA1317"/>
    <w:rsid w:val="00D140F2"/>
    <w:rsid w:val="00D422A1"/>
    <w:rsid w:val="00EA4E94"/>
    <w:rsid w:val="00F3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9B94E"/>
  <w15:chartTrackingRefBased/>
  <w15:docId w15:val="{FE75F7D7-CBEE-4EF3-B616-2392D82A1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7A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A6F"/>
    <w:pPr>
      <w:ind w:firstLineChars="200" w:firstLine="420"/>
    </w:pPr>
  </w:style>
  <w:style w:type="table" w:styleId="a4">
    <w:name w:val="Table Grid"/>
    <w:basedOn w:val="a1"/>
    <w:uiPriority w:val="39"/>
    <w:rsid w:val="00D14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006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006E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006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006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290</Words>
  <Characters>1659</Characters>
  <Application>Microsoft Office Word</Application>
  <DocSecurity>0</DocSecurity>
  <Lines>13</Lines>
  <Paragraphs>3</Paragraphs>
  <ScaleCrop>false</ScaleCrop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Peidong Liu</dc:creator>
  <cp:keywords/>
  <dc:description/>
  <cp:lastModifiedBy>Peidong Liu</cp:lastModifiedBy>
  <cp:revision>2</cp:revision>
  <dcterms:created xsi:type="dcterms:W3CDTF">2021-10-20T17:34:00Z</dcterms:created>
  <dcterms:modified xsi:type="dcterms:W3CDTF">2021-10-20T17:34:00Z</dcterms:modified>
</cp:coreProperties>
</file>