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FE05" w14:textId="77A47344" w:rsidR="008143CA" w:rsidRPr="008143CA" w:rsidRDefault="008143CA" w:rsidP="003D680F">
      <w:pPr>
        <w:rPr>
          <w:rFonts w:ascii="Arial" w:hAnsi="Arial" w:cs="Arial"/>
          <w:b/>
        </w:rPr>
      </w:pPr>
      <w:r w:rsidRPr="008143CA">
        <w:rPr>
          <w:rFonts w:ascii="Arial" w:hAnsi="Arial" w:cs="Arial"/>
          <w:b/>
        </w:rPr>
        <w:t xml:space="preserve">Safety, Pharmacokinetics and Pharmacodynamics of the Selective Glucocorticoid Receptor Modulator </w:t>
      </w:r>
      <w:proofErr w:type="spellStart"/>
      <w:r w:rsidRPr="008143CA">
        <w:rPr>
          <w:rFonts w:ascii="Arial" w:hAnsi="Arial" w:cs="Arial"/>
          <w:b/>
        </w:rPr>
        <w:t>Velsecorat</w:t>
      </w:r>
      <w:proofErr w:type="spellEnd"/>
      <w:r w:rsidRPr="008143CA">
        <w:rPr>
          <w:rFonts w:ascii="Arial" w:hAnsi="Arial" w:cs="Arial"/>
          <w:b/>
        </w:rPr>
        <w:t xml:space="preserve"> (AZD7594) Following Inhalation in Healthy Volunteers</w:t>
      </w:r>
    </w:p>
    <w:p w14:paraId="328075C2" w14:textId="753EC12E" w:rsidR="00335338" w:rsidRPr="008143CA" w:rsidRDefault="00335338" w:rsidP="003D680F">
      <w:pPr>
        <w:rPr>
          <w:rFonts w:ascii="Arial" w:hAnsi="Arial" w:cs="Arial"/>
          <w:b/>
        </w:rPr>
      </w:pPr>
      <w:r w:rsidRPr="008143CA">
        <w:rPr>
          <w:rFonts w:ascii="Arial" w:hAnsi="Arial" w:cs="Arial"/>
          <w:b/>
        </w:rPr>
        <w:t>Supplementary Materials</w:t>
      </w:r>
    </w:p>
    <w:p w14:paraId="4BF67CB2" w14:textId="4177F861" w:rsidR="003D680F" w:rsidRPr="00944CCD" w:rsidRDefault="003D680F" w:rsidP="003D680F">
      <w:pPr>
        <w:rPr>
          <w:rFonts w:ascii="Arial" w:hAnsi="Arial" w:cs="Arial"/>
          <w:b/>
          <w:u w:val="single"/>
        </w:rPr>
      </w:pPr>
      <w:r w:rsidRPr="00944CCD">
        <w:rPr>
          <w:rFonts w:ascii="Arial" w:hAnsi="Arial" w:cs="Arial"/>
          <w:b/>
          <w:u w:val="single"/>
        </w:rPr>
        <w:t>Supplementary Tables</w:t>
      </w:r>
    </w:p>
    <w:p w14:paraId="4A1A8D55" w14:textId="77777777" w:rsidR="003D680F" w:rsidRPr="0048001E" w:rsidRDefault="003D680F" w:rsidP="003D680F">
      <w:pPr>
        <w:rPr>
          <w:rFonts w:ascii="Arial" w:hAnsi="Arial" w:cs="Arial"/>
          <w:b/>
        </w:rPr>
      </w:pPr>
      <w:r w:rsidRPr="0048001E">
        <w:rPr>
          <w:rFonts w:ascii="Arial" w:hAnsi="Arial" w:cs="Arial"/>
          <w:b/>
        </w:rPr>
        <w:t xml:space="preserve">Table S1. Statistical comparison of ratio of post-ACTH over pre-ACTH stimulation test plasma cortisol concentrations </w:t>
      </w:r>
      <w:r>
        <w:rPr>
          <w:rFonts w:ascii="Arial" w:hAnsi="Arial" w:cs="Arial"/>
          <w:b/>
        </w:rPr>
        <w:t>following once-daily dosing for 12 days (</w:t>
      </w:r>
      <w:r w:rsidRPr="0048001E">
        <w:rPr>
          <w:rFonts w:ascii="Arial" w:hAnsi="Arial" w:cs="Arial"/>
          <w:b/>
        </w:rPr>
        <w:t>Day 16</w:t>
      </w:r>
      <w:r>
        <w:rPr>
          <w:rFonts w:ascii="Arial" w:hAnsi="Arial" w:cs="Arial"/>
          <w:b/>
        </w:rPr>
        <w:t>)</w:t>
      </w:r>
      <w:r w:rsidRPr="0048001E">
        <w:rPr>
          <w:rFonts w:ascii="Arial" w:hAnsi="Arial" w:cs="Arial"/>
          <w:b/>
        </w:rPr>
        <w:t xml:space="preserve"> in multiple dose </w:t>
      </w:r>
      <w:r>
        <w:rPr>
          <w:rFonts w:ascii="Arial" w:hAnsi="Arial" w:cs="Arial"/>
          <w:b/>
        </w:rPr>
        <w:t>part</w:t>
      </w:r>
    </w:p>
    <w:tbl>
      <w:tblPr>
        <w:tblStyle w:val="TableGrid"/>
        <w:tblW w:w="0" w:type="auto"/>
        <w:tblInd w:w="254" w:type="dxa"/>
        <w:tblLook w:val="04A0" w:firstRow="1" w:lastRow="0" w:firstColumn="1" w:lastColumn="0" w:noHBand="0" w:noVBand="1"/>
      </w:tblPr>
      <w:tblGrid>
        <w:gridCol w:w="2407"/>
        <w:gridCol w:w="1550"/>
        <w:gridCol w:w="645"/>
        <w:gridCol w:w="1904"/>
        <w:gridCol w:w="1697"/>
        <w:gridCol w:w="1733"/>
      </w:tblGrid>
      <w:tr w:rsidR="003D680F" w:rsidRPr="0048001E" w14:paraId="3BE71BED" w14:textId="77777777" w:rsidTr="00335338">
        <w:tc>
          <w:tcPr>
            <w:tcW w:w="2407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7ACD975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1550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3D1F46B4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Treatment</w:t>
            </w:r>
          </w:p>
        </w:tc>
        <w:tc>
          <w:tcPr>
            <w:tcW w:w="645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3E84220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904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303DC48E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Geometric LS mean</w:t>
            </w:r>
          </w:p>
        </w:tc>
        <w:tc>
          <w:tcPr>
            <w:tcW w:w="343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CAA4A09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Pairwise comparison to placebo</w:t>
            </w:r>
          </w:p>
        </w:tc>
      </w:tr>
      <w:tr w:rsidR="003D680F" w:rsidRPr="0048001E" w14:paraId="3D8DBECD" w14:textId="77777777" w:rsidTr="00335338">
        <w:tc>
          <w:tcPr>
            <w:tcW w:w="24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73914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56FE8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30799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75D36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FB85C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Ratio (%)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6FCC" w14:textId="77777777" w:rsidR="003D680F" w:rsidRPr="00335338" w:rsidRDefault="003D680F" w:rsidP="00E646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95% CI</w:t>
            </w:r>
          </w:p>
        </w:tc>
      </w:tr>
      <w:tr w:rsidR="003D680F" w:rsidRPr="0048001E" w14:paraId="6765889C" w14:textId="77777777" w:rsidTr="00335338"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D823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Post-ACTH/pre-ACTH cortisol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90CE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Placebo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02DF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F605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2.047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02274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69A2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680F" w:rsidRPr="0048001E" w14:paraId="325C5E5D" w14:textId="77777777" w:rsidTr="00335338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3D36C7FA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9A28C9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312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BF8AE0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3E3A659E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2.392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159351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116.85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6569344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(87.30, 156.40)</w:t>
            </w:r>
          </w:p>
        </w:tc>
      </w:tr>
      <w:tr w:rsidR="003D680F" w:rsidRPr="0048001E" w14:paraId="7B627691" w14:textId="77777777" w:rsidTr="00335338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C9CD447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47886E0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1248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7F0D76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4D848FB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2.103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718A3EA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102.74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F91E74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(76.12, 138.67)</w:t>
            </w:r>
          </w:p>
        </w:tc>
      </w:tr>
      <w:tr w:rsidR="003D680F" w:rsidRPr="0048001E" w14:paraId="23B06465" w14:textId="77777777" w:rsidTr="00335338"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B8879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F3DB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1872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01C7A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1639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1.472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66794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71.91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07CC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(53.29, 97.04)</w:t>
            </w:r>
          </w:p>
        </w:tc>
      </w:tr>
    </w:tbl>
    <w:p w14:paraId="410838B4" w14:textId="77777777" w:rsidR="003D680F" w:rsidRPr="0048001E" w:rsidRDefault="003D680F" w:rsidP="003D680F">
      <w:pPr>
        <w:spacing w:line="240" w:lineRule="auto"/>
        <w:rPr>
          <w:rFonts w:ascii="Arial" w:hAnsi="Arial" w:cs="Arial"/>
        </w:rPr>
      </w:pPr>
      <w:r w:rsidRPr="0048001E">
        <w:rPr>
          <w:rFonts w:ascii="Arial" w:hAnsi="Arial" w:cs="Arial"/>
        </w:rPr>
        <w:t xml:space="preserve">CI, confidence interval; LS, least squares </w:t>
      </w:r>
    </w:p>
    <w:p w14:paraId="73742C33" w14:textId="77777777" w:rsidR="003D680F" w:rsidRPr="0048001E" w:rsidRDefault="003D680F" w:rsidP="003D680F">
      <w:pPr>
        <w:rPr>
          <w:rFonts w:ascii="Arial" w:hAnsi="Arial" w:cs="Arial"/>
          <w:b/>
        </w:rPr>
      </w:pPr>
      <w:r w:rsidRPr="0048001E">
        <w:rPr>
          <w:rFonts w:ascii="Arial" w:hAnsi="Arial" w:cs="Arial"/>
          <w:b/>
        </w:rPr>
        <w:br w:type="page"/>
      </w:r>
    </w:p>
    <w:p w14:paraId="418D6DDA" w14:textId="4EF36F82" w:rsidR="003D680F" w:rsidRPr="003D680F" w:rsidRDefault="003D680F" w:rsidP="003D680F">
      <w:pPr>
        <w:rPr>
          <w:rFonts w:ascii="Arial" w:hAnsi="Arial" w:cs="Arial"/>
          <w:b/>
        </w:rPr>
      </w:pPr>
      <w:r w:rsidRPr="0048001E">
        <w:rPr>
          <w:rFonts w:ascii="Arial" w:hAnsi="Arial" w:cs="Arial"/>
          <w:b/>
        </w:rPr>
        <w:lastRenderedPageBreak/>
        <w:t xml:space="preserve">Table S2. Statistical comparison of plasma DHEA-S, 4β-OH-cholesterol, and osteocalcin concentrations </w:t>
      </w:r>
      <w:r>
        <w:rPr>
          <w:rFonts w:ascii="Arial" w:hAnsi="Arial" w:cs="Arial"/>
          <w:b/>
        </w:rPr>
        <w:t>following once-daily dosing for 12 days (</w:t>
      </w:r>
      <w:r w:rsidRPr="0048001E">
        <w:rPr>
          <w:rFonts w:ascii="Arial" w:hAnsi="Arial" w:cs="Arial"/>
          <w:b/>
        </w:rPr>
        <w:t>Day 16</w:t>
      </w:r>
      <w:r>
        <w:rPr>
          <w:rFonts w:ascii="Arial" w:hAnsi="Arial" w:cs="Arial"/>
          <w:b/>
        </w:rPr>
        <w:t>)</w:t>
      </w:r>
      <w:r w:rsidRPr="0048001E">
        <w:rPr>
          <w:rFonts w:ascii="Arial" w:hAnsi="Arial" w:cs="Arial"/>
          <w:b/>
        </w:rPr>
        <w:t xml:space="preserve"> in multiple dose </w:t>
      </w:r>
      <w:r>
        <w:rPr>
          <w:rFonts w:ascii="Arial" w:hAnsi="Arial" w:cs="Arial"/>
          <w:b/>
        </w:rPr>
        <w:t>part</w:t>
      </w:r>
    </w:p>
    <w:tbl>
      <w:tblPr>
        <w:tblStyle w:val="TableGrid"/>
        <w:tblW w:w="10116" w:type="dxa"/>
        <w:tblLook w:val="04A0" w:firstRow="1" w:lastRow="0" w:firstColumn="1" w:lastColumn="0" w:noHBand="0" w:noVBand="1"/>
      </w:tblPr>
      <w:tblGrid>
        <w:gridCol w:w="2860"/>
        <w:gridCol w:w="759"/>
        <w:gridCol w:w="1426"/>
        <w:gridCol w:w="537"/>
        <w:gridCol w:w="1305"/>
        <w:gridCol w:w="1498"/>
        <w:gridCol w:w="1731"/>
      </w:tblGrid>
      <w:tr w:rsidR="00335338" w:rsidRPr="0048001E" w14:paraId="0F848797" w14:textId="77777777" w:rsidTr="00335338">
        <w:trPr>
          <w:trHeight w:val="369"/>
        </w:trPr>
        <w:tc>
          <w:tcPr>
            <w:tcW w:w="28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C1E4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PD variable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1B08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Day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F049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35338">
              <w:rPr>
                <w:rFonts w:ascii="Arial" w:hAnsi="Arial" w:cs="Arial"/>
                <w:b/>
                <w:sz w:val="22"/>
                <w:szCs w:val="22"/>
              </w:rPr>
              <w:t>Treatment</w:t>
            </w:r>
            <w:r w:rsidRPr="00335338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0CA6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0F92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 xml:space="preserve">Geometric </w:t>
            </w:r>
            <w:r w:rsidRPr="00335338">
              <w:rPr>
                <w:rFonts w:ascii="Arial" w:hAnsi="Arial" w:cs="Arial"/>
                <w:b/>
                <w:sz w:val="22"/>
                <w:szCs w:val="22"/>
              </w:rPr>
              <w:br/>
              <w:t>LS mean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3280E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Pairwise comparison to placebo</w:t>
            </w:r>
          </w:p>
        </w:tc>
      </w:tr>
      <w:tr w:rsidR="00335338" w:rsidRPr="0048001E" w14:paraId="036D96AE" w14:textId="77777777" w:rsidTr="00335338">
        <w:trPr>
          <w:trHeight w:val="375"/>
        </w:trPr>
        <w:tc>
          <w:tcPr>
            <w:tcW w:w="28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271E9" w14:textId="77777777" w:rsidR="003D680F" w:rsidRPr="00335338" w:rsidRDefault="003D680F" w:rsidP="00E64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8F17A" w14:textId="77777777" w:rsidR="003D680F" w:rsidRPr="00335338" w:rsidRDefault="003D680F" w:rsidP="00E64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4BC7F" w14:textId="77777777" w:rsidR="003D680F" w:rsidRPr="00335338" w:rsidRDefault="003D680F" w:rsidP="00E64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032A0" w14:textId="77777777" w:rsidR="003D680F" w:rsidRPr="00335338" w:rsidRDefault="003D680F" w:rsidP="00E64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2D97A" w14:textId="77777777" w:rsidR="003D680F" w:rsidRPr="00335338" w:rsidRDefault="003D680F" w:rsidP="00E646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DDD6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Ratio (%)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2DE0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338">
              <w:rPr>
                <w:rFonts w:ascii="Arial" w:hAnsi="Arial" w:cs="Arial"/>
                <w:b/>
                <w:sz w:val="22"/>
                <w:szCs w:val="22"/>
              </w:rPr>
              <w:t>95% CI</w:t>
            </w:r>
          </w:p>
        </w:tc>
      </w:tr>
      <w:tr w:rsidR="00335338" w:rsidRPr="0048001E" w14:paraId="5C91A876" w14:textId="77777777" w:rsidTr="00335338">
        <w:trPr>
          <w:trHeight w:val="567"/>
        </w:trPr>
        <w:tc>
          <w:tcPr>
            <w:tcW w:w="2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51BA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Post dose/baseline ratio for 4β-OH-cholesterol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E0F1B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6640A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Placebo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8965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B949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0.8791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045AA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D585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338" w:rsidRPr="0048001E" w14:paraId="41774D6A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5AF8A7EF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04F595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F23061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312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0DAD95F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76011DB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0.8413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B99DD9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95.70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78D5E9C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(85.91, 106.60)</w:t>
            </w:r>
          </w:p>
        </w:tc>
      </w:tr>
      <w:tr w:rsidR="00335338" w:rsidRPr="0048001E" w14:paraId="44AC35F1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18E1C3BC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281ED02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1250FC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1248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5DA7545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8D1B234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0.8939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FAE626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101.68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70032B9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(91.28, 113.27)</w:t>
            </w:r>
          </w:p>
        </w:tc>
      </w:tr>
      <w:tr w:rsidR="00335338" w:rsidRPr="0048001E" w14:paraId="70168395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1D9E4295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5B6D146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2B4E88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1872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149112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1B22FE8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0.8621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88B3BD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98.06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084575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(88.15, 109.07)</w:t>
            </w:r>
          </w:p>
        </w:tc>
      </w:tr>
      <w:tr w:rsidR="00335338" w:rsidRPr="0048001E" w14:paraId="6EB1BEC6" w14:textId="77777777" w:rsidTr="00335338">
        <w:trPr>
          <w:trHeight w:val="362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2AC2DE12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0CE2FF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113890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57D7B8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9F8F901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F758B1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2B6577C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338" w:rsidRPr="0048001E" w14:paraId="2B823EF6" w14:textId="77777777" w:rsidTr="00335338">
        <w:trPr>
          <w:trHeight w:val="567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33F0A0D3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Post dose/baseline ratio for DHEA-S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315691E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127F6D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Placebo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5534E76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99F1437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1.110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6D7771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6300A9E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338" w:rsidRPr="0048001E" w14:paraId="70A43A98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3EB62082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C09FD75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64D505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312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F10D82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74402361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1.070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B9A45D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96.38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4875F77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(81.03, 114.64)</w:t>
            </w:r>
          </w:p>
        </w:tc>
      </w:tr>
      <w:tr w:rsidR="00335338" w:rsidRPr="0048001E" w14:paraId="098C9143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6768BE4C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385944C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3B1221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1248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D76DB3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3C4087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1.020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86C93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91.90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37E28EC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(77.17, 109.45)</w:t>
            </w:r>
          </w:p>
        </w:tc>
      </w:tr>
      <w:tr w:rsidR="00335338" w:rsidRPr="0048001E" w14:paraId="2A793939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70AD5B74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459A601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E65EC7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1872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372D3FF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DFC8D9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1.109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CD010E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99.92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15243E5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(84.64, 117.97)</w:t>
            </w:r>
          </w:p>
        </w:tc>
      </w:tr>
      <w:tr w:rsidR="00335338" w:rsidRPr="0048001E" w14:paraId="204829D1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07950578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7AFF843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77F1D1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28C251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7576E6F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D87CA9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D736DCE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338" w:rsidRPr="0048001E" w14:paraId="77878DC7" w14:textId="77777777" w:rsidTr="00335338">
        <w:trPr>
          <w:trHeight w:val="567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0B78F053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Post dose/baseline ratio for osteocalcin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39A858E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A66501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Placebo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121C07A2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85D93F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0.9640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9013FF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5FFFE881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338" w:rsidRPr="0048001E" w14:paraId="4A27F468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2657013B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72D70AA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EC16B4F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312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1D3E953C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04EFE8FB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0.9178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2C991EB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95.20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9EFA8B6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(82.39, 110.00)</w:t>
            </w:r>
          </w:p>
        </w:tc>
      </w:tr>
      <w:tr w:rsidR="00335338" w:rsidRPr="0048001E" w14:paraId="07F93558" w14:textId="77777777" w:rsidTr="00335338">
        <w:trPr>
          <w:trHeight w:val="362"/>
        </w:trPr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79D823A4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73DC54BE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6ABFB2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1248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ECDEF70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D677C58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0.7416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61A2219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76.93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239AE2B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(65.59, 90.22)</w:t>
            </w:r>
          </w:p>
        </w:tc>
      </w:tr>
      <w:tr w:rsidR="00335338" w:rsidRPr="0048001E" w14:paraId="7CB28B38" w14:textId="77777777" w:rsidTr="00335338">
        <w:trPr>
          <w:trHeight w:val="369"/>
        </w:trPr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02BC9" w14:textId="77777777" w:rsidR="003D680F" w:rsidRPr="00335338" w:rsidRDefault="003D680F" w:rsidP="00E6468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CAE6A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BDDAA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1872 </w:t>
            </w:r>
            <w:proofErr w:type="spellStart"/>
            <w:r w:rsidRPr="00335338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3B5B3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E5FED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0.5120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30761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 xml:space="preserve">53.11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EC685" w14:textId="77777777" w:rsidR="003D680F" w:rsidRPr="00335338" w:rsidRDefault="003D680F" w:rsidP="00E64689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338">
              <w:rPr>
                <w:rFonts w:ascii="Arial" w:hAnsi="Arial" w:cs="Arial"/>
                <w:sz w:val="22"/>
                <w:szCs w:val="22"/>
              </w:rPr>
              <w:t>(46.28, 60.94)</w:t>
            </w:r>
          </w:p>
        </w:tc>
      </w:tr>
    </w:tbl>
    <w:p w14:paraId="6893D84E" w14:textId="77777777" w:rsidR="003D680F" w:rsidRPr="0048001E" w:rsidRDefault="003D680F" w:rsidP="003D680F">
      <w:pPr>
        <w:spacing w:line="240" w:lineRule="auto"/>
        <w:rPr>
          <w:rFonts w:ascii="Arial" w:hAnsi="Arial" w:cs="Arial"/>
        </w:rPr>
      </w:pPr>
      <w:r w:rsidRPr="0048001E">
        <w:rPr>
          <w:rFonts w:ascii="Arial" w:hAnsi="Arial" w:cs="Arial"/>
        </w:rPr>
        <w:t>CI, confidence interval; DHEA-S: dehydroepiandrosterone sulfate; LS, least squares; PD, pharmacodynamic</w:t>
      </w:r>
    </w:p>
    <w:p w14:paraId="0ADE1702" w14:textId="77777777" w:rsidR="003D680F" w:rsidRPr="0048001E" w:rsidRDefault="003D680F" w:rsidP="003D680F">
      <w:pPr>
        <w:spacing w:after="0" w:line="240" w:lineRule="auto"/>
        <w:rPr>
          <w:rFonts w:ascii="Arial" w:hAnsi="Arial" w:cs="Arial"/>
          <w:b/>
        </w:rPr>
      </w:pPr>
    </w:p>
    <w:p w14:paraId="38D3599D" w14:textId="490ED54F" w:rsidR="00220E17" w:rsidRDefault="008143CA"/>
    <w:p w14:paraId="0994D49C" w14:textId="77777777" w:rsidR="00335338" w:rsidRDefault="00335338">
      <w:pPr>
        <w:rPr>
          <w:rFonts w:ascii="Arial" w:hAnsi="Arial" w:cs="Arial"/>
          <w:b/>
        </w:rPr>
      </w:pPr>
    </w:p>
    <w:p w14:paraId="666445E1" w14:textId="0B651F8C" w:rsidR="00335338" w:rsidRPr="00335338" w:rsidRDefault="00335338">
      <w:pPr>
        <w:rPr>
          <w:rFonts w:ascii="Arial" w:hAnsi="Arial" w:cs="Arial"/>
          <w:b/>
          <w:u w:val="single"/>
        </w:rPr>
      </w:pPr>
      <w:r w:rsidRPr="00944CCD">
        <w:rPr>
          <w:rFonts w:ascii="Arial" w:hAnsi="Arial" w:cs="Arial"/>
          <w:b/>
          <w:u w:val="single"/>
        </w:rPr>
        <w:lastRenderedPageBreak/>
        <w:t xml:space="preserve">Supplementary </w:t>
      </w:r>
      <w:r>
        <w:rPr>
          <w:rFonts w:ascii="Arial" w:hAnsi="Arial" w:cs="Arial"/>
          <w:b/>
          <w:u w:val="single"/>
        </w:rPr>
        <w:t>Figures</w:t>
      </w:r>
    </w:p>
    <w:p w14:paraId="2097FFD0" w14:textId="2DAD24A9" w:rsidR="001717B3" w:rsidRDefault="001717B3">
      <w:pPr>
        <w:rPr>
          <w:rFonts w:ascii="Arial" w:hAnsi="Arial" w:cs="Arial"/>
          <w:bCs/>
        </w:rPr>
      </w:pPr>
      <w:r w:rsidRPr="001717B3">
        <w:rPr>
          <w:rFonts w:ascii="Arial" w:hAnsi="Arial" w:cs="Arial"/>
          <w:b/>
        </w:rPr>
        <w:t xml:space="preserve">Figure S1. </w:t>
      </w:r>
      <w:r w:rsidR="00335338" w:rsidRPr="00335338">
        <w:rPr>
          <w:rFonts w:ascii="Arial" w:hAnsi="Arial" w:cs="Arial"/>
          <w:bCs/>
        </w:rPr>
        <w:t xml:space="preserve">Chemical structure of </w:t>
      </w:r>
      <w:proofErr w:type="spellStart"/>
      <w:r w:rsidR="00335338" w:rsidRPr="00335338">
        <w:rPr>
          <w:rFonts w:ascii="Arial" w:hAnsi="Arial" w:cs="Arial"/>
          <w:bCs/>
        </w:rPr>
        <w:t>v</w:t>
      </w:r>
      <w:r w:rsidR="00335338" w:rsidRPr="00335338">
        <w:rPr>
          <w:rFonts w:ascii="Arial" w:hAnsi="Arial" w:cs="Arial"/>
          <w:bCs/>
        </w:rPr>
        <w:t>elsecorat</w:t>
      </w:r>
      <w:proofErr w:type="spellEnd"/>
      <w:r w:rsidR="00335338" w:rsidRPr="00335338">
        <w:rPr>
          <w:rFonts w:ascii="Arial" w:hAnsi="Arial" w:cs="Arial"/>
          <w:bCs/>
        </w:rPr>
        <w:t xml:space="preserve"> (AZD7594) (3-(5-((1R,2S)-2-(2,2-Difluoropropanamido)-1-(2,3-dihydrobenzo-[b][1,4]dioxin-6-yl)propoxy)-1H-indazol-1-yl)-N-((R)-tetrahydrofuran-3-yl)benzamide)</w:t>
      </w:r>
    </w:p>
    <w:p w14:paraId="2D547B33" w14:textId="6F96AEEF" w:rsidR="00335338" w:rsidRDefault="008143CA">
      <w:pPr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02C20036" wp14:editId="2635C622">
            <wp:extent cx="7029450" cy="3682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7525A" w14:textId="77777777" w:rsidR="00335338" w:rsidRPr="00335338" w:rsidRDefault="00335338">
      <w:pPr>
        <w:rPr>
          <w:rFonts w:ascii="Arial" w:hAnsi="Arial" w:cs="Arial"/>
          <w:bCs/>
        </w:rPr>
      </w:pPr>
    </w:p>
    <w:sectPr w:rsidR="00335338" w:rsidRPr="00335338" w:rsidSect="0033533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27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5973" w14:textId="77777777" w:rsidR="00306112" w:rsidRDefault="00814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4044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52F6B9" w14:textId="77777777" w:rsidR="00306112" w:rsidRDefault="008143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3D00056" w14:textId="77777777" w:rsidR="00306112" w:rsidRDefault="008143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F8CC4" w14:textId="77777777" w:rsidR="00306112" w:rsidRDefault="008143C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978D0" w14:textId="77777777" w:rsidR="00306112" w:rsidRDefault="00814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E1105" w14:textId="77777777" w:rsidR="00306112" w:rsidRDefault="00814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F0CFE" w14:textId="77777777" w:rsidR="00306112" w:rsidRDefault="008143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DB"/>
    <w:rsid w:val="001717B3"/>
    <w:rsid w:val="001A5459"/>
    <w:rsid w:val="003003B5"/>
    <w:rsid w:val="00335338"/>
    <w:rsid w:val="003366DB"/>
    <w:rsid w:val="003D680F"/>
    <w:rsid w:val="008143CA"/>
    <w:rsid w:val="008A6775"/>
    <w:rsid w:val="008F0F53"/>
    <w:rsid w:val="009B4484"/>
    <w:rsid w:val="00A77901"/>
    <w:rsid w:val="00C6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5DB"/>
  <w15:chartTrackingRefBased/>
  <w15:docId w15:val="{5E5AFFB9-50F6-44FD-846C-E1C4CB30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80F"/>
    <w:pPr>
      <w:spacing w:after="240" w:line="480" w:lineRule="auto"/>
    </w:pPr>
    <w:rPr>
      <w:rFonts w:ascii="Times New Roman" w:eastAsia="MS Minng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80F"/>
    <w:rPr>
      <w:rFonts w:ascii="Times New Roman" w:eastAsia="MS Minngs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6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80F"/>
    <w:rPr>
      <w:rFonts w:ascii="Times New Roman" w:eastAsia="MS Minngs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D680F"/>
    <w:pPr>
      <w:spacing w:after="0" w:line="240" w:lineRule="auto"/>
    </w:pPr>
    <w:rPr>
      <w:rFonts w:ascii="Cambria" w:eastAsia="MS Minngs" w:hAnsi="Cambria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Robertson, Emma</dc:creator>
  <cp:keywords/>
  <dc:description/>
  <cp:lastModifiedBy>Robertson, Emma</cp:lastModifiedBy>
  <cp:revision>4</cp:revision>
  <dcterms:created xsi:type="dcterms:W3CDTF">2021-12-17T08:57:00Z</dcterms:created>
  <dcterms:modified xsi:type="dcterms:W3CDTF">2021-12-17T10:20:00Z</dcterms:modified>
</cp:coreProperties>
</file>