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59E3C" w14:textId="77777777" w:rsidR="00A24903" w:rsidRPr="00A24903" w:rsidRDefault="00A24903">
      <w:pPr>
        <w:rPr>
          <w:b/>
          <w:color w:val="000000"/>
          <w:sz w:val="28"/>
          <w:szCs w:val="28"/>
          <w:u w:val="single"/>
          <w:lang w:val="en-US"/>
        </w:rPr>
      </w:pPr>
      <w:r w:rsidRPr="00A24903">
        <w:rPr>
          <w:b/>
          <w:color w:val="000000"/>
          <w:sz w:val="28"/>
          <w:szCs w:val="28"/>
          <w:u w:val="single"/>
          <w:lang w:val="en-US"/>
        </w:rPr>
        <w:t>Supplementary materials</w:t>
      </w:r>
    </w:p>
    <w:p w14:paraId="3EBCC626" w14:textId="77777777" w:rsidR="00A24903" w:rsidRDefault="00A24903">
      <w:pPr>
        <w:rPr>
          <w:b/>
          <w:color w:val="000000"/>
          <w:sz w:val="28"/>
          <w:szCs w:val="28"/>
          <w:lang w:val="en-US"/>
        </w:rPr>
      </w:pPr>
    </w:p>
    <w:p w14:paraId="28572B72" w14:textId="18242C1B" w:rsidR="00A9084B" w:rsidRPr="00F02BC6" w:rsidRDefault="007A14F1">
      <w:pPr>
        <w:rPr>
          <w:b/>
          <w:color w:val="000000"/>
          <w:sz w:val="28"/>
          <w:szCs w:val="28"/>
          <w:lang w:val="en-US"/>
        </w:rPr>
      </w:pPr>
      <w:r w:rsidRPr="00F02BC6">
        <w:rPr>
          <w:b/>
          <w:color w:val="000000"/>
          <w:sz w:val="28"/>
          <w:szCs w:val="28"/>
          <w:lang w:val="en-US"/>
        </w:rPr>
        <w:t>APPENDIX A</w:t>
      </w:r>
      <w:r w:rsidR="00ED28B6" w:rsidRPr="00F02BC6">
        <w:rPr>
          <w:b/>
          <w:color w:val="000000"/>
          <w:sz w:val="28"/>
          <w:szCs w:val="28"/>
          <w:lang w:val="en-US"/>
        </w:rPr>
        <w:t>: SEARCH STRINGS</w:t>
      </w:r>
    </w:p>
    <w:p w14:paraId="332A72C1" w14:textId="77777777" w:rsidR="0085788E" w:rsidRPr="00F02BC6" w:rsidRDefault="0085788E" w:rsidP="007A14F1">
      <w:pPr>
        <w:rPr>
          <w:color w:val="000000"/>
          <w:lang w:val="en-US"/>
        </w:rPr>
      </w:pPr>
      <w:r w:rsidRPr="00F02BC6">
        <w:rPr>
          <w:b/>
          <w:color w:val="000000"/>
          <w:lang w:val="en-US"/>
        </w:rPr>
        <w:t>Table S1:</w:t>
      </w:r>
      <w:r w:rsidRPr="00F02BC6">
        <w:rPr>
          <w:color w:val="000000"/>
          <w:lang w:val="en-US"/>
        </w:rPr>
        <w:t xml:space="preserve"> </w:t>
      </w:r>
      <w:r w:rsidR="007A14F1" w:rsidRPr="00F02BC6">
        <w:rPr>
          <w:color w:val="000000"/>
          <w:lang w:val="en-US"/>
        </w:rPr>
        <w:t>Search strings</w:t>
      </w:r>
      <w:r w:rsidRPr="00F02BC6">
        <w:rPr>
          <w:color w:val="000000"/>
          <w:lang w:val="en-US"/>
        </w:rPr>
        <w:t xml:space="preserve"> and articles yielded</w:t>
      </w:r>
    </w:p>
    <w:tbl>
      <w:tblPr>
        <w:tblStyle w:val="TableGrid"/>
        <w:tblW w:w="10689" w:type="dxa"/>
        <w:tblLook w:val="04A0" w:firstRow="1" w:lastRow="0" w:firstColumn="1" w:lastColumn="0" w:noHBand="0" w:noVBand="1"/>
      </w:tblPr>
      <w:tblGrid>
        <w:gridCol w:w="2263"/>
        <w:gridCol w:w="5996"/>
        <w:gridCol w:w="2430"/>
      </w:tblGrid>
      <w:tr w:rsidR="007A14F1" w:rsidRPr="00F02BC6" w14:paraId="055F9817" w14:textId="77777777" w:rsidTr="00863E8E">
        <w:tc>
          <w:tcPr>
            <w:tcW w:w="2263" w:type="dxa"/>
          </w:tcPr>
          <w:p w14:paraId="7E8134BF" w14:textId="77777777" w:rsidR="007A14F1" w:rsidRPr="00F02BC6" w:rsidRDefault="007A14F1" w:rsidP="007A14F1">
            <w:pPr>
              <w:rPr>
                <w:b/>
                <w:color w:val="000000"/>
                <w:lang w:val="en-US"/>
              </w:rPr>
            </w:pPr>
            <w:r w:rsidRPr="00F02BC6">
              <w:rPr>
                <w:b/>
                <w:color w:val="000000"/>
                <w:lang w:val="en-US"/>
              </w:rPr>
              <w:t>Databases</w:t>
            </w:r>
          </w:p>
        </w:tc>
        <w:tc>
          <w:tcPr>
            <w:tcW w:w="5996" w:type="dxa"/>
          </w:tcPr>
          <w:p w14:paraId="3DD16D09" w14:textId="77777777" w:rsidR="007A14F1" w:rsidRPr="00F02BC6" w:rsidRDefault="007A14F1" w:rsidP="007A14F1">
            <w:pPr>
              <w:rPr>
                <w:b/>
                <w:color w:val="000000"/>
                <w:lang w:val="en-US"/>
              </w:rPr>
            </w:pPr>
            <w:r w:rsidRPr="00F02BC6">
              <w:rPr>
                <w:b/>
                <w:color w:val="000000"/>
                <w:lang w:val="en-US"/>
              </w:rPr>
              <w:t>Search strings/terms</w:t>
            </w:r>
          </w:p>
        </w:tc>
        <w:tc>
          <w:tcPr>
            <w:tcW w:w="2430" w:type="dxa"/>
          </w:tcPr>
          <w:p w14:paraId="2650D09B" w14:textId="77777777" w:rsidR="007A14F1" w:rsidRPr="00F02BC6" w:rsidRDefault="007A14F1" w:rsidP="007A14F1">
            <w:pPr>
              <w:rPr>
                <w:b/>
                <w:color w:val="000000"/>
                <w:lang w:val="en-US"/>
              </w:rPr>
            </w:pPr>
            <w:r w:rsidRPr="00F02BC6">
              <w:rPr>
                <w:b/>
                <w:color w:val="000000"/>
                <w:lang w:val="en-US"/>
              </w:rPr>
              <w:t>Results</w:t>
            </w:r>
          </w:p>
        </w:tc>
      </w:tr>
      <w:tr w:rsidR="007A14F1" w:rsidRPr="00F02BC6" w14:paraId="0F3A172B" w14:textId="77777777" w:rsidTr="00863E8E">
        <w:tc>
          <w:tcPr>
            <w:tcW w:w="2263" w:type="dxa"/>
          </w:tcPr>
          <w:p w14:paraId="7AA16FC6" w14:textId="77777777" w:rsidR="00863E8E" w:rsidRPr="00F02BC6" w:rsidRDefault="007A14F1" w:rsidP="007A14F1">
            <w:pPr>
              <w:rPr>
                <w:color w:val="000000"/>
                <w:lang w:val="en-US"/>
              </w:rPr>
            </w:pPr>
            <w:r w:rsidRPr="00F02BC6">
              <w:rPr>
                <w:color w:val="000000"/>
                <w:lang w:val="en-US"/>
              </w:rPr>
              <w:t>PubMed</w:t>
            </w:r>
            <w:r w:rsidR="00E04942" w:rsidRPr="00F02BC6">
              <w:rPr>
                <w:color w:val="000000"/>
                <w:lang w:val="en-US"/>
              </w:rPr>
              <w:t xml:space="preserve"> </w:t>
            </w:r>
          </w:p>
          <w:p w14:paraId="3F5A4C4C" w14:textId="29A6AF57" w:rsidR="007A14F1" w:rsidRPr="00F02BC6" w:rsidRDefault="00E04942" w:rsidP="007A14F1">
            <w:pPr>
              <w:rPr>
                <w:color w:val="000000"/>
                <w:lang w:val="en-US"/>
              </w:rPr>
            </w:pPr>
            <w:r w:rsidRPr="00F02BC6">
              <w:rPr>
                <w:color w:val="000000"/>
                <w:lang w:val="en-US"/>
              </w:rPr>
              <w:t>(</w:t>
            </w:r>
            <w:r w:rsidRPr="00F02BC6">
              <w:rPr>
                <w:b/>
                <w:bCs/>
                <w:color w:val="000000"/>
                <w:lang w:val="en-US"/>
              </w:rPr>
              <w:t>From 1998-2020</w:t>
            </w:r>
            <w:r w:rsidRPr="00F02BC6">
              <w:rPr>
                <w:color w:val="000000"/>
                <w:lang w:val="en-US"/>
              </w:rPr>
              <w:t>)</w:t>
            </w:r>
          </w:p>
          <w:p w14:paraId="062DE451" w14:textId="77777777" w:rsidR="007A14F1" w:rsidRPr="00F02BC6" w:rsidRDefault="007A14F1" w:rsidP="007A14F1">
            <w:pPr>
              <w:rPr>
                <w:color w:val="000000"/>
                <w:u w:val="single"/>
                <w:lang w:val="en-US"/>
              </w:rPr>
            </w:pPr>
          </w:p>
        </w:tc>
        <w:tc>
          <w:tcPr>
            <w:tcW w:w="5996" w:type="dxa"/>
          </w:tcPr>
          <w:p w14:paraId="299CAFB3" w14:textId="77777777" w:rsidR="007A14F1" w:rsidRPr="00F02BC6" w:rsidRDefault="007A14F1" w:rsidP="007A14F1">
            <w:pPr>
              <w:rPr>
                <w:bCs/>
                <w:color w:val="000000"/>
                <w:lang w:val="en-US"/>
              </w:rPr>
            </w:pPr>
            <w:r w:rsidRPr="00F02BC6">
              <w:rPr>
                <w:color w:val="000000"/>
                <w:lang w:val="en-US"/>
              </w:rPr>
              <w:t>Search </w:t>
            </w:r>
            <w:r w:rsidRPr="00F02BC6">
              <w:rPr>
                <w:bCs/>
                <w:color w:val="000000"/>
                <w:lang w:val="en-US"/>
              </w:rPr>
              <w:t>(("medication adherence"[Mesh] OR ((prescription[</w:t>
            </w:r>
            <w:proofErr w:type="spellStart"/>
            <w:r w:rsidRPr="00F02BC6">
              <w:rPr>
                <w:bCs/>
                <w:color w:val="000000"/>
                <w:lang w:val="en-US"/>
              </w:rPr>
              <w:t>tiab</w:t>
            </w:r>
            <w:proofErr w:type="spellEnd"/>
            <w:r w:rsidRPr="00F02BC6">
              <w:rPr>
                <w:bCs/>
                <w:color w:val="000000"/>
                <w:lang w:val="en-US"/>
              </w:rPr>
              <w:t>] OR medication[</w:t>
            </w:r>
            <w:proofErr w:type="spellStart"/>
            <w:r w:rsidRPr="00F02BC6">
              <w:rPr>
                <w:bCs/>
                <w:color w:val="000000"/>
                <w:lang w:val="en-US"/>
              </w:rPr>
              <w:t>tiab</w:t>
            </w:r>
            <w:proofErr w:type="spellEnd"/>
            <w:r w:rsidRPr="00F02BC6">
              <w:rPr>
                <w:bCs/>
                <w:color w:val="000000"/>
                <w:lang w:val="en-US"/>
              </w:rPr>
              <w:t>] OR puffer[</w:t>
            </w:r>
            <w:proofErr w:type="spellStart"/>
            <w:r w:rsidRPr="00F02BC6">
              <w:rPr>
                <w:bCs/>
                <w:color w:val="000000"/>
                <w:lang w:val="en-US"/>
              </w:rPr>
              <w:t>tiab</w:t>
            </w:r>
            <w:proofErr w:type="spellEnd"/>
            <w:r w:rsidRPr="00F02BC6">
              <w:rPr>
                <w:bCs/>
                <w:color w:val="000000"/>
                <w:lang w:val="en-US"/>
              </w:rPr>
              <w:t>] OR "inhaled corticosteroid"[</w:t>
            </w:r>
            <w:proofErr w:type="spellStart"/>
            <w:r w:rsidRPr="00F02BC6">
              <w:rPr>
                <w:bCs/>
                <w:color w:val="000000"/>
                <w:lang w:val="en-US"/>
              </w:rPr>
              <w:t>tiab</w:t>
            </w:r>
            <w:proofErr w:type="spellEnd"/>
            <w:r w:rsidRPr="00F02BC6">
              <w:rPr>
                <w:bCs/>
                <w:color w:val="000000"/>
                <w:lang w:val="en-US"/>
              </w:rPr>
              <w:t>]) AND (adherence[</w:t>
            </w:r>
            <w:proofErr w:type="spellStart"/>
            <w:r w:rsidRPr="00F02BC6">
              <w:rPr>
                <w:bCs/>
                <w:color w:val="000000"/>
                <w:lang w:val="en-US"/>
              </w:rPr>
              <w:t>tiab</w:t>
            </w:r>
            <w:proofErr w:type="spellEnd"/>
            <w:r w:rsidRPr="00F02BC6">
              <w:rPr>
                <w:bCs/>
                <w:color w:val="000000"/>
                <w:lang w:val="en-US"/>
              </w:rPr>
              <w:t>] OR compliance[</w:t>
            </w:r>
            <w:proofErr w:type="spellStart"/>
            <w:r w:rsidRPr="00F02BC6">
              <w:rPr>
                <w:bCs/>
                <w:color w:val="000000"/>
                <w:lang w:val="en-US"/>
              </w:rPr>
              <w:t>tiab</w:t>
            </w:r>
            <w:proofErr w:type="spellEnd"/>
            <w:r w:rsidRPr="00F02BC6">
              <w:rPr>
                <w:bCs/>
                <w:color w:val="000000"/>
                <w:lang w:val="en-US"/>
              </w:rPr>
              <w:t>] OR filling[</w:t>
            </w:r>
            <w:proofErr w:type="spellStart"/>
            <w:r w:rsidRPr="00F02BC6">
              <w:rPr>
                <w:bCs/>
                <w:color w:val="000000"/>
                <w:lang w:val="en-US"/>
              </w:rPr>
              <w:t>tiab</w:t>
            </w:r>
            <w:proofErr w:type="spellEnd"/>
            <w:r w:rsidRPr="00F02BC6">
              <w:rPr>
                <w:bCs/>
                <w:color w:val="000000"/>
                <w:lang w:val="en-US"/>
              </w:rPr>
              <w:t>] OR dispensing[</w:t>
            </w:r>
            <w:proofErr w:type="spellStart"/>
            <w:r w:rsidRPr="00F02BC6">
              <w:rPr>
                <w:bCs/>
                <w:color w:val="000000"/>
                <w:lang w:val="en-US"/>
              </w:rPr>
              <w:t>tiab</w:t>
            </w:r>
            <w:proofErr w:type="spellEnd"/>
            <w:r w:rsidRPr="00F02BC6">
              <w:rPr>
                <w:bCs/>
                <w:color w:val="000000"/>
                <w:lang w:val="en-US"/>
              </w:rPr>
              <w:t>] OR dispensed[</w:t>
            </w:r>
            <w:proofErr w:type="spellStart"/>
            <w:r w:rsidRPr="00F02BC6">
              <w:rPr>
                <w:bCs/>
                <w:color w:val="000000"/>
                <w:lang w:val="en-US"/>
              </w:rPr>
              <w:t>tiab</w:t>
            </w:r>
            <w:proofErr w:type="spellEnd"/>
            <w:r w:rsidRPr="00F02BC6">
              <w:rPr>
                <w:bCs/>
                <w:color w:val="000000"/>
                <w:lang w:val="en-US"/>
              </w:rPr>
              <w:t>] OR filled[</w:t>
            </w:r>
            <w:proofErr w:type="spellStart"/>
            <w:r w:rsidRPr="00F02BC6">
              <w:rPr>
                <w:bCs/>
                <w:color w:val="000000"/>
                <w:lang w:val="en-US"/>
              </w:rPr>
              <w:t>tiab</w:t>
            </w:r>
            <w:proofErr w:type="spellEnd"/>
            <w:r w:rsidRPr="00F02BC6">
              <w:rPr>
                <w:bCs/>
                <w:color w:val="000000"/>
                <w:lang w:val="en-US"/>
              </w:rPr>
              <w:t>]))) AND ("Asthma"[Mesh] OR asthma[</w:t>
            </w:r>
            <w:proofErr w:type="spellStart"/>
            <w:r w:rsidRPr="00F02BC6">
              <w:rPr>
                <w:bCs/>
                <w:color w:val="000000"/>
                <w:lang w:val="en-US"/>
              </w:rPr>
              <w:t>tiab</w:t>
            </w:r>
            <w:proofErr w:type="spellEnd"/>
            <w:r w:rsidRPr="00F02BC6">
              <w:rPr>
                <w:bCs/>
                <w:color w:val="000000"/>
                <w:lang w:val="en-US"/>
              </w:rPr>
              <w:t>]))</w:t>
            </w:r>
            <w:r w:rsidRPr="00F02BC6">
              <w:rPr>
                <w:color w:val="000000"/>
                <w:lang w:val="en-US"/>
              </w:rPr>
              <w:t> Filters: </w:t>
            </w:r>
            <w:r w:rsidRPr="00F02BC6">
              <w:rPr>
                <w:bCs/>
                <w:color w:val="000000"/>
                <w:lang w:val="en-US"/>
              </w:rPr>
              <w:t>Publication date from 1998/01/01 to 2020/12/31; Humans</w:t>
            </w:r>
          </w:p>
          <w:p w14:paraId="7B0D294F" w14:textId="77777777" w:rsidR="007A14F1" w:rsidRPr="00F02BC6" w:rsidRDefault="007A14F1" w:rsidP="007A14F1">
            <w:pPr>
              <w:rPr>
                <w:b/>
                <w:color w:val="000000"/>
                <w:u w:val="single"/>
                <w:lang w:val="en-US"/>
              </w:rPr>
            </w:pPr>
          </w:p>
        </w:tc>
        <w:tc>
          <w:tcPr>
            <w:tcW w:w="2430" w:type="dxa"/>
          </w:tcPr>
          <w:p w14:paraId="42F6C03F" w14:textId="77777777" w:rsidR="007A14F1" w:rsidRPr="00F02BC6" w:rsidRDefault="007A14F1" w:rsidP="007A14F1">
            <w:pPr>
              <w:rPr>
                <w:color w:val="000000"/>
                <w:lang w:val="en-US"/>
              </w:rPr>
            </w:pPr>
            <w:r w:rsidRPr="00F02BC6">
              <w:rPr>
                <w:color w:val="000000"/>
                <w:lang w:val="en-US"/>
              </w:rPr>
              <w:t>1967 studies/articles</w:t>
            </w:r>
          </w:p>
        </w:tc>
      </w:tr>
      <w:tr w:rsidR="00E04942" w:rsidRPr="00F02BC6" w14:paraId="6951A8F9" w14:textId="77777777" w:rsidTr="00863E8E">
        <w:tc>
          <w:tcPr>
            <w:tcW w:w="2263" w:type="dxa"/>
          </w:tcPr>
          <w:p w14:paraId="2B4FA62C" w14:textId="77777777" w:rsidR="00863E8E" w:rsidRPr="00F02BC6" w:rsidRDefault="00E04942" w:rsidP="007A14F1">
            <w:pPr>
              <w:rPr>
                <w:color w:val="000000"/>
                <w:lang w:val="en-US"/>
              </w:rPr>
            </w:pPr>
            <w:r w:rsidRPr="00F02BC6">
              <w:rPr>
                <w:color w:val="000000"/>
                <w:lang w:val="en-US"/>
              </w:rPr>
              <w:t xml:space="preserve">Updated PubMed Search </w:t>
            </w:r>
          </w:p>
          <w:p w14:paraId="28C0634E" w14:textId="7DAE85CB" w:rsidR="00E04942" w:rsidRPr="00F02BC6" w:rsidRDefault="00E04942" w:rsidP="007A14F1">
            <w:pPr>
              <w:rPr>
                <w:color w:val="000000"/>
                <w:lang w:val="en-US"/>
              </w:rPr>
            </w:pPr>
            <w:r w:rsidRPr="00F02BC6">
              <w:rPr>
                <w:color w:val="000000"/>
                <w:lang w:val="en-US"/>
              </w:rPr>
              <w:t>(</w:t>
            </w:r>
            <w:proofErr w:type="gramStart"/>
            <w:r w:rsidRPr="00F02BC6">
              <w:rPr>
                <w:b/>
                <w:bCs/>
                <w:color w:val="000000"/>
                <w:lang w:val="en-US"/>
              </w:rPr>
              <w:t>from</w:t>
            </w:r>
            <w:proofErr w:type="gramEnd"/>
            <w:r w:rsidRPr="00F02BC6">
              <w:rPr>
                <w:b/>
                <w:bCs/>
                <w:color w:val="000000"/>
                <w:lang w:val="en-US"/>
              </w:rPr>
              <w:t xml:space="preserve"> 1998 to 2021</w:t>
            </w:r>
            <w:r w:rsidRPr="00F02BC6">
              <w:rPr>
                <w:color w:val="000000"/>
                <w:lang w:val="en-US"/>
              </w:rPr>
              <w:t>)</w:t>
            </w:r>
          </w:p>
        </w:tc>
        <w:tc>
          <w:tcPr>
            <w:tcW w:w="5996" w:type="dxa"/>
          </w:tcPr>
          <w:p w14:paraId="324E99A7" w14:textId="77777777" w:rsidR="00863E8E" w:rsidRPr="00F02BC6" w:rsidRDefault="00863E8E" w:rsidP="00863E8E">
            <w:pPr>
              <w:rPr>
                <w:color w:val="000000"/>
                <w:lang w:val="en-US"/>
              </w:rPr>
            </w:pPr>
            <w:r w:rsidRPr="00F02BC6">
              <w:rPr>
                <w:color w:val="000000"/>
                <w:lang w:val="en-US"/>
              </w:rPr>
              <w:t>(("medication adherence"[</w:t>
            </w:r>
            <w:proofErr w:type="spellStart"/>
            <w:r w:rsidRPr="00F02BC6">
              <w:rPr>
                <w:color w:val="000000"/>
                <w:lang w:val="en-US"/>
              </w:rPr>
              <w:t>MeSH</w:t>
            </w:r>
            <w:proofErr w:type="spellEnd"/>
            <w:r w:rsidRPr="00F02BC6">
              <w:rPr>
                <w:color w:val="000000"/>
                <w:lang w:val="en-US"/>
              </w:rPr>
              <w:t xml:space="preserve"> Terms] OR (("prescription"[Title/Abstract] OR "medication"[Title/Abstract] OR "puffer"[Title/Abstract] OR "inhaled corticosteroid"[Title/Abstract]) AND ("adherence"[Title/Abstract] OR "compliance"[Title/Abstract] OR "filling"[Title/Abstract] OR "dispensing"[Title/Abstract] OR "dispensed"[Title/Abstract] OR "filled"[Title/Abstract]))) AND ("Asthma"[</w:t>
            </w:r>
            <w:proofErr w:type="spellStart"/>
            <w:r w:rsidRPr="00F02BC6">
              <w:rPr>
                <w:color w:val="000000"/>
                <w:lang w:val="en-US"/>
              </w:rPr>
              <w:t>MeSH</w:t>
            </w:r>
            <w:proofErr w:type="spellEnd"/>
            <w:r w:rsidRPr="00F02BC6">
              <w:rPr>
                <w:color w:val="000000"/>
                <w:lang w:val="en-US"/>
              </w:rPr>
              <w:t xml:space="preserve"> Terms] OR "Asthma"[Title/Abstract])) AND ((1998/1/1:2021/3/16[</w:t>
            </w:r>
            <w:proofErr w:type="spellStart"/>
            <w:r w:rsidRPr="00F02BC6">
              <w:rPr>
                <w:color w:val="000000"/>
                <w:lang w:val="en-US"/>
              </w:rPr>
              <w:t>pdat</w:t>
            </w:r>
            <w:proofErr w:type="spellEnd"/>
            <w:r w:rsidRPr="00F02BC6">
              <w:rPr>
                <w:color w:val="000000"/>
                <w:lang w:val="en-US"/>
              </w:rPr>
              <w:t>]) AND (</w:t>
            </w:r>
            <w:proofErr w:type="spellStart"/>
            <w:r w:rsidRPr="00F02BC6">
              <w:rPr>
                <w:color w:val="000000"/>
                <w:lang w:val="en-US"/>
              </w:rPr>
              <w:t>english</w:t>
            </w:r>
            <w:proofErr w:type="spellEnd"/>
            <w:r w:rsidRPr="00F02BC6">
              <w:rPr>
                <w:color w:val="000000"/>
                <w:lang w:val="en-US"/>
              </w:rPr>
              <w:t>[Filter]))</w:t>
            </w:r>
          </w:p>
          <w:p w14:paraId="77AE6958" w14:textId="77777777" w:rsidR="00E04942" w:rsidRPr="00F02BC6" w:rsidRDefault="00E04942" w:rsidP="007A14F1">
            <w:pPr>
              <w:rPr>
                <w:color w:val="000000"/>
                <w:lang w:val="en-US"/>
              </w:rPr>
            </w:pPr>
          </w:p>
        </w:tc>
        <w:tc>
          <w:tcPr>
            <w:tcW w:w="2430" w:type="dxa"/>
          </w:tcPr>
          <w:p w14:paraId="1FCDB1EA" w14:textId="77777777" w:rsidR="00E04942" w:rsidRPr="00F02BC6" w:rsidRDefault="00E04942" w:rsidP="007A14F1">
            <w:pPr>
              <w:rPr>
                <w:color w:val="000000"/>
                <w:lang w:val="en-US"/>
              </w:rPr>
            </w:pPr>
            <w:r w:rsidRPr="00F02BC6">
              <w:rPr>
                <w:color w:val="000000"/>
                <w:lang w:val="en-US"/>
              </w:rPr>
              <w:t>2456</w:t>
            </w:r>
            <w:r w:rsidR="00EC0999" w:rsidRPr="00F02BC6">
              <w:rPr>
                <w:color w:val="000000"/>
                <w:lang w:val="en-US"/>
              </w:rPr>
              <w:t xml:space="preserve"> </w:t>
            </w:r>
          </w:p>
          <w:p w14:paraId="7A89FC7E" w14:textId="77777777" w:rsidR="00EC0999" w:rsidRPr="00F02BC6" w:rsidRDefault="00EC0999" w:rsidP="007A14F1">
            <w:pPr>
              <w:rPr>
                <w:color w:val="000000"/>
                <w:lang w:val="en-US"/>
              </w:rPr>
            </w:pPr>
          </w:p>
          <w:p w14:paraId="790C5624" w14:textId="0F22F234" w:rsidR="00EC0999" w:rsidRPr="00F02BC6" w:rsidRDefault="00EC0999" w:rsidP="007A14F1">
            <w:pPr>
              <w:rPr>
                <w:color w:val="000000"/>
                <w:lang w:val="en-US"/>
              </w:rPr>
            </w:pPr>
            <w:r w:rsidRPr="00F02BC6">
              <w:rPr>
                <w:color w:val="000000"/>
                <w:lang w:val="en-US"/>
              </w:rPr>
              <w:t xml:space="preserve">Found additional </w:t>
            </w:r>
            <w:r w:rsidRPr="00F02BC6">
              <w:rPr>
                <w:b/>
                <w:bCs/>
                <w:color w:val="000000"/>
                <w:lang w:val="en-US"/>
              </w:rPr>
              <w:t>489</w:t>
            </w:r>
            <w:r w:rsidRPr="00F02BC6">
              <w:rPr>
                <w:color w:val="000000"/>
                <w:lang w:val="en-US"/>
              </w:rPr>
              <w:t xml:space="preserve"> studies</w:t>
            </w:r>
          </w:p>
        </w:tc>
      </w:tr>
      <w:tr w:rsidR="007A14F1" w:rsidRPr="00F02BC6" w14:paraId="6B4BCE0C" w14:textId="77777777" w:rsidTr="00863E8E">
        <w:tc>
          <w:tcPr>
            <w:tcW w:w="2263" w:type="dxa"/>
          </w:tcPr>
          <w:p w14:paraId="42977DC6" w14:textId="05A13546" w:rsidR="007A14F1" w:rsidRPr="00F02BC6" w:rsidRDefault="007A14F1" w:rsidP="007A14F1">
            <w:pPr>
              <w:rPr>
                <w:bCs/>
                <w:color w:val="000000"/>
                <w:lang w:val="en-US"/>
              </w:rPr>
            </w:pPr>
            <w:r w:rsidRPr="00F02BC6">
              <w:rPr>
                <w:bCs/>
                <w:color w:val="000000"/>
                <w:lang w:val="en-US"/>
              </w:rPr>
              <w:t>Embase</w:t>
            </w:r>
          </w:p>
          <w:p w14:paraId="14857A27" w14:textId="0BDDE26C" w:rsidR="00F47F28" w:rsidRPr="00F02BC6" w:rsidRDefault="00F47F28" w:rsidP="007A14F1">
            <w:pPr>
              <w:rPr>
                <w:bCs/>
                <w:color w:val="000000"/>
                <w:lang w:val="en-US"/>
              </w:rPr>
            </w:pPr>
            <w:r w:rsidRPr="00F02BC6">
              <w:rPr>
                <w:bCs/>
                <w:color w:val="000000"/>
                <w:lang w:val="en-US"/>
              </w:rPr>
              <w:t>(</w:t>
            </w:r>
            <w:proofErr w:type="gramStart"/>
            <w:r w:rsidRPr="00F02BC6">
              <w:rPr>
                <w:bCs/>
                <w:color w:val="000000"/>
                <w:lang w:val="en-US"/>
              </w:rPr>
              <w:t>from</w:t>
            </w:r>
            <w:proofErr w:type="gramEnd"/>
            <w:r w:rsidRPr="00F02BC6">
              <w:rPr>
                <w:bCs/>
                <w:color w:val="000000"/>
                <w:lang w:val="en-US"/>
              </w:rPr>
              <w:t xml:space="preserve"> </w:t>
            </w:r>
            <w:r w:rsidRPr="00F02BC6">
              <w:rPr>
                <w:b/>
                <w:color w:val="000000"/>
                <w:lang w:val="en-US"/>
              </w:rPr>
              <w:t>1998 to 2020</w:t>
            </w:r>
            <w:r w:rsidRPr="00F02BC6">
              <w:rPr>
                <w:bCs/>
                <w:color w:val="000000"/>
                <w:lang w:val="en-US"/>
              </w:rPr>
              <w:t>)</w:t>
            </w:r>
          </w:p>
          <w:p w14:paraId="48C0F4C3" w14:textId="77777777" w:rsidR="007A14F1" w:rsidRPr="00F02BC6" w:rsidRDefault="007A14F1" w:rsidP="007A14F1">
            <w:pPr>
              <w:rPr>
                <w:color w:val="000000"/>
                <w:u w:val="single"/>
                <w:lang w:val="en-US"/>
              </w:rPr>
            </w:pPr>
          </w:p>
        </w:tc>
        <w:tc>
          <w:tcPr>
            <w:tcW w:w="5996" w:type="dxa"/>
          </w:tcPr>
          <w:p w14:paraId="2D7AC2E5" w14:textId="77777777" w:rsidR="007A14F1" w:rsidRPr="00F02BC6" w:rsidRDefault="007A14F1" w:rsidP="007A14F1">
            <w:pPr>
              <w:rPr>
                <w:color w:val="000000"/>
                <w:lang w:val="en-US"/>
              </w:rPr>
            </w:pPr>
            <w:r w:rsidRPr="00F02BC6">
              <w:rPr>
                <w:color w:val="000000"/>
                <w:lang w:val="en-US"/>
              </w:rPr>
              <w:t>('medication compliance'/exp OR ((</w:t>
            </w:r>
            <w:proofErr w:type="spellStart"/>
            <w:proofErr w:type="gramStart"/>
            <w:r w:rsidRPr="00F02BC6">
              <w:rPr>
                <w:color w:val="000000"/>
                <w:lang w:val="en-US"/>
              </w:rPr>
              <w:t>prescription:ti</w:t>
            </w:r>
            <w:proofErr w:type="gramEnd"/>
            <w:r w:rsidRPr="00F02BC6">
              <w:rPr>
                <w:color w:val="000000"/>
                <w:lang w:val="en-US"/>
              </w:rPr>
              <w:t>,ab</w:t>
            </w:r>
            <w:proofErr w:type="spellEnd"/>
            <w:r w:rsidRPr="00F02BC6">
              <w:rPr>
                <w:color w:val="000000"/>
                <w:lang w:val="en-US"/>
              </w:rPr>
              <w:t xml:space="preserve"> OR </w:t>
            </w:r>
            <w:proofErr w:type="spellStart"/>
            <w:r w:rsidRPr="00F02BC6">
              <w:rPr>
                <w:color w:val="000000"/>
                <w:lang w:val="en-US"/>
              </w:rPr>
              <w:t>medication:ti,ab</w:t>
            </w:r>
            <w:proofErr w:type="spellEnd"/>
            <w:r w:rsidRPr="00F02BC6">
              <w:rPr>
                <w:color w:val="000000"/>
                <w:lang w:val="en-US"/>
              </w:rPr>
              <w:t xml:space="preserve"> OR </w:t>
            </w:r>
            <w:proofErr w:type="spellStart"/>
            <w:r w:rsidRPr="00F02BC6">
              <w:rPr>
                <w:color w:val="000000"/>
                <w:lang w:val="en-US"/>
              </w:rPr>
              <w:t>puffer:ti,ab</w:t>
            </w:r>
            <w:proofErr w:type="spellEnd"/>
            <w:r w:rsidRPr="00F02BC6">
              <w:rPr>
                <w:color w:val="000000"/>
                <w:lang w:val="en-US"/>
              </w:rPr>
              <w:t xml:space="preserve"> OR 'inhaled corticosteroid':</w:t>
            </w:r>
            <w:proofErr w:type="spellStart"/>
            <w:r w:rsidRPr="00F02BC6">
              <w:rPr>
                <w:color w:val="000000"/>
                <w:lang w:val="en-US"/>
              </w:rPr>
              <w:t>ti,ab</w:t>
            </w:r>
            <w:proofErr w:type="spellEnd"/>
            <w:r w:rsidRPr="00F02BC6">
              <w:rPr>
                <w:color w:val="000000"/>
                <w:lang w:val="en-US"/>
              </w:rPr>
              <w:t>) AND (</w:t>
            </w:r>
            <w:proofErr w:type="spellStart"/>
            <w:r w:rsidRPr="00F02BC6">
              <w:rPr>
                <w:color w:val="000000"/>
                <w:lang w:val="en-US"/>
              </w:rPr>
              <w:t>adherence:ti,ab</w:t>
            </w:r>
            <w:proofErr w:type="spellEnd"/>
            <w:r w:rsidRPr="00F02BC6">
              <w:rPr>
                <w:color w:val="000000"/>
                <w:lang w:val="en-US"/>
              </w:rPr>
              <w:t xml:space="preserve"> OR </w:t>
            </w:r>
            <w:proofErr w:type="spellStart"/>
            <w:r w:rsidRPr="00F02BC6">
              <w:rPr>
                <w:color w:val="000000"/>
                <w:lang w:val="en-US"/>
              </w:rPr>
              <w:t>compliance:ti,ab</w:t>
            </w:r>
            <w:proofErr w:type="spellEnd"/>
            <w:r w:rsidRPr="00F02BC6">
              <w:rPr>
                <w:color w:val="000000"/>
                <w:lang w:val="en-US"/>
              </w:rPr>
              <w:t xml:space="preserve"> OR </w:t>
            </w:r>
            <w:proofErr w:type="spellStart"/>
            <w:r w:rsidRPr="00F02BC6">
              <w:rPr>
                <w:color w:val="000000"/>
                <w:lang w:val="en-US"/>
              </w:rPr>
              <w:t>filling:ti,ab</w:t>
            </w:r>
            <w:proofErr w:type="spellEnd"/>
            <w:r w:rsidRPr="00F02BC6">
              <w:rPr>
                <w:color w:val="000000"/>
                <w:lang w:val="en-US"/>
              </w:rPr>
              <w:t xml:space="preserve"> OR </w:t>
            </w:r>
            <w:proofErr w:type="spellStart"/>
            <w:r w:rsidRPr="00F02BC6">
              <w:rPr>
                <w:color w:val="000000"/>
                <w:lang w:val="en-US"/>
              </w:rPr>
              <w:t>dispensing:ti,ab</w:t>
            </w:r>
            <w:proofErr w:type="spellEnd"/>
            <w:r w:rsidRPr="00F02BC6">
              <w:rPr>
                <w:color w:val="000000"/>
                <w:lang w:val="en-US"/>
              </w:rPr>
              <w:t xml:space="preserve"> OR </w:t>
            </w:r>
            <w:proofErr w:type="spellStart"/>
            <w:r w:rsidRPr="00F02BC6">
              <w:rPr>
                <w:color w:val="000000"/>
                <w:lang w:val="en-US"/>
              </w:rPr>
              <w:t>dispensed:ti,ab</w:t>
            </w:r>
            <w:proofErr w:type="spellEnd"/>
            <w:r w:rsidRPr="00F02BC6">
              <w:rPr>
                <w:color w:val="000000"/>
                <w:lang w:val="en-US"/>
              </w:rPr>
              <w:t xml:space="preserve"> OR </w:t>
            </w:r>
            <w:proofErr w:type="spellStart"/>
            <w:r w:rsidRPr="00F02BC6">
              <w:rPr>
                <w:color w:val="000000"/>
                <w:lang w:val="en-US"/>
              </w:rPr>
              <w:t>filled:ti,ab</w:t>
            </w:r>
            <w:proofErr w:type="spellEnd"/>
            <w:r w:rsidRPr="00F02BC6">
              <w:rPr>
                <w:color w:val="000000"/>
                <w:lang w:val="en-US"/>
              </w:rPr>
              <w:t xml:space="preserve">))) AND ('asthma'/exp OR </w:t>
            </w:r>
            <w:proofErr w:type="spellStart"/>
            <w:r w:rsidRPr="00F02BC6">
              <w:rPr>
                <w:color w:val="000000"/>
                <w:lang w:val="en-US"/>
              </w:rPr>
              <w:t>asthma:ti,ab</w:t>
            </w:r>
            <w:proofErr w:type="spellEnd"/>
            <w:r w:rsidRPr="00F02BC6">
              <w:rPr>
                <w:color w:val="000000"/>
                <w:lang w:val="en-US"/>
              </w:rPr>
              <w:t>) AND [humans]/</w:t>
            </w:r>
            <w:proofErr w:type="spellStart"/>
            <w:r w:rsidRPr="00F02BC6">
              <w:rPr>
                <w:color w:val="000000"/>
                <w:lang w:val="en-US"/>
              </w:rPr>
              <w:t>lim</w:t>
            </w:r>
            <w:proofErr w:type="spellEnd"/>
            <w:r w:rsidRPr="00F02BC6">
              <w:rPr>
                <w:color w:val="000000"/>
                <w:lang w:val="en-US"/>
              </w:rPr>
              <w:t xml:space="preserve"> AND [1998-2020]/</w:t>
            </w:r>
            <w:proofErr w:type="spellStart"/>
            <w:r w:rsidRPr="00F02BC6">
              <w:rPr>
                <w:color w:val="000000"/>
                <w:lang w:val="en-US"/>
              </w:rPr>
              <w:t>py</w:t>
            </w:r>
            <w:proofErr w:type="spellEnd"/>
          </w:p>
          <w:p w14:paraId="59938DCD" w14:textId="77777777" w:rsidR="007A14F1" w:rsidRPr="00F02BC6" w:rsidRDefault="007A14F1" w:rsidP="007A14F1">
            <w:pPr>
              <w:rPr>
                <w:b/>
                <w:color w:val="000000"/>
                <w:u w:val="single"/>
                <w:lang w:val="en-US"/>
              </w:rPr>
            </w:pPr>
          </w:p>
        </w:tc>
        <w:tc>
          <w:tcPr>
            <w:tcW w:w="2430" w:type="dxa"/>
          </w:tcPr>
          <w:p w14:paraId="0CB3DDAC" w14:textId="77777777" w:rsidR="007A14F1" w:rsidRPr="00F02BC6" w:rsidRDefault="007A14F1" w:rsidP="007A14F1">
            <w:pPr>
              <w:rPr>
                <w:color w:val="000000"/>
                <w:lang w:val="en-US"/>
              </w:rPr>
            </w:pPr>
            <w:r w:rsidRPr="00F02BC6">
              <w:rPr>
                <w:color w:val="000000"/>
                <w:lang w:val="en-US"/>
              </w:rPr>
              <w:t>4148 studies</w:t>
            </w:r>
          </w:p>
        </w:tc>
      </w:tr>
      <w:tr w:rsidR="00F47F28" w:rsidRPr="00F02BC6" w14:paraId="2D7892B7" w14:textId="77777777" w:rsidTr="00863E8E">
        <w:tc>
          <w:tcPr>
            <w:tcW w:w="2263" w:type="dxa"/>
          </w:tcPr>
          <w:p w14:paraId="21F73DF4" w14:textId="77777777" w:rsidR="00F47F28" w:rsidRPr="00F02BC6" w:rsidRDefault="00F47F28" w:rsidP="007A14F1">
            <w:pPr>
              <w:rPr>
                <w:bCs/>
                <w:color w:val="000000"/>
                <w:lang w:val="en-US"/>
              </w:rPr>
            </w:pPr>
            <w:r w:rsidRPr="00F02BC6">
              <w:rPr>
                <w:bCs/>
                <w:color w:val="000000"/>
                <w:lang w:val="en-US"/>
              </w:rPr>
              <w:t>Updated Embase</w:t>
            </w:r>
          </w:p>
          <w:p w14:paraId="0677BD3B" w14:textId="130AE237" w:rsidR="00F47F28" w:rsidRPr="00F02BC6" w:rsidRDefault="00F47F28" w:rsidP="007A14F1">
            <w:pPr>
              <w:rPr>
                <w:bCs/>
                <w:color w:val="000000"/>
                <w:lang w:val="en-US"/>
              </w:rPr>
            </w:pPr>
            <w:r w:rsidRPr="00F02BC6">
              <w:rPr>
                <w:bCs/>
                <w:color w:val="000000"/>
                <w:lang w:val="en-US"/>
              </w:rPr>
              <w:t xml:space="preserve">(From </w:t>
            </w:r>
            <w:r w:rsidRPr="00F02BC6">
              <w:rPr>
                <w:b/>
                <w:color w:val="000000"/>
                <w:lang w:val="en-US"/>
              </w:rPr>
              <w:t>1998 to 2021</w:t>
            </w:r>
            <w:r w:rsidRPr="00F02BC6">
              <w:rPr>
                <w:bCs/>
                <w:color w:val="000000"/>
                <w:lang w:val="en-US"/>
              </w:rPr>
              <w:t>)</w:t>
            </w:r>
          </w:p>
        </w:tc>
        <w:tc>
          <w:tcPr>
            <w:tcW w:w="5996" w:type="dxa"/>
          </w:tcPr>
          <w:p w14:paraId="3AA3217A" w14:textId="051FB025" w:rsidR="00F47F28" w:rsidRPr="00F02BC6" w:rsidRDefault="00F47F28" w:rsidP="007A14F1">
            <w:pPr>
              <w:rPr>
                <w:color w:val="000000"/>
                <w:lang w:val="en-US"/>
              </w:rPr>
            </w:pPr>
            <w:r w:rsidRPr="00F02BC6">
              <w:rPr>
                <w:color w:val="000000"/>
                <w:lang w:val="en-US"/>
              </w:rPr>
              <w:t>(</w:t>
            </w:r>
            <w:r w:rsidRPr="00F02BC6">
              <w:rPr>
                <w:rStyle w:val="term"/>
                <w:color w:val="000000"/>
                <w:lang w:val="en-US"/>
              </w:rPr>
              <w:t>'medication compliance'</w:t>
            </w:r>
            <w:r w:rsidRPr="00F02BC6">
              <w:rPr>
                <w:color w:val="000000"/>
                <w:lang w:val="en-US"/>
              </w:rPr>
              <w:t>/exp OR ((</w:t>
            </w:r>
            <w:proofErr w:type="spellStart"/>
            <w:r w:rsidRPr="00F02BC6">
              <w:rPr>
                <w:rStyle w:val="term"/>
                <w:color w:val="000000"/>
                <w:lang w:val="en-US"/>
              </w:rPr>
              <w:t>prescription</w:t>
            </w:r>
            <w:r w:rsidRPr="00F02BC6">
              <w:rPr>
                <w:color w:val="000000"/>
                <w:lang w:val="en-US"/>
              </w:rPr>
              <w:t>:ti,ab</w:t>
            </w:r>
            <w:proofErr w:type="spellEnd"/>
            <w:r w:rsidRPr="00F02BC6">
              <w:rPr>
                <w:color w:val="000000"/>
                <w:lang w:val="en-US"/>
              </w:rPr>
              <w:t xml:space="preserve"> OR </w:t>
            </w:r>
            <w:proofErr w:type="spellStart"/>
            <w:r w:rsidRPr="00F02BC6">
              <w:rPr>
                <w:rStyle w:val="term"/>
                <w:color w:val="000000"/>
                <w:lang w:val="en-US"/>
              </w:rPr>
              <w:t>medication</w:t>
            </w:r>
            <w:r w:rsidRPr="00F02BC6">
              <w:rPr>
                <w:color w:val="000000"/>
                <w:lang w:val="en-US"/>
              </w:rPr>
              <w:t>:ti,ab</w:t>
            </w:r>
            <w:proofErr w:type="spellEnd"/>
            <w:r w:rsidRPr="00F02BC6">
              <w:rPr>
                <w:color w:val="000000"/>
                <w:lang w:val="en-US"/>
              </w:rPr>
              <w:t xml:space="preserve"> OR </w:t>
            </w:r>
            <w:proofErr w:type="spellStart"/>
            <w:r w:rsidRPr="00F02BC6">
              <w:rPr>
                <w:rStyle w:val="term"/>
                <w:color w:val="000000"/>
                <w:lang w:val="en-US"/>
              </w:rPr>
              <w:t>puffer</w:t>
            </w:r>
            <w:r w:rsidRPr="00F02BC6">
              <w:rPr>
                <w:color w:val="000000"/>
                <w:lang w:val="en-US"/>
              </w:rPr>
              <w:t>:ti,ab</w:t>
            </w:r>
            <w:proofErr w:type="spellEnd"/>
            <w:r w:rsidRPr="00F02BC6">
              <w:rPr>
                <w:color w:val="000000"/>
                <w:lang w:val="en-US"/>
              </w:rPr>
              <w:t xml:space="preserve"> OR </w:t>
            </w:r>
            <w:r w:rsidRPr="00F02BC6">
              <w:rPr>
                <w:rStyle w:val="term"/>
                <w:color w:val="000000"/>
                <w:lang w:val="en-US"/>
              </w:rPr>
              <w:t>'inhaled corticosteroid'</w:t>
            </w:r>
            <w:r w:rsidRPr="00F02BC6">
              <w:rPr>
                <w:color w:val="000000"/>
                <w:lang w:val="en-US"/>
              </w:rPr>
              <w:t>:</w:t>
            </w:r>
            <w:proofErr w:type="spellStart"/>
            <w:r w:rsidRPr="00F02BC6">
              <w:rPr>
                <w:color w:val="000000"/>
                <w:lang w:val="en-US"/>
              </w:rPr>
              <w:t>ti,ab</w:t>
            </w:r>
            <w:proofErr w:type="spellEnd"/>
            <w:r w:rsidRPr="00F02BC6">
              <w:rPr>
                <w:color w:val="000000"/>
                <w:lang w:val="en-US"/>
              </w:rPr>
              <w:t>) AND (</w:t>
            </w:r>
            <w:proofErr w:type="spellStart"/>
            <w:r w:rsidRPr="00F02BC6">
              <w:rPr>
                <w:rStyle w:val="term"/>
                <w:color w:val="000000"/>
                <w:lang w:val="en-US"/>
              </w:rPr>
              <w:t>adherence</w:t>
            </w:r>
            <w:r w:rsidRPr="00F02BC6">
              <w:rPr>
                <w:color w:val="000000"/>
                <w:lang w:val="en-US"/>
              </w:rPr>
              <w:t>:ti,ab</w:t>
            </w:r>
            <w:proofErr w:type="spellEnd"/>
            <w:r w:rsidRPr="00F02BC6">
              <w:rPr>
                <w:color w:val="000000"/>
                <w:lang w:val="en-US"/>
              </w:rPr>
              <w:t xml:space="preserve"> OR </w:t>
            </w:r>
            <w:proofErr w:type="spellStart"/>
            <w:r w:rsidRPr="00F02BC6">
              <w:rPr>
                <w:rStyle w:val="term"/>
                <w:color w:val="000000"/>
                <w:lang w:val="en-US"/>
              </w:rPr>
              <w:t>compliance</w:t>
            </w:r>
            <w:r w:rsidRPr="00F02BC6">
              <w:rPr>
                <w:color w:val="000000"/>
                <w:lang w:val="en-US"/>
              </w:rPr>
              <w:t>:ti,ab</w:t>
            </w:r>
            <w:proofErr w:type="spellEnd"/>
            <w:r w:rsidRPr="00F02BC6">
              <w:rPr>
                <w:color w:val="000000"/>
                <w:lang w:val="en-US"/>
              </w:rPr>
              <w:t xml:space="preserve"> OR </w:t>
            </w:r>
            <w:proofErr w:type="spellStart"/>
            <w:r w:rsidRPr="00F02BC6">
              <w:rPr>
                <w:rStyle w:val="term"/>
                <w:color w:val="000000"/>
                <w:lang w:val="en-US"/>
              </w:rPr>
              <w:t>filling</w:t>
            </w:r>
            <w:r w:rsidRPr="00F02BC6">
              <w:rPr>
                <w:color w:val="000000"/>
                <w:lang w:val="en-US"/>
              </w:rPr>
              <w:t>:ti,ab</w:t>
            </w:r>
            <w:proofErr w:type="spellEnd"/>
            <w:r w:rsidRPr="00F02BC6">
              <w:rPr>
                <w:color w:val="000000"/>
                <w:lang w:val="en-US"/>
              </w:rPr>
              <w:t xml:space="preserve"> OR </w:t>
            </w:r>
            <w:proofErr w:type="spellStart"/>
            <w:r w:rsidRPr="00F02BC6">
              <w:rPr>
                <w:rStyle w:val="term"/>
                <w:color w:val="000000"/>
                <w:lang w:val="en-US"/>
              </w:rPr>
              <w:t>dispensing</w:t>
            </w:r>
            <w:r w:rsidRPr="00F02BC6">
              <w:rPr>
                <w:color w:val="000000"/>
                <w:lang w:val="en-US"/>
              </w:rPr>
              <w:t>:ti,ab</w:t>
            </w:r>
            <w:proofErr w:type="spellEnd"/>
            <w:r w:rsidRPr="00F02BC6">
              <w:rPr>
                <w:color w:val="000000"/>
                <w:lang w:val="en-US"/>
              </w:rPr>
              <w:t xml:space="preserve"> OR </w:t>
            </w:r>
            <w:proofErr w:type="spellStart"/>
            <w:r w:rsidRPr="00F02BC6">
              <w:rPr>
                <w:rStyle w:val="term"/>
                <w:color w:val="000000"/>
                <w:lang w:val="en-US"/>
              </w:rPr>
              <w:t>dispensed</w:t>
            </w:r>
            <w:r w:rsidRPr="00F02BC6">
              <w:rPr>
                <w:color w:val="000000"/>
                <w:lang w:val="en-US"/>
              </w:rPr>
              <w:t>:ti,ab</w:t>
            </w:r>
            <w:proofErr w:type="spellEnd"/>
            <w:r w:rsidRPr="00F02BC6">
              <w:rPr>
                <w:color w:val="000000"/>
                <w:lang w:val="en-US"/>
              </w:rPr>
              <w:t xml:space="preserve"> OR </w:t>
            </w:r>
            <w:proofErr w:type="spellStart"/>
            <w:r w:rsidRPr="00F02BC6">
              <w:rPr>
                <w:rStyle w:val="term"/>
                <w:color w:val="000000"/>
                <w:lang w:val="en-US"/>
              </w:rPr>
              <w:t>filled</w:t>
            </w:r>
            <w:r w:rsidRPr="00F02BC6">
              <w:rPr>
                <w:color w:val="000000"/>
                <w:lang w:val="en-US"/>
              </w:rPr>
              <w:t>:ti,ab</w:t>
            </w:r>
            <w:proofErr w:type="spellEnd"/>
            <w:r w:rsidRPr="00F02BC6">
              <w:rPr>
                <w:color w:val="000000"/>
                <w:lang w:val="en-US"/>
              </w:rPr>
              <w:t>))) AND (</w:t>
            </w:r>
            <w:r w:rsidRPr="00F02BC6">
              <w:rPr>
                <w:rStyle w:val="term"/>
                <w:color w:val="000000"/>
                <w:lang w:val="en-US"/>
              </w:rPr>
              <w:t>'asthma'</w:t>
            </w:r>
            <w:r w:rsidRPr="00F02BC6">
              <w:rPr>
                <w:color w:val="000000"/>
                <w:lang w:val="en-US"/>
              </w:rPr>
              <w:t xml:space="preserve">/exp OR </w:t>
            </w:r>
            <w:proofErr w:type="spellStart"/>
            <w:r w:rsidRPr="00F02BC6">
              <w:rPr>
                <w:rStyle w:val="term"/>
                <w:color w:val="000000"/>
                <w:lang w:val="en-US"/>
              </w:rPr>
              <w:t>asthma</w:t>
            </w:r>
            <w:r w:rsidRPr="00F02BC6">
              <w:rPr>
                <w:color w:val="000000"/>
                <w:lang w:val="en-US"/>
              </w:rPr>
              <w:t>:ti,ab</w:t>
            </w:r>
            <w:proofErr w:type="spellEnd"/>
            <w:r w:rsidRPr="00F02BC6">
              <w:rPr>
                <w:color w:val="000000"/>
                <w:lang w:val="en-US"/>
              </w:rPr>
              <w:t>) AND (</w:t>
            </w:r>
            <w:r w:rsidRPr="00F02BC6">
              <w:rPr>
                <w:rStyle w:val="term"/>
                <w:color w:val="000000"/>
                <w:lang w:val="en-US"/>
              </w:rPr>
              <w:t>1998</w:t>
            </w:r>
            <w:r w:rsidRPr="00F02BC6">
              <w:rPr>
                <w:color w:val="000000"/>
                <w:lang w:val="en-US"/>
              </w:rPr>
              <w:t xml:space="preserve">:py OR </w:t>
            </w:r>
            <w:r w:rsidRPr="00F02BC6">
              <w:rPr>
                <w:rStyle w:val="term"/>
                <w:color w:val="000000"/>
                <w:lang w:val="en-US"/>
              </w:rPr>
              <w:t>1999</w:t>
            </w:r>
            <w:r w:rsidRPr="00F02BC6">
              <w:rPr>
                <w:color w:val="000000"/>
                <w:lang w:val="en-US"/>
              </w:rPr>
              <w:t xml:space="preserve">:py OR </w:t>
            </w:r>
            <w:r w:rsidRPr="00F02BC6">
              <w:rPr>
                <w:rStyle w:val="term"/>
                <w:color w:val="000000"/>
                <w:lang w:val="en-US"/>
              </w:rPr>
              <w:t>2000</w:t>
            </w:r>
            <w:r w:rsidRPr="00F02BC6">
              <w:rPr>
                <w:color w:val="000000"/>
                <w:lang w:val="en-US"/>
              </w:rPr>
              <w:t xml:space="preserve">:py OR </w:t>
            </w:r>
            <w:r w:rsidRPr="00F02BC6">
              <w:rPr>
                <w:rStyle w:val="term"/>
                <w:color w:val="000000"/>
                <w:lang w:val="en-US"/>
              </w:rPr>
              <w:t>2001</w:t>
            </w:r>
            <w:r w:rsidRPr="00F02BC6">
              <w:rPr>
                <w:color w:val="000000"/>
                <w:lang w:val="en-US"/>
              </w:rPr>
              <w:t xml:space="preserve">:py OR </w:t>
            </w:r>
            <w:r w:rsidRPr="00F02BC6">
              <w:rPr>
                <w:rStyle w:val="term"/>
                <w:color w:val="000000"/>
                <w:lang w:val="en-US"/>
              </w:rPr>
              <w:t>2002</w:t>
            </w:r>
            <w:r w:rsidRPr="00F02BC6">
              <w:rPr>
                <w:color w:val="000000"/>
                <w:lang w:val="en-US"/>
              </w:rPr>
              <w:t xml:space="preserve">:py OR </w:t>
            </w:r>
            <w:r w:rsidRPr="00F02BC6">
              <w:rPr>
                <w:rStyle w:val="term"/>
                <w:color w:val="000000"/>
                <w:lang w:val="en-US"/>
              </w:rPr>
              <w:t>2003</w:t>
            </w:r>
            <w:r w:rsidRPr="00F02BC6">
              <w:rPr>
                <w:color w:val="000000"/>
                <w:lang w:val="en-US"/>
              </w:rPr>
              <w:t xml:space="preserve">:py OR </w:t>
            </w:r>
            <w:r w:rsidRPr="00F02BC6">
              <w:rPr>
                <w:rStyle w:val="term"/>
                <w:color w:val="000000"/>
                <w:lang w:val="en-US"/>
              </w:rPr>
              <w:t>2004</w:t>
            </w:r>
            <w:r w:rsidRPr="00F02BC6">
              <w:rPr>
                <w:color w:val="000000"/>
                <w:lang w:val="en-US"/>
              </w:rPr>
              <w:t xml:space="preserve">:py OR </w:t>
            </w:r>
            <w:r w:rsidRPr="00F02BC6">
              <w:rPr>
                <w:rStyle w:val="term"/>
                <w:color w:val="000000"/>
                <w:lang w:val="en-US"/>
              </w:rPr>
              <w:t>2005</w:t>
            </w:r>
            <w:r w:rsidRPr="00F02BC6">
              <w:rPr>
                <w:color w:val="000000"/>
                <w:lang w:val="en-US"/>
              </w:rPr>
              <w:t xml:space="preserve">:py OR </w:t>
            </w:r>
            <w:r w:rsidRPr="00F02BC6">
              <w:rPr>
                <w:rStyle w:val="term"/>
                <w:color w:val="000000"/>
                <w:lang w:val="en-US"/>
              </w:rPr>
              <w:t>2006</w:t>
            </w:r>
            <w:r w:rsidRPr="00F02BC6">
              <w:rPr>
                <w:color w:val="000000"/>
                <w:lang w:val="en-US"/>
              </w:rPr>
              <w:t xml:space="preserve">:py OR </w:t>
            </w:r>
            <w:r w:rsidRPr="00F02BC6">
              <w:rPr>
                <w:rStyle w:val="term"/>
                <w:color w:val="000000"/>
                <w:lang w:val="en-US"/>
              </w:rPr>
              <w:t>2007</w:t>
            </w:r>
            <w:r w:rsidRPr="00F02BC6">
              <w:rPr>
                <w:color w:val="000000"/>
                <w:lang w:val="en-US"/>
              </w:rPr>
              <w:t xml:space="preserve">:py OR </w:t>
            </w:r>
            <w:r w:rsidRPr="00F02BC6">
              <w:rPr>
                <w:rStyle w:val="term"/>
                <w:color w:val="000000"/>
                <w:lang w:val="en-US"/>
              </w:rPr>
              <w:t>2008</w:t>
            </w:r>
            <w:r w:rsidRPr="00F02BC6">
              <w:rPr>
                <w:color w:val="000000"/>
                <w:lang w:val="en-US"/>
              </w:rPr>
              <w:t xml:space="preserve">:py OR </w:t>
            </w:r>
            <w:r w:rsidRPr="00F02BC6">
              <w:rPr>
                <w:rStyle w:val="term"/>
                <w:color w:val="000000"/>
                <w:lang w:val="en-US"/>
              </w:rPr>
              <w:t>2009</w:t>
            </w:r>
            <w:r w:rsidRPr="00F02BC6">
              <w:rPr>
                <w:color w:val="000000"/>
                <w:lang w:val="en-US"/>
              </w:rPr>
              <w:t xml:space="preserve">:py OR </w:t>
            </w:r>
            <w:r w:rsidRPr="00F02BC6">
              <w:rPr>
                <w:rStyle w:val="term"/>
                <w:color w:val="000000"/>
                <w:lang w:val="en-US"/>
              </w:rPr>
              <w:t>2010</w:t>
            </w:r>
            <w:r w:rsidRPr="00F02BC6">
              <w:rPr>
                <w:color w:val="000000"/>
                <w:lang w:val="en-US"/>
              </w:rPr>
              <w:t xml:space="preserve">:py OR </w:t>
            </w:r>
            <w:r w:rsidRPr="00F02BC6">
              <w:rPr>
                <w:rStyle w:val="term"/>
                <w:color w:val="000000"/>
                <w:lang w:val="en-US"/>
              </w:rPr>
              <w:t>2011</w:t>
            </w:r>
            <w:r w:rsidRPr="00F02BC6">
              <w:rPr>
                <w:color w:val="000000"/>
                <w:lang w:val="en-US"/>
              </w:rPr>
              <w:t xml:space="preserve">:py OR </w:t>
            </w:r>
            <w:r w:rsidRPr="00F02BC6">
              <w:rPr>
                <w:rStyle w:val="term"/>
                <w:color w:val="000000"/>
                <w:lang w:val="en-US"/>
              </w:rPr>
              <w:t>2012</w:t>
            </w:r>
            <w:r w:rsidRPr="00F02BC6">
              <w:rPr>
                <w:color w:val="000000"/>
                <w:lang w:val="en-US"/>
              </w:rPr>
              <w:t xml:space="preserve">:py OR </w:t>
            </w:r>
            <w:r w:rsidRPr="00F02BC6">
              <w:rPr>
                <w:rStyle w:val="term"/>
                <w:color w:val="000000"/>
                <w:lang w:val="en-US"/>
              </w:rPr>
              <w:t>2013</w:t>
            </w:r>
            <w:r w:rsidRPr="00F02BC6">
              <w:rPr>
                <w:color w:val="000000"/>
                <w:lang w:val="en-US"/>
              </w:rPr>
              <w:t xml:space="preserve">:py OR </w:t>
            </w:r>
            <w:r w:rsidRPr="00F02BC6">
              <w:rPr>
                <w:rStyle w:val="term"/>
                <w:color w:val="000000"/>
                <w:lang w:val="en-US"/>
              </w:rPr>
              <w:t>2014</w:t>
            </w:r>
            <w:r w:rsidRPr="00F02BC6">
              <w:rPr>
                <w:color w:val="000000"/>
                <w:lang w:val="en-US"/>
              </w:rPr>
              <w:t xml:space="preserve">:py OR </w:t>
            </w:r>
            <w:r w:rsidRPr="00F02BC6">
              <w:rPr>
                <w:rStyle w:val="term"/>
                <w:color w:val="000000"/>
                <w:lang w:val="en-US"/>
              </w:rPr>
              <w:t>2015</w:t>
            </w:r>
            <w:r w:rsidRPr="00F02BC6">
              <w:rPr>
                <w:color w:val="000000"/>
                <w:lang w:val="en-US"/>
              </w:rPr>
              <w:t xml:space="preserve">:py OR </w:t>
            </w:r>
            <w:r w:rsidRPr="00F02BC6">
              <w:rPr>
                <w:rStyle w:val="term"/>
                <w:color w:val="000000"/>
                <w:lang w:val="en-US"/>
              </w:rPr>
              <w:t>2016</w:t>
            </w:r>
            <w:r w:rsidRPr="00F02BC6">
              <w:rPr>
                <w:color w:val="000000"/>
                <w:lang w:val="en-US"/>
              </w:rPr>
              <w:t xml:space="preserve">:py OR </w:t>
            </w:r>
            <w:r w:rsidRPr="00F02BC6">
              <w:rPr>
                <w:rStyle w:val="term"/>
                <w:color w:val="000000"/>
                <w:lang w:val="en-US"/>
              </w:rPr>
              <w:t>2017</w:t>
            </w:r>
            <w:r w:rsidRPr="00F02BC6">
              <w:rPr>
                <w:color w:val="000000"/>
                <w:lang w:val="en-US"/>
              </w:rPr>
              <w:t xml:space="preserve">:py OR </w:t>
            </w:r>
            <w:r w:rsidRPr="00F02BC6">
              <w:rPr>
                <w:rStyle w:val="term"/>
                <w:color w:val="000000"/>
                <w:lang w:val="en-US"/>
              </w:rPr>
              <w:t>2018</w:t>
            </w:r>
            <w:r w:rsidRPr="00F02BC6">
              <w:rPr>
                <w:color w:val="000000"/>
                <w:lang w:val="en-US"/>
              </w:rPr>
              <w:t xml:space="preserve">:py OR </w:t>
            </w:r>
            <w:r w:rsidRPr="00F02BC6">
              <w:rPr>
                <w:rStyle w:val="term"/>
                <w:color w:val="000000"/>
                <w:lang w:val="en-US"/>
              </w:rPr>
              <w:t>2019</w:t>
            </w:r>
            <w:r w:rsidRPr="00F02BC6">
              <w:rPr>
                <w:color w:val="000000"/>
                <w:lang w:val="en-US"/>
              </w:rPr>
              <w:t xml:space="preserve">:py OR </w:t>
            </w:r>
            <w:r w:rsidRPr="00F02BC6">
              <w:rPr>
                <w:rStyle w:val="term"/>
                <w:color w:val="000000"/>
                <w:lang w:val="en-US"/>
              </w:rPr>
              <w:t>2020</w:t>
            </w:r>
            <w:r w:rsidRPr="00F02BC6">
              <w:rPr>
                <w:color w:val="000000"/>
                <w:lang w:val="en-US"/>
              </w:rPr>
              <w:t xml:space="preserve">:py OR </w:t>
            </w:r>
            <w:r w:rsidRPr="00F02BC6">
              <w:rPr>
                <w:rStyle w:val="term"/>
                <w:color w:val="000000"/>
                <w:lang w:val="en-US"/>
              </w:rPr>
              <w:t>2021</w:t>
            </w:r>
            <w:r w:rsidRPr="00F02BC6">
              <w:rPr>
                <w:color w:val="000000"/>
                <w:lang w:val="en-US"/>
              </w:rPr>
              <w:t xml:space="preserve">:py) AND </w:t>
            </w:r>
            <w:r w:rsidRPr="00F02BC6">
              <w:rPr>
                <w:rStyle w:val="term"/>
                <w:color w:val="000000"/>
                <w:lang w:val="en-US"/>
              </w:rPr>
              <w:t>'human'</w:t>
            </w:r>
            <w:r w:rsidRPr="00F02BC6">
              <w:rPr>
                <w:color w:val="000000"/>
                <w:lang w:val="en-US"/>
              </w:rPr>
              <w:t>/de AND (</w:t>
            </w:r>
            <w:r w:rsidRPr="00F02BC6">
              <w:rPr>
                <w:rStyle w:val="term"/>
                <w:color w:val="000000"/>
                <w:lang w:val="en-US"/>
              </w:rPr>
              <w:t>'allergic asthma'</w:t>
            </w:r>
            <w:r w:rsidRPr="00F02BC6">
              <w:rPr>
                <w:color w:val="000000"/>
                <w:lang w:val="en-US"/>
              </w:rPr>
              <w:t xml:space="preserve">/dm OR </w:t>
            </w:r>
            <w:r w:rsidRPr="00F02BC6">
              <w:rPr>
                <w:rStyle w:val="term"/>
                <w:color w:val="000000"/>
                <w:lang w:val="en-US"/>
              </w:rPr>
              <w:t>'asthma'</w:t>
            </w:r>
            <w:r w:rsidRPr="00F02BC6">
              <w:rPr>
                <w:color w:val="000000"/>
                <w:lang w:val="en-US"/>
              </w:rPr>
              <w:t xml:space="preserve">/dm OR </w:t>
            </w:r>
            <w:r w:rsidRPr="00F02BC6">
              <w:rPr>
                <w:rStyle w:val="term"/>
                <w:color w:val="000000"/>
                <w:lang w:val="en-US"/>
              </w:rPr>
              <w:t>'mild persistent asthma'</w:t>
            </w:r>
            <w:r w:rsidRPr="00F02BC6">
              <w:rPr>
                <w:color w:val="000000"/>
                <w:lang w:val="en-US"/>
              </w:rPr>
              <w:t xml:space="preserve">/dm OR </w:t>
            </w:r>
            <w:r w:rsidRPr="00F02BC6">
              <w:rPr>
                <w:rStyle w:val="term"/>
                <w:color w:val="000000"/>
                <w:lang w:val="en-US"/>
              </w:rPr>
              <w:t>'severe persistent asthma'</w:t>
            </w:r>
            <w:r w:rsidRPr="00F02BC6">
              <w:rPr>
                <w:color w:val="000000"/>
                <w:lang w:val="en-US"/>
              </w:rPr>
              <w:t>/dm)</w:t>
            </w:r>
          </w:p>
        </w:tc>
        <w:tc>
          <w:tcPr>
            <w:tcW w:w="2430" w:type="dxa"/>
          </w:tcPr>
          <w:p w14:paraId="426E3C3A" w14:textId="77777777" w:rsidR="00F47F28" w:rsidRPr="00F02BC6" w:rsidRDefault="00F47F28" w:rsidP="007A14F1">
            <w:pPr>
              <w:rPr>
                <w:color w:val="000000"/>
                <w:lang w:val="en-US"/>
              </w:rPr>
            </w:pPr>
            <w:r w:rsidRPr="00F02BC6">
              <w:rPr>
                <w:color w:val="000000"/>
                <w:lang w:val="en-US"/>
              </w:rPr>
              <w:t>4479</w:t>
            </w:r>
            <w:r w:rsidR="00EC0999" w:rsidRPr="00F02BC6">
              <w:rPr>
                <w:color w:val="000000"/>
                <w:lang w:val="en-US"/>
              </w:rPr>
              <w:t xml:space="preserve"> studies</w:t>
            </w:r>
          </w:p>
          <w:p w14:paraId="71107491" w14:textId="77777777" w:rsidR="00EC0999" w:rsidRPr="00F02BC6" w:rsidRDefault="00EC0999" w:rsidP="007A14F1">
            <w:pPr>
              <w:rPr>
                <w:color w:val="000000"/>
                <w:lang w:val="en-US"/>
              </w:rPr>
            </w:pPr>
          </w:p>
          <w:p w14:paraId="3BB0F209" w14:textId="77777777" w:rsidR="00EC0999" w:rsidRPr="00F02BC6" w:rsidRDefault="00EC0999" w:rsidP="007A14F1">
            <w:pPr>
              <w:rPr>
                <w:color w:val="000000"/>
                <w:lang w:val="en-US"/>
              </w:rPr>
            </w:pPr>
            <w:r w:rsidRPr="00F02BC6">
              <w:rPr>
                <w:color w:val="000000"/>
                <w:lang w:val="en-US"/>
              </w:rPr>
              <w:t xml:space="preserve">Found additional </w:t>
            </w:r>
          </w:p>
          <w:p w14:paraId="1F482322" w14:textId="5B48C44E" w:rsidR="00EC0999" w:rsidRPr="00F02BC6" w:rsidRDefault="00EC0999" w:rsidP="007A14F1">
            <w:pPr>
              <w:rPr>
                <w:b/>
                <w:bCs/>
                <w:color w:val="000000"/>
                <w:lang w:val="en-US"/>
              </w:rPr>
            </w:pPr>
            <w:r w:rsidRPr="00F02BC6">
              <w:rPr>
                <w:b/>
                <w:bCs/>
                <w:color w:val="000000"/>
                <w:lang w:val="en-US"/>
              </w:rPr>
              <w:t>331 studies</w:t>
            </w:r>
          </w:p>
        </w:tc>
      </w:tr>
      <w:tr w:rsidR="007A14F1" w:rsidRPr="00F02BC6" w14:paraId="3097694F" w14:textId="77777777" w:rsidTr="00863E8E">
        <w:tc>
          <w:tcPr>
            <w:tcW w:w="2263" w:type="dxa"/>
          </w:tcPr>
          <w:p w14:paraId="562C95E6" w14:textId="77777777" w:rsidR="007A14F1" w:rsidRPr="00F02BC6" w:rsidRDefault="007A14F1" w:rsidP="007A14F1">
            <w:pPr>
              <w:rPr>
                <w:color w:val="000000"/>
                <w:lang w:val="en-US"/>
              </w:rPr>
            </w:pPr>
            <w:r w:rsidRPr="00F02BC6">
              <w:rPr>
                <w:color w:val="000000"/>
                <w:lang w:val="en-US"/>
              </w:rPr>
              <w:lastRenderedPageBreak/>
              <w:t>International Pharmaceutical Abstracts (IPA)</w:t>
            </w:r>
          </w:p>
        </w:tc>
        <w:tc>
          <w:tcPr>
            <w:tcW w:w="5996" w:type="dxa"/>
          </w:tcPr>
          <w:p w14:paraId="077F75FE" w14:textId="77777777" w:rsidR="007A14F1" w:rsidRPr="00F02BC6" w:rsidRDefault="007A14F1" w:rsidP="007A14F1">
            <w:pPr>
              <w:rPr>
                <w:color w:val="000000"/>
                <w:lang w:val="en-US"/>
              </w:rPr>
            </w:pPr>
            <w:r w:rsidRPr="00F02BC6">
              <w:rPr>
                <w:color w:val="000000"/>
                <w:lang w:val="en-US"/>
              </w:rPr>
              <w:t>(</w:t>
            </w:r>
            <w:proofErr w:type="gramStart"/>
            <w:r w:rsidRPr="00F02BC6">
              <w:rPr>
                <w:color w:val="000000"/>
                <w:lang w:val="en-US"/>
              </w:rPr>
              <w:t>prescription</w:t>
            </w:r>
            <w:proofErr w:type="gramEnd"/>
            <w:r w:rsidRPr="00F02BC6">
              <w:rPr>
                <w:color w:val="000000"/>
                <w:lang w:val="en-US"/>
              </w:rPr>
              <w:t xml:space="preserve"> OR medication OR puffer OR "inhaled corticosteroid") AND (adherence OR compliance OR filling OR dispensing OR dispensed OR filled) AND asthma</w:t>
            </w:r>
          </w:p>
          <w:p w14:paraId="3FDE5828" w14:textId="77777777" w:rsidR="007A14F1" w:rsidRPr="00F02BC6" w:rsidRDefault="007A14F1" w:rsidP="007A14F1">
            <w:pPr>
              <w:rPr>
                <w:b/>
                <w:color w:val="000000"/>
                <w:u w:val="single"/>
                <w:lang w:val="en-US"/>
              </w:rPr>
            </w:pPr>
          </w:p>
        </w:tc>
        <w:tc>
          <w:tcPr>
            <w:tcW w:w="2430" w:type="dxa"/>
          </w:tcPr>
          <w:p w14:paraId="4FE8C9ED" w14:textId="77777777" w:rsidR="007A14F1" w:rsidRPr="00F02BC6" w:rsidRDefault="007A14F1" w:rsidP="007A14F1">
            <w:pPr>
              <w:rPr>
                <w:color w:val="000000"/>
                <w:lang w:val="en-US"/>
              </w:rPr>
            </w:pPr>
            <w:r w:rsidRPr="00F02BC6">
              <w:rPr>
                <w:color w:val="000000"/>
                <w:lang w:val="en-US"/>
              </w:rPr>
              <w:t>321 studies</w:t>
            </w:r>
          </w:p>
        </w:tc>
      </w:tr>
    </w:tbl>
    <w:p w14:paraId="3BAFB7DE" w14:textId="77777777" w:rsidR="007A14F1" w:rsidRPr="00F02BC6" w:rsidRDefault="007A14F1">
      <w:pPr>
        <w:rPr>
          <w:color w:val="000000"/>
          <w:lang w:val="en-US"/>
        </w:rPr>
      </w:pPr>
    </w:p>
    <w:p w14:paraId="3E222700" w14:textId="54C4979B" w:rsidR="00EB654A" w:rsidRPr="00F02BC6" w:rsidRDefault="00EB654A">
      <w:pPr>
        <w:rPr>
          <w:b/>
          <w:color w:val="000000"/>
          <w:lang w:val="en-US"/>
        </w:rPr>
      </w:pPr>
    </w:p>
    <w:p w14:paraId="14F8F72B" w14:textId="77777777" w:rsidR="00325BF6" w:rsidRPr="00F02BC6" w:rsidRDefault="00325BF6">
      <w:pPr>
        <w:rPr>
          <w:b/>
          <w:color w:val="000000"/>
          <w:lang w:val="en-US"/>
        </w:rPr>
      </w:pPr>
    </w:p>
    <w:p w14:paraId="053D5C08" w14:textId="77777777" w:rsidR="00EB654A" w:rsidRPr="00F02BC6" w:rsidRDefault="00EB654A">
      <w:pPr>
        <w:rPr>
          <w:b/>
          <w:color w:val="000000"/>
          <w:lang w:val="en-US"/>
        </w:rPr>
      </w:pPr>
    </w:p>
    <w:p w14:paraId="1E004C2A" w14:textId="77777777" w:rsidR="00EB654A" w:rsidRPr="00F02BC6" w:rsidRDefault="00EB654A">
      <w:pPr>
        <w:rPr>
          <w:b/>
          <w:color w:val="000000"/>
          <w:lang w:val="en-US"/>
        </w:rPr>
      </w:pPr>
    </w:p>
    <w:p w14:paraId="0C76B603" w14:textId="77777777" w:rsidR="00EB654A" w:rsidRPr="00F02BC6" w:rsidRDefault="00EB654A">
      <w:pPr>
        <w:rPr>
          <w:b/>
          <w:color w:val="000000"/>
          <w:lang w:val="en-US"/>
        </w:rPr>
      </w:pPr>
    </w:p>
    <w:p w14:paraId="413140E5" w14:textId="77777777" w:rsidR="00EB654A" w:rsidRPr="00F02BC6" w:rsidRDefault="00EB654A">
      <w:pPr>
        <w:rPr>
          <w:b/>
          <w:color w:val="000000"/>
          <w:lang w:val="en-US"/>
        </w:rPr>
      </w:pPr>
    </w:p>
    <w:p w14:paraId="29925994" w14:textId="77777777" w:rsidR="00A24903" w:rsidRDefault="00A24903">
      <w:pPr>
        <w:spacing w:after="160" w:line="259" w:lineRule="auto"/>
        <w:rPr>
          <w:b/>
          <w:color w:val="000000"/>
          <w:lang w:val="en-US"/>
        </w:rPr>
      </w:pPr>
      <w:r>
        <w:rPr>
          <w:b/>
          <w:color w:val="000000"/>
          <w:lang w:val="en-US"/>
        </w:rPr>
        <w:br w:type="page"/>
      </w:r>
    </w:p>
    <w:p w14:paraId="199366B0" w14:textId="0CA17857" w:rsidR="00F463FF" w:rsidRPr="00F02BC6" w:rsidRDefault="00ED28B6">
      <w:pPr>
        <w:rPr>
          <w:b/>
          <w:color w:val="000000"/>
          <w:lang w:val="en-US"/>
        </w:rPr>
      </w:pPr>
      <w:r w:rsidRPr="00F02BC6">
        <w:rPr>
          <w:b/>
          <w:color w:val="000000"/>
          <w:lang w:val="en-US"/>
        </w:rPr>
        <w:t xml:space="preserve">APPENDIX B: </w:t>
      </w:r>
      <w:r w:rsidR="00F463FF" w:rsidRPr="00F02BC6">
        <w:rPr>
          <w:b/>
          <w:color w:val="000000"/>
          <w:lang w:val="en-US"/>
        </w:rPr>
        <w:t>RISK OF BIAS TABLE</w:t>
      </w:r>
    </w:p>
    <w:p w14:paraId="479C807F" w14:textId="77777777" w:rsidR="00EB654A" w:rsidRPr="00F02BC6" w:rsidRDefault="00EB654A" w:rsidP="00E117B0">
      <w:pPr>
        <w:rPr>
          <w:b/>
          <w:color w:val="000000"/>
          <w:lang w:val="en-US"/>
        </w:rPr>
      </w:pPr>
    </w:p>
    <w:p w14:paraId="59FA66FF" w14:textId="77777777" w:rsidR="00F463FF" w:rsidRPr="00F02BC6" w:rsidRDefault="00EB654A" w:rsidP="00F463FF">
      <w:pPr>
        <w:ind w:left="-1134"/>
        <w:rPr>
          <w:b/>
          <w:color w:val="000000"/>
          <w:lang w:val="en-US"/>
        </w:rPr>
      </w:pPr>
      <w:r w:rsidRPr="00F02BC6">
        <w:rPr>
          <w:b/>
          <w:color w:val="000000"/>
          <w:lang w:val="en-US"/>
        </w:rPr>
        <w:t>Table S2</w:t>
      </w:r>
      <w:r w:rsidR="00F463FF" w:rsidRPr="00F02BC6">
        <w:rPr>
          <w:b/>
          <w:color w:val="000000"/>
          <w:lang w:val="en-US"/>
        </w:rPr>
        <w:t>: Risk of Bias Ratings for Cohort Studies (Yes, No, Unclear)</w:t>
      </w:r>
    </w:p>
    <w:tbl>
      <w:tblPr>
        <w:tblStyle w:val="TableGrid"/>
        <w:tblW w:w="11976" w:type="dxa"/>
        <w:tblInd w:w="-1290" w:type="dxa"/>
        <w:tblLayout w:type="fixed"/>
        <w:tblLook w:val="04A0" w:firstRow="1" w:lastRow="0" w:firstColumn="1" w:lastColumn="0" w:noHBand="0" w:noVBand="1"/>
      </w:tblPr>
      <w:tblGrid>
        <w:gridCol w:w="925"/>
        <w:gridCol w:w="1227"/>
        <w:gridCol w:w="983"/>
        <w:gridCol w:w="1227"/>
        <w:gridCol w:w="1050"/>
        <w:gridCol w:w="1150"/>
        <w:gridCol w:w="983"/>
        <w:gridCol w:w="983"/>
        <w:gridCol w:w="1138"/>
        <w:gridCol w:w="1183"/>
        <w:gridCol w:w="1127"/>
      </w:tblGrid>
      <w:tr w:rsidR="00F463FF" w:rsidRPr="00F02BC6" w14:paraId="433095E5" w14:textId="77777777" w:rsidTr="00A22C50">
        <w:trPr>
          <w:tblHeader/>
        </w:trPr>
        <w:tc>
          <w:tcPr>
            <w:tcW w:w="925" w:type="dxa"/>
          </w:tcPr>
          <w:p w14:paraId="764E1CD3" w14:textId="77777777" w:rsidR="00F463FF" w:rsidRPr="00F02BC6" w:rsidRDefault="00F463FF" w:rsidP="00A9084B">
            <w:pPr>
              <w:rPr>
                <w:color w:val="000000"/>
                <w:sz w:val="20"/>
                <w:szCs w:val="20"/>
                <w:lang w:val="en-US"/>
              </w:rPr>
            </w:pPr>
            <w:r w:rsidRPr="00F02BC6">
              <w:rPr>
                <w:color w:val="000000"/>
                <w:sz w:val="20"/>
                <w:szCs w:val="20"/>
                <w:lang w:val="en-US"/>
              </w:rPr>
              <w:t>First author (year)</w:t>
            </w:r>
          </w:p>
        </w:tc>
        <w:tc>
          <w:tcPr>
            <w:tcW w:w="1227" w:type="dxa"/>
          </w:tcPr>
          <w:p w14:paraId="2DB4C2D7" w14:textId="77777777" w:rsidR="00F463FF" w:rsidRPr="00F02BC6" w:rsidRDefault="00F463FF" w:rsidP="00A9084B">
            <w:pPr>
              <w:jc w:val="center"/>
              <w:rPr>
                <w:color w:val="000000"/>
                <w:sz w:val="20"/>
                <w:szCs w:val="20"/>
                <w:lang w:val="en-US"/>
              </w:rPr>
            </w:pPr>
            <w:r w:rsidRPr="00F02BC6">
              <w:rPr>
                <w:color w:val="000000"/>
                <w:sz w:val="20"/>
                <w:szCs w:val="20"/>
                <w:lang w:val="en-US"/>
              </w:rPr>
              <w:t>Was the intervention delivered in a standardized manner?</w:t>
            </w:r>
          </w:p>
        </w:tc>
        <w:tc>
          <w:tcPr>
            <w:tcW w:w="983" w:type="dxa"/>
          </w:tcPr>
          <w:p w14:paraId="0AA37312" w14:textId="77777777" w:rsidR="00F463FF" w:rsidRPr="00F02BC6" w:rsidRDefault="00F463FF" w:rsidP="00A9084B">
            <w:pPr>
              <w:jc w:val="center"/>
              <w:rPr>
                <w:color w:val="000000"/>
                <w:sz w:val="20"/>
                <w:szCs w:val="20"/>
                <w:lang w:val="en-US"/>
              </w:rPr>
            </w:pPr>
            <w:r w:rsidRPr="00F02BC6">
              <w:rPr>
                <w:color w:val="000000"/>
                <w:sz w:val="20"/>
                <w:szCs w:val="20"/>
                <w:lang w:val="en-US"/>
              </w:rPr>
              <w:t>Was exposure measured in reliable and valid manner?</w:t>
            </w:r>
          </w:p>
        </w:tc>
        <w:tc>
          <w:tcPr>
            <w:tcW w:w="1227" w:type="dxa"/>
          </w:tcPr>
          <w:p w14:paraId="3B823F86" w14:textId="77777777" w:rsidR="00F463FF" w:rsidRPr="00F02BC6" w:rsidRDefault="00F463FF" w:rsidP="00A9084B">
            <w:pPr>
              <w:jc w:val="center"/>
              <w:rPr>
                <w:color w:val="000000"/>
                <w:sz w:val="20"/>
                <w:szCs w:val="20"/>
                <w:lang w:val="en-US"/>
              </w:rPr>
            </w:pPr>
            <w:proofErr w:type="spellStart"/>
            <w:r w:rsidRPr="00F02BC6">
              <w:rPr>
                <w:color w:val="000000"/>
                <w:sz w:val="20"/>
                <w:szCs w:val="20"/>
                <w:lang w:val="en-US"/>
              </w:rPr>
              <w:t>Were</w:t>
            </w:r>
            <w:proofErr w:type="spellEnd"/>
            <w:r w:rsidRPr="00F02BC6">
              <w:rPr>
                <w:color w:val="000000"/>
                <w:sz w:val="20"/>
                <w:szCs w:val="20"/>
                <w:lang w:val="en-US"/>
              </w:rPr>
              <w:t xml:space="preserve"> confounding factors identified?</w:t>
            </w:r>
          </w:p>
        </w:tc>
        <w:tc>
          <w:tcPr>
            <w:tcW w:w="1050" w:type="dxa"/>
          </w:tcPr>
          <w:p w14:paraId="0ECBC42F" w14:textId="77777777" w:rsidR="00F463FF" w:rsidRPr="00F02BC6" w:rsidRDefault="00F463FF" w:rsidP="00A9084B">
            <w:pPr>
              <w:jc w:val="center"/>
              <w:rPr>
                <w:color w:val="000000"/>
                <w:sz w:val="20"/>
                <w:szCs w:val="20"/>
                <w:lang w:val="en-US"/>
              </w:rPr>
            </w:pPr>
            <w:r w:rsidRPr="00F02BC6">
              <w:rPr>
                <w:color w:val="000000"/>
                <w:sz w:val="20"/>
                <w:szCs w:val="20"/>
                <w:lang w:val="en-US"/>
              </w:rPr>
              <w:t>Were strategies to deal with confounds stated?</w:t>
            </w:r>
          </w:p>
        </w:tc>
        <w:tc>
          <w:tcPr>
            <w:tcW w:w="1150" w:type="dxa"/>
          </w:tcPr>
          <w:p w14:paraId="3A320402" w14:textId="77777777" w:rsidR="00F463FF" w:rsidRPr="00F02BC6" w:rsidRDefault="00F463FF" w:rsidP="00A9084B">
            <w:pPr>
              <w:jc w:val="center"/>
              <w:rPr>
                <w:color w:val="000000"/>
                <w:sz w:val="20"/>
                <w:szCs w:val="20"/>
                <w:lang w:val="en-US"/>
              </w:rPr>
            </w:pPr>
            <w:r w:rsidRPr="00F02BC6">
              <w:rPr>
                <w:color w:val="000000"/>
                <w:sz w:val="20"/>
                <w:szCs w:val="20"/>
                <w:lang w:val="en-US"/>
              </w:rPr>
              <w:t>Were participants free of outcome at start of study?</w:t>
            </w:r>
          </w:p>
        </w:tc>
        <w:tc>
          <w:tcPr>
            <w:tcW w:w="983" w:type="dxa"/>
          </w:tcPr>
          <w:p w14:paraId="2BD09EC3" w14:textId="77777777" w:rsidR="00F463FF" w:rsidRPr="00F02BC6" w:rsidRDefault="00F463FF" w:rsidP="00A9084B">
            <w:pPr>
              <w:jc w:val="center"/>
              <w:rPr>
                <w:color w:val="000000"/>
                <w:sz w:val="20"/>
                <w:szCs w:val="20"/>
                <w:lang w:val="en-US"/>
              </w:rPr>
            </w:pPr>
            <w:r w:rsidRPr="00F02BC6">
              <w:rPr>
                <w:color w:val="000000"/>
                <w:sz w:val="20"/>
                <w:szCs w:val="20"/>
                <w:lang w:val="en-US"/>
              </w:rPr>
              <w:t>Were outcomes measured in reliable and valid way?</w:t>
            </w:r>
          </w:p>
        </w:tc>
        <w:tc>
          <w:tcPr>
            <w:tcW w:w="983" w:type="dxa"/>
          </w:tcPr>
          <w:p w14:paraId="7D67771A" w14:textId="77777777" w:rsidR="00F463FF" w:rsidRPr="00F02BC6" w:rsidRDefault="00F463FF" w:rsidP="00A9084B">
            <w:pPr>
              <w:jc w:val="center"/>
              <w:rPr>
                <w:color w:val="000000"/>
                <w:sz w:val="20"/>
                <w:szCs w:val="20"/>
                <w:lang w:val="en-US"/>
              </w:rPr>
            </w:pPr>
            <w:r w:rsidRPr="00F02BC6">
              <w:rPr>
                <w:color w:val="000000"/>
                <w:sz w:val="20"/>
                <w:szCs w:val="20"/>
                <w:lang w:val="en-US"/>
              </w:rPr>
              <w:t>Was follow-up time reported and sufficient for outcomes to occur?</w:t>
            </w:r>
          </w:p>
        </w:tc>
        <w:tc>
          <w:tcPr>
            <w:tcW w:w="1138" w:type="dxa"/>
          </w:tcPr>
          <w:p w14:paraId="05511F9A" w14:textId="77777777" w:rsidR="00F463FF" w:rsidRPr="00F02BC6" w:rsidRDefault="00F463FF" w:rsidP="00A9084B">
            <w:pPr>
              <w:jc w:val="center"/>
              <w:rPr>
                <w:color w:val="000000"/>
                <w:sz w:val="20"/>
                <w:szCs w:val="20"/>
                <w:lang w:val="en-US"/>
              </w:rPr>
            </w:pPr>
            <w:r w:rsidRPr="00F02BC6">
              <w:rPr>
                <w:color w:val="000000"/>
                <w:sz w:val="20"/>
                <w:szCs w:val="20"/>
                <w:lang w:val="en-US"/>
              </w:rPr>
              <w:t>Was follow-up completed? If not, were reasons for attrition stated and explored?</w:t>
            </w:r>
          </w:p>
        </w:tc>
        <w:tc>
          <w:tcPr>
            <w:tcW w:w="1183" w:type="dxa"/>
          </w:tcPr>
          <w:p w14:paraId="143613DD" w14:textId="77777777" w:rsidR="00F463FF" w:rsidRPr="00F02BC6" w:rsidRDefault="00F463FF" w:rsidP="00A9084B">
            <w:pPr>
              <w:jc w:val="center"/>
              <w:rPr>
                <w:color w:val="000000"/>
                <w:sz w:val="20"/>
                <w:szCs w:val="20"/>
                <w:lang w:val="en-US"/>
              </w:rPr>
            </w:pPr>
            <w:r w:rsidRPr="00F02BC6">
              <w:rPr>
                <w:color w:val="000000"/>
                <w:sz w:val="20"/>
                <w:szCs w:val="20"/>
                <w:lang w:val="en-US"/>
              </w:rPr>
              <w:t>Were strategies used to address incomplete follow-up?</w:t>
            </w:r>
          </w:p>
        </w:tc>
        <w:tc>
          <w:tcPr>
            <w:tcW w:w="1127" w:type="dxa"/>
          </w:tcPr>
          <w:p w14:paraId="79A4D29C" w14:textId="77777777" w:rsidR="00F463FF" w:rsidRPr="00F02BC6" w:rsidRDefault="00F463FF" w:rsidP="00A9084B">
            <w:pPr>
              <w:jc w:val="center"/>
              <w:rPr>
                <w:color w:val="000000"/>
                <w:sz w:val="20"/>
                <w:szCs w:val="20"/>
                <w:lang w:val="en-US"/>
              </w:rPr>
            </w:pPr>
            <w:r w:rsidRPr="00F02BC6">
              <w:rPr>
                <w:color w:val="000000"/>
                <w:sz w:val="20"/>
                <w:szCs w:val="20"/>
                <w:lang w:val="en-US"/>
              </w:rPr>
              <w:t>Were appropriate statistical analyses used?</w:t>
            </w:r>
          </w:p>
        </w:tc>
      </w:tr>
      <w:tr w:rsidR="00247311" w:rsidRPr="00F02BC6" w14:paraId="26F64458" w14:textId="77777777" w:rsidTr="00A22C50">
        <w:tc>
          <w:tcPr>
            <w:tcW w:w="925" w:type="dxa"/>
            <w:vAlign w:val="center"/>
          </w:tcPr>
          <w:p w14:paraId="22B42442" w14:textId="77777777" w:rsidR="00247311" w:rsidRPr="00F02BC6" w:rsidRDefault="00247311" w:rsidP="00247311">
            <w:pPr>
              <w:rPr>
                <w:color w:val="000000"/>
                <w:sz w:val="20"/>
                <w:szCs w:val="20"/>
                <w:lang w:val="en-US"/>
              </w:rPr>
            </w:pPr>
            <w:r w:rsidRPr="00F02BC6">
              <w:rPr>
                <w:color w:val="000000"/>
                <w:sz w:val="20"/>
                <w:szCs w:val="20"/>
                <w:lang w:val="en-US"/>
              </w:rPr>
              <w:t>Averell et al (2019)</w:t>
            </w:r>
          </w:p>
        </w:tc>
        <w:tc>
          <w:tcPr>
            <w:tcW w:w="1227" w:type="dxa"/>
            <w:vAlign w:val="center"/>
          </w:tcPr>
          <w:p w14:paraId="73DFC573" w14:textId="77777777" w:rsidR="00247311" w:rsidRPr="00F02BC6" w:rsidRDefault="00922152" w:rsidP="0031301F">
            <w:pPr>
              <w:jc w:val="center"/>
              <w:rPr>
                <w:color w:val="000000"/>
                <w:sz w:val="20"/>
                <w:szCs w:val="20"/>
                <w:lang w:val="en-US"/>
              </w:rPr>
            </w:pPr>
            <w:r w:rsidRPr="00F02BC6">
              <w:rPr>
                <w:color w:val="000000"/>
                <w:sz w:val="20"/>
                <w:szCs w:val="20"/>
                <w:lang w:val="en-US"/>
              </w:rPr>
              <w:t>N/A</w:t>
            </w:r>
          </w:p>
        </w:tc>
        <w:tc>
          <w:tcPr>
            <w:tcW w:w="983" w:type="dxa"/>
            <w:vAlign w:val="center"/>
          </w:tcPr>
          <w:p w14:paraId="6AA6C5EF" w14:textId="77777777" w:rsidR="00247311" w:rsidRPr="00F02BC6" w:rsidRDefault="00922152" w:rsidP="0031301F">
            <w:pPr>
              <w:jc w:val="center"/>
              <w:rPr>
                <w:color w:val="000000"/>
                <w:sz w:val="20"/>
                <w:szCs w:val="20"/>
                <w:lang w:val="en-US"/>
              </w:rPr>
            </w:pPr>
            <w:r w:rsidRPr="00F02BC6">
              <w:rPr>
                <w:color w:val="000000"/>
                <w:sz w:val="20"/>
                <w:szCs w:val="20"/>
                <w:lang w:val="en-US"/>
              </w:rPr>
              <w:t>Yes</w:t>
            </w:r>
          </w:p>
        </w:tc>
        <w:tc>
          <w:tcPr>
            <w:tcW w:w="1227" w:type="dxa"/>
            <w:vAlign w:val="center"/>
          </w:tcPr>
          <w:p w14:paraId="1B045717" w14:textId="77777777" w:rsidR="00247311" w:rsidRPr="00F02BC6" w:rsidRDefault="00922152" w:rsidP="0031301F">
            <w:pPr>
              <w:jc w:val="center"/>
              <w:rPr>
                <w:color w:val="000000"/>
                <w:sz w:val="20"/>
                <w:szCs w:val="20"/>
                <w:lang w:val="en-US"/>
              </w:rPr>
            </w:pPr>
            <w:r w:rsidRPr="00F02BC6">
              <w:rPr>
                <w:color w:val="000000"/>
                <w:sz w:val="20"/>
                <w:szCs w:val="20"/>
                <w:lang w:val="en-US"/>
              </w:rPr>
              <w:t>Yes</w:t>
            </w:r>
          </w:p>
        </w:tc>
        <w:tc>
          <w:tcPr>
            <w:tcW w:w="1050" w:type="dxa"/>
            <w:vAlign w:val="center"/>
          </w:tcPr>
          <w:p w14:paraId="108DCB19" w14:textId="77777777" w:rsidR="00247311" w:rsidRPr="00F02BC6" w:rsidRDefault="00922152" w:rsidP="0031301F">
            <w:pPr>
              <w:jc w:val="center"/>
              <w:rPr>
                <w:color w:val="000000"/>
                <w:sz w:val="20"/>
                <w:szCs w:val="20"/>
                <w:lang w:val="en-US"/>
              </w:rPr>
            </w:pPr>
            <w:r w:rsidRPr="00F02BC6">
              <w:rPr>
                <w:color w:val="000000"/>
                <w:sz w:val="20"/>
                <w:szCs w:val="20"/>
                <w:lang w:val="en-US"/>
              </w:rPr>
              <w:t>Yes</w:t>
            </w:r>
          </w:p>
        </w:tc>
        <w:tc>
          <w:tcPr>
            <w:tcW w:w="1150" w:type="dxa"/>
            <w:vAlign w:val="center"/>
          </w:tcPr>
          <w:p w14:paraId="2AB54B56" w14:textId="77777777" w:rsidR="00247311" w:rsidRPr="00F02BC6" w:rsidRDefault="00922152" w:rsidP="0031301F">
            <w:pPr>
              <w:jc w:val="center"/>
              <w:rPr>
                <w:color w:val="000000"/>
                <w:sz w:val="20"/>
                <w:szCs w:val="20"/>
                <w:lang w:val="en-US"/>
              </w:rPr>
            </w:pPr>
            <w:r w:rsidRPr="00F02BC6">
              <w:rPr>
                <w:color w:val="000000"/>
                <w:sz w:val="20"/>
                <w:szCs w:val="20"/>
                <w:lang w:val="en-US"/>
              </w:rPr>
              <w:t>Yes</w:t>
            </w:r>
          </w:p>
        </w:tc>
        <w:tc>
          <w:tcPr>
            <w:tcW w:w="983" w:type="dxa"/>
            <w:vAlign w:val="center"/>
          </w:tcPr>
          <w:p w14:paraId="0817E023" w14:textId="77777777" w:rsidR="00247311" w:rsidRPr="00F02BC6" w:rsidRDefault="00922152" w:rsidP="0031301F">
            <w:pPr>
              <w:jc w:val="center"/>
              <w:rPr>
                <w:color w:val="000000"/>
                <w:sz w:val="20"/>
                <w:szCs w:val="20"/>
                <w:lang w:val="en-US"/>
              </w:rPr>
            </w:pPr>
            <w:r w:rsidRPr="00F02BC6">
              <w:rPr>
                <w:color w:val="000000"/>
                <w:sz w:val="20"/>
                <w:szCs w:val="20"/>
                <w:lang w:val="en-US"/>
              </w:rPr>
              <w:t>Yes</w:t>
            </w:r>
          </w:p>
        </w:tc>
        <w:tc>
          <w:tcPr>
            <w:tcW w:w="983" w:type="dxa"/>
            <w:vAlign w:val="center"/>
          </w:tcPr>
          <w:p w14:paraId="16FE538B" w14:textId="77777777" w:rsidR="00247311" w:rsidRPr="00F02BC6" w:rsidRDefault="00922152" w:rsidP="0031301F">
            <w:pPr>
              <w:jc w:val="center"/>
              <w:rPr>
                <w:color w:val="000000"/>
                <w:sz w:val="20"/>
                <w:szCs w:val="20"/>
                <w:lang w:val="en-US"/>
              </w:rPr>
            </w:pPr>
            <w:r w:rsidRPr="00F02BC6">
              <w:rPr>
                <w:color w:val="000000"/>
                <w:sz w:val="20"/>
                <w:szCs w:val="20"/>
                <w:lang w:val="en-US"/>
              </w:rPr>
              <w:t>Yes</w:t>
            </w:r>
          </w:p>
        </w:tc>
        <w:tc>
          <w:tcPr>
            <w:tcW w:w="1138" w:type="dxa"/>
            <w:vAlign w:val="center"/>
          </w:tcPr>
          <w:p w14:paraId="35D7B125" w14:textId="77777777" w:rsidR="00247311" w:rsidRPr="00F02BC6" w:rsidRDefault="00922152" w:rsidP="0031301F">
            <w:pPr>
              <w:jc w:val="center"/>
              <w:rPr>
                <w:color w:val="000000"/>
                <w:sz w:val="20"/>
                <w:szCs w:val="20"/>
                <w:lang w:val="en-US"/>
              </w:rPr>
            </w:pPr>
            <w:r w:rsidRPr="00F02BC6">
              <w:rPr>
                <w:color w:val="000000"/>
                <w:sz w:val="20"/>
                <w:szCs w:val="20"/>
                <w:lang w:val="en-US"/>
              </w:rPr>
              <w:t>N/A</w:t>
            </w:r>
          </w:p>
        </w:tc>
        <w:tc>
          <w:tcPr>
            <w:tcW w:w="1183" w:type="dxa"/>
            <w:vAlign w:val="center"/>
          </w:tcPr>
          <w:p w14:paraId="2EB3B461" w14:textId="77777777" w:rsidR="00247311" w:rsidRPr="00F02BC6" w:rsidRDefault="00922152" w:rsidP="0031301F">
            <w:pPr>
              <w:jc w:val="center"/>
              <w:rPr>
                <w:color w:val="000000"/>
                <w:sz w:val="20"/>
                <w:szCs w:val="20"/>
                <w:lang w:val="en-US"/>
              </w:rPr>
            </w:pPr>
            <w:r w:rsidRPr="00F02BC6">
              <w:rPr>
                <w:color w:val="000000"/>
                <w:sz w:val="20"/>
                <w:szCs w:val="20"/>
                <w:lang w:val="en-US"/>
              </w:rPr>
              <w:t>N/A</w:t>
            </w:r>
          </w:p>
        </w:tc>
        <w:tc>
          <w:tcPr>
            <w:tcW w:w="1127" w:type="dxa"/>
            <w:vAlign w:val="center"/>
          </w:tcPr>
          <w:p w14:paraId="3F1BC235" w14:textId="77777777" w:rsidR="00247311" w:rsidRPr="00F02BC6" w:rsidRDefault="00922152" w:rsidP="0031301F">
            <w:pPr>
              <w:jc w:val="center"/>
              <w:rPr>
                <w:color w:val="000000"/>
                <w:sz w:val="20"/>
                <w:szCs w:val="20"/>
                <w:lang w:val="en-US"/>
              </w:rPr>
            </w:pPr>
            <w:r w:rsidRPr="00F02BC6">
              <w:rPr>
                <w:color w:val="000000"/>
                <w:sz w:val="20"/>
                <w:szCs w:val="20"/>
                <w:lang w:val="en-US"/>
              </w:rPr>
              <w:t>Yes</w:t>
            </w:r>
          </w:p>
        </w:tc>
      </w:tr>
      <w:tr w:rsidR="00247311" w:rsidRPr="00F02BC6" w14:paraId="20D3A408" w14:textId="77777777" w:rsidTr="00A22C50">
        <w:tc>
          <w:tcPr>
            <w:tcW w:w="925" w:type="dxa"/>
            <w:vAlign w:val="center"/>
          </w:tcPr>
          <w:p w14:paraId="50A8BCAF" w14:textId="77777777" w:rsidR="00247311" w:rsidRPr="00F02BC6" w:rsidRDefault="00247311" w:rsidP="00247311">
            <w:pPr>
              <w:rPr>
                <w:color w:val="000000"/>
                <w:sz w:val="20"/>
                <w:szCs w:val="20"/>
                <w:lang w:val="en-US"/>
              </w:rPr>
            </w:pPr>
            <w:r w:rsidRPr="00F02BC6">
              <w:rPr>
                <w:color w:val="000000"/>
                <w:sz w:val="20"/>
                <w:szCs w:val="20"/>
                <w:lang w:val="en-US"/>
              </w:rPr>
              <w:t>Backer et al (2018)</w:t>
            </w:r>
          </w:p>
        </w:tc>
        <w:tc>
          <w:tcPr>
            <w:tcW w:w="1227" w:type="dxa"/>
            <w:vAlign w:val="center"/>
          </w:tcPr>
          <w:p w14:paraId="745B61CF" w14:textId="77777777" w:rsidR="00247311" w:rsidRPr="00F02BC6" w:rsidRDefault="00922152" w:rsidP="0031301F">
            <w:pPr>
              <w:jc w:val="center"/>
              <w:rPr>
                <w:color w:val="000000"/>
                <w:sz w:val="20"/>
                <w:szCs w:val="20"/>
                <w:lang w:val="en-US"/>
              </w:rPr>
            </w:pPr>
            <w:r w:rsidRPr="00F02BC6">
              <w:rPr>
                <w:color w:val="000000"/>
                <w:sz w:val="20"/>
                <w:szCs w:val="20"/>
                <w:lang w:val="en-US"/>
              </w:rPr>
              <w:t>N/A</w:t>
            </w:r>
          </w:p>
        </w:tc>
        <w:tc>
          <w:tcPr>
            <w:tcW w:w="983" w:type="dxa"/>
            <w:vAlign w:val="center"/>
          </w:tcPr>
          <w:p w14:paraId="70C4330A" w14:textId="77777777" w:rsidR="00247311" w:rsidRPr="00F02BC6" w:rsidRDefault="00922152" w:rsidP="0031301F">
            <w:pPr>
              <w:jc w:val="center"/>
              <w:rPr>
                <w:color w:val="000000"/>
                <w:sz w:val="20"/>
                <w:szCs w:val="20"/>
                <w:lang w:val="en-US"/>
              </w:rPr>
            </w:pPr>
            <w:r w:rsidRPr="00F02BC6">
              <w:rPr>
                <w:color w:val="000000"/>
                <w:sz w:val="20"/>
                <w:szCs w:val="20"/>
                <w:lang w:val="en-US"/>
              </w:rPr>
              <w:t>Yes</w:t>
            </w:r>
          </w:p>
        </w:tc>
        <w:tc>
          <w:tcPr>
            <w:tcW w:w="1227" w:type="dxa"/>
            <w:vAlign w:val="center"/>
          </w:tcPr>
          <w:p w14:paraId="31E6F5C1" w14:textId="77777777" w:rsidR="00247311" w:rsidRPr="00F02BC6" w:rsidRDefault="00922152" w:rsidP="0031301F">
            <w:pPr>
              <w:jc w:val="center"/>
              <w:rPr>
                <w:color w:val="000000"/>
                <w:sz w:val="20"/>
                <w:szCs w:val="20"/>
                <w:lang w:val="en-US"/>
              </w:rPr>
            </w:pPr>
            <w:r w:rsidRPr="00F02BC6">
              <w:rPr>
                <w:color w:val="000000"/>
                <w:sz w:val="20"/>
                <w:szCs w:val="20"/>
                <w:lang w:val="en-US"/>
              </w:rPr>
              <w:t>unclear</w:t>
            </w:r>
          </w:p>
        </w:tc>
        <w:tc>
          <w:tcPr>
            <w:tcW w:w="1050" w:type="dxa"/>
            <w:vAlign w:val="center"/>
          </w:tcPr>
          <w:p w14:paraId="046EAEFB" w14:textId="77777777" w:rsidR="00247311" w:rsidRPr="00F02BC6" w:rsidRDefault="00922152" w:rsidP="0031301F">
            <w:pPr>
              <w:jc w:val="center"/>
              <w:rPr>
                <w:color w:val="000000"/>
                <w:sz w:val="20"/>
                <w:szCs w:val="20"/>
                <w:lang w:val="en-US"/>
              </w:rPr>
            </w:pPr>
            <w:r w:rsidRPr="00F02BC6">
              <w:rPr>
                <w:color w:val="000000"/>
                <w:sz w:val="20"/>
                <w:szCs w:val="20"/>
                <w:lang w:val="en-US"/>
              </w:rPr>
              <w:t>unclear</w:t>
            </w:r>
          </w:p>
        </w:tc>
        <w:tc>
          <w:tcPr>
            <w:tcW w:w="1150" w:type="dxa"/>
            <w:vAlign w:val="center"/>
          </w:tcPr>
          <w:p w14:paraId="253B79B3" w14:textId="77777777" w:rsidR="00247311" w:rsidRPr="00F02BC6" w:rsidRDefault="00922152" w:rsidP="0031301F">
            <w:pPr>
              <w:jc w:val="center"/>
              <w:rPr>
                <w:color w:val="000000"/>
                <w:sz w:val="20"/>
                <w:szCs w:val="20"/>
                <w:lang w:val="en-US"/>
              </w:rPr>
            </w:pPr>
            <w:r w:rsidRPr="00F02BC6">
              <w:rPr>
                <w:color w:val="000000"/>
                <w:sz w:val="20"/>
                <w:szCs w:val="20"/>
                <w:lang w:val="en-US"/>
              </w:rPr>
              <w:t>Yes</w:t>
            </w:r>
          </w:p>
        </w:tc>
        <w:tc>
          <w:tcPr>
            <w:tcW w:w="983" w:type="dxa"/>
            <w:vAlign w:val="center"/>
          </w:tcPr>
          <w:p w14:paraId="75B88970" w14:textId="77777777" w:rsidR="00247311" w:rsidRPr="00F02BC6" w:rsidRDefault="00922152" w:rsidP="0031301F">
            <w:pPr>
              <w:jc w:val="center"/>
              <w:rPr>
                <w:color w:val="000000"/>
                <w:sz w:val="20"/>
                <w:szCs w:val="20"/>
                <w:lang w:val="en-US"/>
              </w:rPr>
            </w:pPr>
            <w:r w:rsidRPr="00F02BC6">
              <w:rPr>
                <w:color w:val="000000"/>
                <w:sz w:val="20"/>
                <w:szCs w:val="20"/>
                <w:lang w:val="en-US"/>
              </w:rPr>
              <w:t>Yes</w:t>
            </w:r>
          </w:p>
        </w:tc>
        <w:tc>
          <w:tcPr>
            <w:tcW w:w="983" w:type="dxa"/>
            <w:vAlign w:val="center"/>
          </w:tcPr>
          <w:p w14:paraId="437D7D7B" w14:textId="77777777" w:rsidR="00247311" w:rsidRPr="00F02BC6" w:rsidRDefault="00922152" w:rsidP="0031301F">
            <w:pPr>
              <w:jc w:val="center"/>
              <w:rPr>
                <w:color w:val="000000"/>
                <w:sz w:val="20"/>
                <w:szCs w:val="20"/>
                <w:lang w:val="en-US"/>
              </w:rPr>
            </w:pPr>
            <w:r w:rsidRPr="00F02BC6">
              <w:rPr>
                <w:color w:val="000000"/>
                <w:sz w:val="20"/>
                <w:szCs w:val="20"/>
                <w:lang w:val="en-US"/>
              </w:rPr>
              <w:t>unclear</w:t>
            </w:r>
          </w:p>
        </w:tc>
        <w:tc>
          <w:tcPr>
            <w:tcW w:w="1138" w:type="dxa"/>
            <w:vAlign w:val="center"/>
          </w:tcPr>
          <w:p w14:paraId="4043B1D3" w14:textId="77777777" w:rsidR="00247311" w:rsidRPr="00F02BC6" w:rsidRDefault="00922152" w:rsidP="0031301F">
            <w:pPr>
              <w:jc w:val="center"/>
              <w:rPr>
                <w:color w:val="000000"/>
                <w:sz w:val="20"/>
                <w:szCs w:val="20"/>
                <w:lang w:val="en-US"/>
              </w:rPr>
            </w:pPr>
            <w:r w:rsidRPr="00F02BC6">
              <w:rPr>
                <w:color w:val="000000"/>
                <w:sz w:val="20"/>
                <w:szCs w:val="20"/>
                <w:lang w:val="en-US"/>
              </w:rPr>
              <w:t>unclear</w:t>
            </w:r>
          </w:p>
        </w:tc>
        <w:tc>
          <w:tcPr>
            <w:tcW w:w="1183" w:type="dxa"/>
            <w:vAlign w:val="center"/>
          </w:tcPr>
          <w:p w14:paraId="0009B2D7" w14:textId="77777777" w:rsidR="00247311" w:rsidRPr="00F02BC6" w:rsidRDefault="00922152" w:rsidP="0031301F">
            <w:pPr>
              <w:jc w:val="center"/>
              <w:rPr>
                <w:color w:val="000000"/>
                <w:sz w:val="20"/>
                <w:szCs w:val="20"/>
                <w:lang w:val="en-US"/>
              </w:rPr>
            </w:pPr>
            <w:r w:rsidRPr="00F02BC6">
              <w:rPr>
                <w:color w:val="000000"/>
                <w:sz w:val="20"/>
                <w:szCs w:val="20"/>
                <w:lang w:val="en-US"/>
              </w:rPr>
              <w:t>unclear</w:t>
            </w:r>
          </w:p>
        </w:tc>
        <w:tc>
          <w:tcPr>
            <w:tcW w:w="1127" w:type="dxa"/>
            <w:vAlign w:val="center"/>
          </w:tcPr>
          <w:p w14:paraId="0F1E84A7" w14:textId="77777777" w:rsidR="00247311" w:rsidRPr="00F02BC6" w:rsidRDefault="00922152" w:rsidP="0031301F">
            <w:pPr>
              <w:jc w:val="center"/>
              <w:rPr>
                <w:color w:val="000000"/>
                <w:sz w:val="20"/>
                <w:szCs w:val="20"/>
                <w:lang w:val="en-US"/>
              </w:rPr>
            </w:pPr>
            <w:r w:rsidRPr="00F02BC6">
              <w:rPr>
                <w:color w:val="000000"/>
                <w:sz w:val="20"/>
                <w:szCs w:val="20"/>
                <w:lang w:val="en-US"/>
              </w:rPr>
              <w:t>Yes</w:t>
            </w:r>
          </w:p>
        </w:tc>
      </w:tr>
      <w:tr w:rsidR="00247311" w:rsidRPr="00F02BC6" w14:paraId="74AC3E32" w14:textId="77777777" w:rsidTr="00A22C50">
        <w:tc>
          <w:tcPr>
            <w:tcW w:w="925" w:type="dxa"/>
            <w:vAlign w:val="center"/>
          </w:tcPr>
          <w:p w14:paraId="7248923A" w14:textId="77777777" w:rsidR="00247311" w:rsidRPr="00F02BC6" w:rsidRDefault="00247311" w:rsidP="00247311">
            <w:pPr>
              <w:rPr>
                <w:color w:val="000000"/>
                <w:sz w:val="20"/>
                <w:szCs w:val="20"/>
                <w:lang w:val="en-US"/>
              </w:rPr>
            </w:pPr>
            <w:proofErr w:type="spellStart"/>
            <w:r w:rsidRPr="00F02BC6">
              <w:rPr>
                <w:color w:val="000000"/>
                <w:sz w:val="20"/>
                <w:szCs w:val="20"/>
                <w:lang w:val="en-US"/>
              </w:rPr>
              <w:t>Balkrishnan</w:t>
            </w:r>
            <w:proofErr w:type="spellEnd"/>
            <w:r w:rsidRPr="00F02BC6">
              <w:rPr>
                <w:color w:val="000000"/>
                <w:sz w:val="20"/>
                <w:szCs w:val="20"/>
                <w:lang w:val="en-US"/>
              </w:rPr>
              <w:t xml:space="preserve"> and Christensen (2001)</w:t>
            </w:r>
          </w:p>
        </w:tc>
        <w:tc>
          <w:tcPr>
            <w:tcW w:w="1227" w:type="dxa"/>
            <w:vAlign w:val="center"/>
          </w:tcPr>
          <w:p w14:paraId="651EA218" w14:textId="77777777" w:rsidR="00247311" w:rsidRPr="00F02BC6" w:rsidRDefault="0031301F" w:rsidP="0031301F">
            <w:pPr>
              <w:jc w:val="center"/>
              <w:rPr>
                <w:color w:val="000000"/>
                <w:sz w:val="20"/>
                <w:szCs w:val="20"/>
                <w:lang w:val="en-US"/>
              </w:rPr>
            </w:pPr>
            <w:r w:rsidRPr="00F02BC6">
              <w:rPr>
                <w:color w:val="000000"/>
                <w:sz w:val="20"/>
                <w:szCs w:val="20"/>
                <w:lang w:val="en-US"/>
              </w:rPr>
              <w:t>N/A</w:t>
            </w:r>
          </w:p>
        </w:tc>
        <w:tc>
          <w:tcPr>
            <w:tcW w:w="983" w:type="dxa"/>
            <w:vAlign w:val="center"/>
          </w:tcPr>
          <w:p w14:paraId="633D69A1" w14:textId="77777777" w:rsidR="00247311" w:rsidRPr="00F02BC6" w:rsidRDefault="0031301F" w:rsidP="0031301F">
            <w:pPr>
              <w:jc w:val="center"/>
              <w:rPr>
                <w:color w:val="000000"/>
                <w:sz w:val="20"/>
                <w:szCs w:val="20"/>
                <w:lang w:val="en-US"/>
              </w:rPr>
            </w:pPr>
            <w:r w:rsidRPr="00F02BC6">
              <w:rPr>
                <w:color w:val="000000"/>
                <w:sz w:val="20"/>
                <w:szCs w:val="20"/>
                <w:lang w:val="en-US"/>
              </w:rPr>
              <w:t>Yes</w:t>
            </w:r>
          </w:p>
        </w:tc>
        <w:tc>
          <w:tcPr>
            <w:tcW w:w="1227" w:type="dxa"/>
            <w:vAlign w:val="center"/>
          </w:tcPr>
          <w:p w14:paraId="460A2971" w14:textId="77777777" w:rsidR="00247311" w:rsidRPr="00F02BC6" w:rsidRDefault="0031301F" w:rsidP="0031301F">
            <w:pPr>
              <w:jc w:val="center"/>
              <w:rPr>
                <w:color w:val="000000"/>
                <w:sz w:val="20"/>
                <w:szCs w:val="20"/>
                <w:lang w:val="en-US"/>
              </w:rPr>
            </w:pPr>
            <w:r w:rsidRPr="00F02BC6">
              <w:rPr>
                <w:color w:val="000000"/>
                <w:sz w:val="20"/>
                <w:szCs w:val="20"/>
                <w:lang w:val="en-US"/>
              </w:rPr>
              <w:t>No</w:t>
            </w:r>
          </w:p>
        </w:tc>
        <w:tc>
          <w:tcPr>
            <w:tcW w:w="1050" w:type="dxa"/>
            <w:vAlign w:val="center"/>
          </w:tcPr>
          <w:p w14:paraId="0EE4B9BB" w14:textId="77777777" w:rsidR="00247311" w:rsidRPr="00F02BC6" w:rsidRDefault="0031301F" w:rsidP="0031301F">
            <w:pPr>
              <w:jc w:val="center"/>
              <w:rPr>
                <w:color w:val="000000"/>
                <w:sz w:val="20"/>
                <w:szCs w:val="20"/>
                <w:lang w:val="en-US"/>
              </w:rPr>
            </w:pPr>
            <w:r w:rsidRPr="00F02BC6">
              <w:rPr>
                <w:color w:val="000000"/>
                <w:sz w:val="20"/>
                <w:szCs w:val="20"/>
                <w:lang w:val="en-US"/>
              </w:rPr>
              <w:t>unclear</w:t>
            </w:r>
          </w:p>
        </w:tc>
        <w:tc>
          <w:tcPr>
            <w:tcW w:w="1150" w:type="dxa"/>
            <w:vAlign w:val="center"/>
          </w:tcPr>
          <w:p w14:paraId="77B60110" w14:textId="77777777" w:rsidR="00247311" w:rsidRPr="00F02BC6" w:rsidRDefault="0031301F" w:rsidP="0031301F">
            <w:pPr>
              <w:jc w:val="center"/>
              <w:rPr>
                <w:color w:val="000000"/>
                <w:sz w:val="20"/>
                <w:szCs w:val="20"/>
                <w:lang w:val="en-US"/>
              </w:rPr>
            </w:pPr>
            <w:r w:rsidRPr="00F02BC6">
              <w:rPr>
                <w:color w:val="000000"/>
                <w:sz w:val="20"/>
                <w:szCs w:val="20"/>
                <w:lang w:val="en-US"/>
              </w:rPr>
              <w:t>Yes</w:t>
            </w:r>
          </w:p>
        </w:tc>
        <w:tc>
          <w:tcPr>
            <w:tcW w:w="983" w:type="dxa"/>
            <w:vAlign w:val="center"/>
          </w:tcPr>
          <w:p w14:paraId="1C53C39E" w14:textId="77777777" w:rsidR="00247311" w:rsidRPr="00F02BC6" w:rsidRDefault="0031301F" w:rsidP="0031301F">
            <w:pPr>
              <w:jc w:val="center"/>
              <w:rPr>
                <w:color w:val="000000"/>
                <w:sz w:val="20"/>
                <w:szCs w:val="20"/>
                <w:lang w:val="en-US"/>
              </w:rPr>
            </w:pPr>
            <w:r w:rsidRPr="00F02BC6">
              <w:rPr>
                <w:color w:val="000000"/>
                <w:sz w:val="20"/>
                <w:szCs w:val="20"/>
                <w:lang w:val="en-US"/>
              </w:rPr>
              <w:t>Yes</w:t>
            </w:r>
          </w:p>
        </w:tc>
        <w:tc>
          <w:tcPr>
            <w:tcW w:w="983" w:type="dxa"/>
            <w:vAlign w:val="center"/>
          </w:tcPr>
          <w:p w14:paraId="5484412A" w14:textId="77777777" w:rsidR="00247311" w:rsidRPr="00F02BC6" w:rsidRDefault="0031301F" w:rsidP="0031301F">
            <w:pPr>
              <w:jc w:val="center"/>
              <w:rPr>
                <w:color w:val="000000"/>
                <w:sz w:val="20"/>
                <w:szCs w:val="20"/>
                <w:lang w:val="en-US"/>
              </w:rPr>
            </w:pPr>
            <w:r w:rsidRPr="00F02BC6">
              <w:rPr>
                <w:color w:val="000000"/>
                <w:sz w:val="20"/>
                <w:szCs w:val="20"/>
                <w:lang w:val="en-US"/>
              </w:rPr>
              <w:t>unclear</w:t>
            </w:r>
          </w:p>
        </w:tc>
        <w:tc>
          <w:tcPr>
            <w:tcW w:w="1138" w:type="dxa"/>
            <w:vAlign w:val="center"/>
          </w:tcPr>
          <w:p w14:paraId="70C4CE02" w14:textId="77777777" w:rsidR="00247311" w:rsidRPr="00F02BC6" w:rsidRDefault="0031301F" w:rsidP="0031301F">
            <w:pPr>
              <w:jc w:val="center"/>
              <w:rPr>
                <w:color w:val="000000"/>
                <w:sz w:val="20"/>
                <w:szCs w:val="20"/>
                <w:lang w:val="en-US"/>
              </w:rPr>
            </w:pPr>
            <w:r w:rsidRPr="00F02BC6">
              <w:rPr>
                <w:color w:val="000000"/>
                <w:sz w:val="20"/>
                <w:szCs w:val="20"/>
                <w:lang w:val="en-US"/>
              </w:rPr>
              <w:t>unclear</w:t>
            </w:r>
          </w:p>
        </w:tc>
        <w:tc>
          <w:tcPr>
            <w:tcW w:w="1183" w:type="dxa"/>
            <w:vAlign w:val="center"/>
          </w:tcPr>
          <w:p w14:paraId="49201631" w14:textId="77777777" w:rsidR="00247311" w:rsidRPr="00F02BC6" w:rsidRDefault="0031301F" w:rsidP="0031301F">
            <w:pPr>
              <w:jc w:val="center"/>
              <w:rPr>
                <w:color w:val="000000"/>
                <w:sz w:val="20"/>
                <w:szCs w:val="20"/>
                <w:lang w:val="en-US"/>
              </w:rPr>
            </w:pPr>
            <w:r w:rsidRPr="00F02BC6">
              <w:rPr>
                <w:color w:val="000000"/>
                <w:sz w:val="20"/>
                <w:szCs w:val="20"/>
                <w:lang w:val="en-US"/>
              </w:rPr>
              <w:t>unclear</w:t>
            </w:r>
          </w:p>
        </w:tc>
        <w:tc>
          <w:tcPr>
            <w:tcW w:w="1127" w:type="dxa"/>
            <w:vAlign w:val="center"/>
          </w:tcPr>
          <w:p w14:paraId="6F002C31" w14:textId="77777777" w:rsidR="00247311" w:rsidRPr="00F02BC6" w:rsidRDefault="0031301F" w:rsidP="0031301F">
            <w:pPr>
              <w:jc w:val="center"/>
              <w:rPr>
                <w:color w:val="000000"/>
                <w:sz w:val="20"/>
                <w:szCs w:val="20"/>
                <w:lang w:val="en-US"/>
              </w:rPr>
            </w:pPr>
            <w:r w:rsidRPr="00F02BC6">
              <w:rPr>
                <w:color w:val="000000"/>
                <w:sz w:val="20"/>
                <w:szCs w:val="20"/>
                <w:lang w:val="en-US"/>
              </w:rPr>
              <w:t>Yes</w:t>
            </w:r>
          </w:p>
        </w:tc>
      </w:tr>
      <w:tr w:rsidR="00247311" w:rsidRPr="00F02BC6" w14:paraId="66C7FE21" w14:textId="77777777" w:rsidTr="00A22C50">
        <w:tc>
          <w:tcPr>
            <w:tcW w:w="925" w:type="dxa"/>
            <w:vAlign w:val="center"/>
          </w:tcPr>
          <w:p w14:paraId="0EDB01AC" w14:textId="77777777" w:rsidR="00247311" w:rsidRPr="00F02BC6" w:rsidRDefault="00247311" w:rsidP="00247311">
            <w:pPr>
              <w:rPr>
                <w:color w:val="000000"/>
                <w:sz w:val="20"/>
                <w:szCs w:val="20"/>
                <w:lang w:val="en-US"/>
              </w:rPr>
            </w:pPr>
            <w:proofErr w:type="spellStart"/>
            <w:r w:rsidRPr="00F02BC6">
              <w:rPr>
                <w:color w:val="000000"/>
                <w:sz w:val="20"/>
                <w:szCs w:val="20"/>
                <w:lang w:val="en-US"/>
              </w:rPr>
              <w:t>Bidwal</w:t>
            </w:r>
            <w:proofErr w:type="spellEnd"/>
            <w:r w:rsidRPr="00F02BC6">
              <w:rPr>
                <w:color w:val="000000"/>
                <w:sz w:val="20"/>
                <w:szCs w:val="20"/>
                <w:lang w:val="en-US"/>
              </w:rPr>
              <w:t xml:space="preserve"> et al (2017)</w:t>
            </w:r>
          </w:p>
        </w:tc>
        <w:tc>
          <w:tcPr>
            <w:tcW w:w="1227" w:type="dxa"/>
            <w:vAlign w:val="center"/>
          </w:tcPr>
          <w:p w14:paraId="02DBE08E" w14:textId="77777777" w:rsidR="00247311" w:rsidRPr="00F02BC6" w:rsidRDefault="0008216C" w:rsidP="0031301F">
            <w:pPr>
              <w:jc w:val="center"/>
              <w:rPr>
                <w:color w:val="000000"/>
                <w:sz w:val="20"/>
                <w:szCs w:val="20"/>
                <w:lang w:val="en-US"/>
              </w:rPr>
            </w:pPr>
            <w:r w:rsidRPr="00F02BC6">
              <w:rPr>
                <w:color w:val="000000"/>
                <w:sz w:val="20"/>
                <w:szCs w:val="20"/>
                <w:lang w:val="en-US"/>
              </w:rPr>
              <w:t>N/A</w:t>
            </w:r>
          </w:p>
        </w:tc>
        <w:tc>
          <w:tcPr>
            <w:tcW w:w="983" w:type="dxa"/>
            <w:vAlign w:val="center"/>
          </w:tcPr>
          <w:p w14:paraId="48425C7C" w14:textId="77777777" w:rsidR="00247311" w:rsidRPr="00F02BC6" w:rsidRDefault="0008216C" w:rsidP="0031301F">
            <w:pPr>
              <w:jc w:val="center"/>
              <w:rPr>
                <w:color w:val="000000"/>
                <w:sz w:val="20"/>
                <w:szCs w:val="20"/>
                <w:lang w:val="en-US"/>
              </w:rPr>
            </w:pPr>
            <w:r w:rsidRPr="00F02BC6">
              <w:rPr>
                <w:color w:val="000000"/>
                <w:sz w:val="20"/>
                <w:szCs w:val="20"/>
                <w:lang w:val="en-US"/>
              </w:rPr>
              <w:t>Yes</w:t>
            </w:r>
          </w:p>
        </w:tc>
        <w:tc>
          <w:tcPr>
            <w:tcW w:w="1227" w:type="dxa"/>
            <w:vAlign w:val="center"/>
          </w:tcPr>
          <w:p w14:paraId="34E2E408" w14:textId="77777777" w:rsidR="00247311" w:rsidRPr="00F02BC6" w:rsidRDefault="0008216C" w:rsidP="0031301F">
            <w:pPr>
              <w:jc w:val="center"/>
              <w:rPr>
                <w:color w:val="000000"/>
                <w:sz w:val="20"/>
                <w:szCs w:val="20"/>
                <w:lang w:val="en-US"/>
              </w:rPr>
            </w:pPr>
            <w:r w:rsidRPr="00F02BC6">
              <w:rPr>
                <w:color w:val="000000"/>
                <w:sz w:val="20"/>
                <w:szCs w:val="20"/>
                <w:lang w:val="en-US"/>
              </w:rPr>
              <w:t>unclear</w:t>
            </w:r>
          </w:p>
        </w:tc>
        <w:tc>
          <w:tcPr>
            <w:tcW w:w="1050" w:type="dxa"/>
            <w:vAlign w:val="center"/>
          </w:tcPr>
          <w:p w14:paraId="7F52CF5C" w14:textId="77777777" w:rsidR="00247311" w:rsidRPr="00F02BC6" w:rsidRDefault="0008216C" w:rsidP="0031301F">
            <w:pPr>
              <w:jc w:val="center"/>
              <w:rPr>
                <w:color w:val="000000"/>
                <w:sz w:val="20"/>
                <w:szCs w:val="20"/>
                <w:lang w:val="en-US"/>
              </w:rPr>
            </w:pPr>
            <w:r w:rsidRPr="00F02BC6">
              <w:rPr>
                <w:color w:val="000000"/>
                <w:sz w:val="20"/>
                <w:szCs w:val="20"/>
                <w:lang w:val="en-US"/>
              </w:rPr>
              <w:t>unclear</w:t>
            </w:r>
          </w:p>
        </w:tc>
        <w:tc>
          <w:tcPr>
            <w:tcW w:w="1150" w:type="dxa"/>
            <w:vAlign w:val="center"/>
          </w:tcPr>
          <w:p w14:paraId="26E9EF10" w14:textId="77777777" w:rsidR="00247311" w:rsidRPr="00F02BC6" w:rsidRDefault="0008216C" w:rsidP="0031301F">
            <w:pPr>
              <w:jc w:val="center"/>
              <w:rPr>
                <w:color w:val="000000"/>
                <w:sz w:val="20"/>
                <w:szCs w:val="20"/>
                <w:lang w:val="en-US"/>
              </w:rPr>
            </w:pPr>
            <w:r w:rsidRPr="00F02BC6">
              <w:rPr>
                <w:color w:val="000000"/>
                <w:sz w:val="20"/>
                <w:szCs w:val="20"/>
                <w:lang w:val="en-US"/>
              </w:rPr>
              <w:t>Yes</w:t>
            </w:r>
          </w:p>
        </w:tc>
        <w:tc>
          <w:tcPr>
            <w:tcW w:w="983" w:type="dxa"/>
            <w:vAlign w:val="center"/>
          </w:tcPr>
          <w:p w14:paraId="77850F5A" w14:textId="77777777" w:rsidR="00247311" w:rsidRPr="00F02BC6" w:rsidRDefault="0008216C" w:rsidP="0031301F">
            <w:pPr>
              <w:jc w:val="center"/>
              <w:rPr>
                <w:color w:val="000000"/>
                <w:sz w:val="20"/>
                <w:szCs w:val="20"/>
                <w:lang w:val="en-US"/>
              </w:rPr>
            </w:pPr>
            <w:r w:rsidRPr="00F02BC6">
              <w:rPr>
                <w:color w:val="000000"/>
                <w:sz w:val="20"/>
                <w:szCs w:val="20"/>
                <w:lang w:val="en-US"/>
              </w:rPr>
              <w:t>Yes</w:t>
            </w:r>
          </w:p>
        </w:tc>
        <w:tc>
          <w:tcPr>
            <w:tcW w:w="983" w:type="dxa"/>
            <w:vAlign w:val="center"/>
          </w:tcPr>
          <w:p w14:paraId="46AAE808" w14:textId="77777777" w:rsidR="00247311" w:rsidRPr="00F02BC6" w:rsidRDefault="0008216C" w:rsidP="0031301F">
            <w:pPr>
              <w:jc w:val="center"/>
              <w:rPr>
                <w:color w:val="000000"/>
                <w:sz w:val="20"/>
                <w:szCs w:val="20"/>
                <w:lang w:val="en-US"/>
              </w:rPr>
            </w:pPr>
            <w:r w:rsidRPr="00F02BC6">
              <w:rPr>
                <w:color w:val="000000"/>
                <w:sz w:val="20"/>
                <w:szCs w:val="20"/>
                <w:lang w:val="en-US"/>
              </w:rPr>
              <w:t>No</w:t>
            </w:r>
          </w:p>
        </w:tc>
        <w:tc>
          <w:tcPr>
            <w:tcW w:w="1138" w:type="dxa"/>
            <w:vAlign w:val="center"/>
          </w:tcPr>
          <w:p w14:paraId="259449F5" w14:textId="77777777" w:rsidR="00247311" w:rsidRPr="00F02BC6" w:rsidRDefault="0008216C" w:rsidP="0031301F">
            <w:pPr>
              <w:jc w:val="center"/>
              <w:rPr>
                <w:color w:val="000000"/>
                <w:sz w:val="20"/>
                <w:szCs w:val="20"/>
                <w:lang w:val="en-US"/>
              </w:rPr>
            </w:pPr>
            <w:r w:rsidRPr="00F02BC6">
              <w:rPr>
                <w:color w:val="000000"/>
                <w:sz w:val="20"/>
                <w:szCs w:val="20"/>
                <w:lang w:val="en-US"/>
              </w:rPr>
              <w:t>N/A</w:t>
            </w:r>
          </w:p>
        </w:tc>
        <w:tc>
          <w:tcPr>
            <w:tcW w:w="1183" w:type="dxa"/>
            <w:vAlign w:val="center"/>
          </w:tcPr>
          <w:p w14:paraId="44E607AE" w14:textId="77777777" w:rsidR="00247311" w:rsidRPr="00F02BC6" w:rsidRDefault="0008216C" w:rsidP="0031301F">
            <w:pPr>
              <w:jc w:val="center"/>
              <w:rPr>
                <w:color w:val="000000"/>
                <w:sz w:val="20"/>
                <w:szCs w:val="20"/>
                <w:lang w:val="en-US"/>
              </w:rPr>
            </w:pPr>
            <w:r w:rsidRPr="00F02BC6">
              <w:rPr>
                <w:color w:val="000000"/>
                <w:sz w:val="20"/>
                <w:szCs w:val="20"/>
                <w:lang w:val="en-US"/>
              </w:rPr>
              <w:t>N/A</w:t>
            </w:r>
          </w:p>
        </w:tc>
        <w:tc>
          <w:tcPr>
            <w:tcW w:w="1127" w:type="dxa"/>
            <w:vAlign w:val="center"/>
          </w:tcPr>
          <w:p w14:paraId="47C18995" w14:textId="77777777" w:rsidR="00247311" w:rsidRPr="00F02BC6" w:rsidRDefault="0031301F" w:rsidP="0031301F">
            <w:pPr>
              <w:jc w:val="center"/>
              <w:rPr>
                <w:color w:val="000000"/>
                <w:sz w:val="20"/>
                <w:szCs w:val="20"/>
                <w:lang w:val="en-US"/>
              </w:rPr>
            </w:pPr>
            <w:r w:rsidRPr="00F02BC6">
              <w:rPr>
                <w:color w:val="000000"/>
                <w:sz w:val="20"/>
                <w:szCs w:val="20"/>
                <w:lang w:val="en-US"/>
              </w:rPr>
              <w:t>Yes</w:t>
            </w:r>
          </w:p>
        </w:tc>
      </w:tr>
      <w:tr w:rsidR="00247311" w:rsidRPr="00F02BC6" w14:paraId="3A94471E" w14:textId="77777777" w:rsidTr="00A22C50">
        <w:tc>
          <w:tcPr>
            <w:tcW w:w="925" w:type="dxa"/>
            <w:vAlign w:val="center"/>
          </w:tcPr>
          <w:p w14:paraId="216D3280" w14:textId="77777777" w:rsidR="00247311" w:rsidRPr="00F02BC6" w:rsidRDefault="00247311" w:rsidP="00247311">
            <w:pPr>
              <w:rPr>
                <w:color w:val="000000"/>
                <w:sz w:val="20"/>
                <w:szCs w:val="20"/>
                <w:lang w:val="en-US"/>
              </w:rPr>
            </w:pPr>
            <w:proofErr w:type="spellStart"/>
            <w:r w:rsidRPr="00F02BC6">
              <w:rPr>
                <w:color w:val="000000"/>
                <w:sz w:val="20"/>
                <w:szCs w:val="20"/>
                <w:lang w:val="en-US"/>
              </w:rPr>
              <w:t>Blais</w:t>
            </w:r>
            <w:proofErr w:type="spellEnd"/>
            <w:r w:rsidRPr="00F02BC6">
              <w:rPr>
                <w:color w:val="000000"/>
                <w:sz w:val="20"/>
                <w:szCs w:val="20"/>
                <w:lang w:val="en-US"/>
              </w:rPr>
              <w:t xml:space="preserve"> et al (2011)</w:t>
            </w:r>
          </w:p>
        </w:tc>
        <w:tc>
          <w:tcPr>
            <w:tcW w:w="1227" w:type="dxa"/>
            <w:vAlign w:val="center"/>
          </w:tcPr>
          <w:p w14:paraId="75370B4C" w14:textId="77777777" w:rsidR="00247311" w:rsidRPr="00F02BC6" w:rsidRDefault="009D0D54" w:rsidP="0031301F">
            <w:pPr>
              <w:jc w:val="center"/>
              <w:rPr>
                <w:color w:val="000000"/>
                <w:sz w:val="20"/>
                <w:szCs w:val="20"/>
                <w:lang w:val="en-US"/>
              </w:rPr>
            </w:pPr>
            <w:r w:rsidRPr="00F02BC6">
              <w:rPr>
                <w:color w:val="000000"/>
                <w:sz w:val="20"/>
                <w:szCs w:val="20"/>
                <w:lang w:val="en-US"/>
              </w:rPr>
              <w:t>N/A</w:t>
            </w:r>
          </w:p>
        </w:tc>
        <w:tc>
          <w:tcPr>
            <w:tcW w:w="983" w:type="dxa"/>
            <w:vAlign w:val="center"/>
          </w:tcPr>
          <w:p w14:paraId="5BB968A8" w14:textId="77777777" w:rsidR="00247311" w:rsidRPr="00F02BC6" w:rsidRDefault="009D0D54" w:rsidP="0031301F">
            <w:pPr>
              <w:jc w:val="center"/>
              <w:rPr>
                <w:color w:val="000000"/>
                <w:sz w:val="20"/>
                <w:szCs w:val="20"/>
                <w:lang w:val="en-US"/>
              </w:rPr>
            </w:pPr>
            <w:r w:rsidRPr="00F02BC6">
              <w:rPr>
                <w:color w:val="000000"/>
                <w:sz w:val="20"/>
                <w:szCs w:val="20"/>
                <w:lang w:val="en-US"/>
              </w:rPr>
              <w:t>Yes</w:t>
            </w:r>
          </w:p>
        </w:tc>
        <w:tc>
          <w:tcPr>
            <w:tcW w:w="1227" w:type="dxa"/>
            <w:vAlign w:val="center"/>
          </w:tcPr>
          <w:p w14:paraId="72F0CD38" w14:textId="77777777" w:rsidR="00247311" w:rsidRPr="00F02BC6" w:rsidRDefault="009D0D54" w:rsidP="0031301F">
            <w:pPr>
              <w:jc w:val="center"/>
              <w:rPr>
                <w:color w:val="000000"/>
                <w:sz w:val="20"/>
                <w:szCs w:val="20"/>
                <w:lang w:val="en-US"/>
              </w:rPr>
            </w:pPr>
            <w:r w:rsidRPr="00F02BC6">
              <w:rPr>
                <w:color w:val="000000"/>
                <w:sz w:val="20"/>
                <w:szCs w:val="20"/>
                <w:lang w:val="en-US"/>
              </w:rPr>
              <w:t>N/A</w:t>
            </w:r>
          </w:p>
        </w:tc>
        <w:tc>
          <w:tcPr>
            <w:tcW w:w="1050" w:type="dxa"/>
            <w:vAlign w:val="center"/>
          </w:tcPr>
          <w:p w14:paraId="1AFDD588" w14:textId="77777777" w:rsidR="00247311" w:rsidRPr="00F02BC6" w:rsidRDefault="009D0D54" w:rsidP="0031301F">
            <w:pPr>
              <w:jc w:val="center"/>
              <w:rPr>
                <w:color w:val="000000"/>
                <w:sz w:val="20"/>
                <w:szCs w:val="20"/>
                <w:lang w:val="en-US"/>
              </w:rPr>
            </w:pPr>
            <w:r w:rsidRPr="00F02BC6">
              <w:rPr>
                <w:color w:val="000000"/>
                <w:sz w:val="20"/>
                <w:szCs w:val="20"/>
                <w:lang w:val="en-US"/>
              </w:rPr>
              <w:t>N/A</w:t>
            </w:r>
          </w:p>
        </w:tc>
        <w:tc>
          <w:tcPr>
            <w:tcW w:w="1150" w:type="dxa"/>
            <w:vAlign w:val="center"/>
          </w:tcPr>
          <w:p w14:paraId="16F5835F" w14:textId="77777777" w:rsidR="00247311" w:rsidRPr="00F02BC6" w:rsidRDefault="009D0D54" w:rsidP="0031301F">
            <w:pPr>
              <w:jc w:val="center"/>
              <w:rPr>
                <w:color w:val="000000"/>
                <w:sz w:val="20"/>
                <w:szCs w:val="20"/>
                <w:lang w:val="en-US"/>
              </w:rPr>
            </w:pPr>
            <w:r w:rsidRPr="00F02BC6">
              <w:rPr>
                <w:color w:val="000000"/>
                <w:sz w:val="20"/>
                <w:szCs w:val="20"/>
                <w:lang w:val="en-US"/>
              </w:rPr>
              <w:t>Yes</w:t>
            </w:r>
          </w:p>
        </w:tc>
        <w:tc>
          <w:tcPr>
            <w:tcW w:w="983" w:type="dxa"/>
            <w:vAlign w:val="center"/>
          </w:tcPr>
          <w:p w14:paraId="63BD997E" w14:textId="77777777" w:rsidR="00247311" w:rsidRPr="00F02BC6" w:rsidRDefault="009D0D54" w:rsidP="0031301F">
            <w:pPr>
              <w:jc w:val="center"/>
              <w:rPr>
                <w:color w:val="000000"/>
                <w:sz w:val="20"/>
                <w:szCs w:val="20"/>
                <w:lang w:val="en-US"/>
              </w:rPr>
            </w:pPr>
            <w:r w:rsidRPr="00F02BC6">
              <w:rPr>
                <w:color w:val="000000"/>
                <w:sz w:val="20"/>
                <w:szCs w:val="20"/>
                <w:lang w:val="en-US"/>
              </w:rPr>
              <w:t>Yes</w:t>
            </w:r>
          </w:p>
        </w:tc>
        <w:tc>
          <w:tcPr>
            <w:tcW w:w="983" w:type="dxa"/>
            <w:vAlign w:val="center"/>
          </w:tcPr>
          <w:p w14:paraId="7BB669A3" w14:textId="77777777" w:rsidR="00247311" w:rsidRPr="00F02BC6" w:rsidRDefault="009D0D54" w:rsidP="0031301F">
            <w:pPr>
              <w:jc w:val="center"/>
              <w:rPr>
                <w:color w:val="000000"/>
                <w:sz w:val="20"/>
                <w:szCs w:val="20"/>
                <w:lang w:val="en-US"/>
              </w:rPr>
            </w:pPr>
            <w:r w:rsidRPr="00F02BC6">
              <w:rPr>
                <w:color w:val="000000"/>
                <w:sz w:val="20"/>
                <w:szCs w:val="20"/>
                <w:lang w:val="en-US"/>
              </w:rPr>
              <w:t>N/A</w:t>
            </w:r>
          </w:p>
        </w:tc>
        <w:tc>
          <w:tcPr>
            <w:tcW w:w="1138" w:type="dxa"/>
            <w:vAlign w:val="center"/>
          </w:tcPr>
          <w:p w14:paraId="1FFF7D84" w14:textId="77777777" w:rsidR="00247311" w:rsidRPr="00F02BC6" w:rsidRDefault="009D0D54" w:rsidP="0031301F">
            <w:pPr>
              <w:jc w:val="center"/>
              <w:rPr>
                <w:color w:val="000000"/>
                <w:sz w:val="20"/>
                <w:szCs w:val="20"/>
                <w:lang w:val="en-US"/>
              </w:rPr>
            </w:pPr>
            <w:r w:rsidRPr="00F02BC6">
              <w:rPr>
                <w:color w:val="000000"/>
                <w:sz w:val="20"/>
                <w:szCs w:val="20"/>
                <w:lang w:val="en-US"/>
              </w:rPr>
              <w:t>N/A</w:t>
            </w:r>
          </w:p>
        </w:tc>
        <w:tc>
          <w:tcPr>
            <w:tcW w:w="1183" w:type="dxa"/>
            <w:vAlign w:val="center"/>
          </w:tcPr>
          <w:p w14:paraId="277EE8A0" w14:textId="77777777" w:rsidR="00247311" w:rsidRPr="00F02BC6" w:rsidRDefault="009D0D54" w:rsidP="0031301F">
            <w:pPr>
              <w:jc w:val="center"/>
              <w:rPr>
                <w:color w:val="000000"/>
                <w:sz w:val="20"/>
                <w:szCs w:val="20"/>
                <w:lang w:val="en-US"/>
              </w:rPr>
            </w:pPr>
            <w:r w:rsidRPr="00F02BC6">
              <w:rPr>
                <w:color w:val="000000"/>
                <w:sz w:val="20"/>
                <w:szCs w:val="20"/>
                <w:lang w:val="en-US"/>
              </w:rPr>
              <w:t>N/A</w:t>
            </w:r>
          </w:p>
        </w:tc>
        <w:tc>
          <w:tcPr>
            <w:tcW w:w="1127" w:type="dxa"/>
            <w:vAlign w:val="center"/>
          </w:tcPr>
          <w:p w14:paraId="4AAF1A64" w14:textId="77777777" w:rsidR="00247311" w:rsidRPr="00F02BC6" w:rsidRDefault="009D0D54" w:rsidP="0031301F">
            <w:pPr>
              <w:jc w:val="center"/>
              <w:rPr>
                <w:color w:val="000000"/>
                <w:sz w:val="20"/>
                <w:szCs w:val="20"/>
                <w:lang w:val="en-US"/>
              </w:rPr>
            </w:pPr>
            <w:r w:rsidRPr="00F02BC6">
              <w:rPr>
                <w:color w:val="000000"/>
                <w:sz w:val="20"/>
                <w:szCs w:val="20"/>
                <w:lang w:val="en-US"/>
              </w:rPr>
              <w:t>Yes</w:t>
            </w:r>
          </w:p>
        </w:tc>
      </w:tr>
      <w:tr w:rsidR="00247311" w:rsidRPr="00F02BC6" w14:paraId="3E5D7BC5" w14:textId="77777777" w:rsidTr="00A22C50">
        <w:tc>
          <w:tcPr>
            <w:tcW w:w="925" w:type="dxa"/>
            <w:vAlign w:val="center"/>
          </w:tcPr>
          <w:p w14:paraId="65792D1A" w14:textId="77777777" w:rsidR="00247311" w:rsidRPr="00F02BC6" w:rsidRDefault="00247311" w:rsidP="00247311">
            <w:pPr>
              <w:rPr>
                <w:color w:val="000000"/>
                <w:sz w:val="20"/>
                <w:szCs w:val="20"/>
                <w:lang w:val="en-US"/>
              </w:rPr>
            </w:pPr>
            <w:proofErr w:type="spellStart"/>
            <w:r w:rsidRPr="00F02BC6">
              <w:rPr>
                <w:color w:val="000000"/>
                <w:sz w:val="20"/>
                <w:szCs w:val="20"/>
                <w:lang w:val="en-US"/>
              </w:rPr>
              <w:t>Blais</w:t>
            </w:r>
            <w:proofErr w:type="spellEnd"/>
            <w:r w:rsidRPr="00F02BC6">
              <w:rPr>
                <w:color w:val="000000"/>
                <w:sz w:val="20"/>
                <w:szCs w:val="20"/>
                <w:lang w:val="en-US"/>
              </w:rPr>
              <w:t xml:space="preserve"> et al (2014)</w:t>
            </w:r>
          </w:p>
        </w:tc>
        <w:tc>
          <w:tcPr>
            <w:tcW w:w="1227" w:type="dxa"/>
            <w:vAlign w:val="center"/>
          </w:tcPr>
          <w:p w14:paraId="74C42B2A" w14:textId="77777777" w:rsidR="00247311" w:rsidRPr="00F02BC6" w:rsidRDefault="000462A4" w:rsidP="0031301F">
            <w:pPr>
              <w:jc w:val="center"/>
              <w:rPr>
                <w:color w:val="000000"/>
                <w:sz w:val="20"/>
                <w:szCs w:val="20"/>
                <w:lang w:val="en-US"/>
              </w:rPr>
            </w:pPr>
            <w:r w:rsidRPr="00F02BC6">
              <w:rPr>
                <w:color w:val="000000"/>
                <w:sz w:val="20"/>
                <w:szCs w:val="20"/>
                <w:lang w:val="en-US"/>
              </w:rPr>
              <w:t>N/A</w:t>
            </w:r>
          </w:p>
        </w:tc>
        <w:tc>
          <w:tcPr>
            <w:tcW w:w="983" w:type="dxa"/>
            <w:vAlign w:val="center"/>
          </w:tcPr>
          <w:p w14:paraId="24B8D99A" w14:textId="77777777" w:rsidR="00247311" w:rsidRPr="00F02BC6" w:rsidRDefault="000462A4" w:rsidP="0031301F">
            <w:pPr>
              <w:jc w:val="center"/>
              <w:rPr>
                <w:color w:val="000000"/>
                <w:sz w:val="20"/>
                <w:szCs w:val="20"/>
                <w:lang w:val="en-US"/>
              </w:rPr>
            </w:pPr>
            <w:r w:rsidRPr="00F02BC6">
              <w:rPr>
                <w:color w:val="000000"/>
                <w:sz w:val="20"/>
                <w:szCs w:val="20"/>
                <w:lang w:val="en-US"/>
              </w:rPr>
              <w:t>Yes</w:t>
            </w:r>
          </w:p>
        </w:tc>
        <w:tc>
          <w:tcPr>
            <w:tcW w:w="1227" w:type="dxa"/>
            <w:vAlign w:val="center"/>
          </w:tcPr>
          <w:p w14:paraId="6280BFC9" w14:textId="77777777" w:rsidR="00247311" w:rsidRPr="00F02BC6" w:rsidRDefault="00BE19D6" w:rsidP="0031301F">
            <w:pPr>
              <w:jc w:val="center"/>
              <w:rPr>
                <w:color w:val="000000"/>
                <w:sz w:val="20"/>
                <w:szCs w:val="20"/>
                <w:lang w:val="en-US"/>
              </w:rPr>
            </w:pPr>
            <w:r w:rsidRPr="00F02BC6">
              <w:rPr>
                <w:color w:val="000000"/>
                <w:sz w:val="20"/>
                <w:szCs w:val="20"/>
                <w:lang w:val="en-US"/>
              </w:rPr>
              <w:t>unclear</w:t>
            </w:r>
          </w:p>
        </w:tc>
        <w:tc>
          <w:tcPr>
            <w:tcW w:w="1050" w:type="dxa"/>
            <w:vAlign w:val="center"/>
          </w:tcPr>
          <w:p w14:paraId="004A6FDE" w14:textId="77777777" w:rsidR="00247311" w:rsidRPr="00F02BC6" w:rsidRDefault="00BE19D6" w:rsidP="0031301F">
            <w:pPr>
              <w:jc w:val="center"/>
              <w:rPr>
                <w:color w:val="000000"/>
                <w:sz w:val="20"/>
                <w:szCs w:val="20"/>
                <w:lang w:val="en-US"/>
              </w:rPr>
            </w:pPr>
            <w:r w:rsidRPr="00F02BC6">
              <w:rPr>
                <w:color w:val="000000"/>
                <w:sz w:val="20"/>
                <w:szCs w:val="20"/>
                <w:lang w:val="en-US"/>
              </w:rPr>
              <w:t>No</w:t>
            </w:r>
          </w:p>
        </w:tc>
        <w:tc>
          <w:tcPr>
            <w:tcW w:w="1150" w:type="dxa"/>
            <w:vAlign w:val="center"/>
          </w:tcPr>
          <w:p w14:paraId="42B25610" w14:textId="77777777" w:rsidR="00247311" w:rsidRPr="00F02BC6" w:rsidRDefault="00BE19D6" w:rsidP="0031301F">
            <w:pPr>
              <w:jc w:val="center"/>
              <w:rPr>
                <w:color w:val="000000"/>
                <w:sz w:val="20"/>
                <w:szCs w:val="20"/>
                <w:lang w:val="en-US"/>
              </w:rPr>
            </w:pPr>
            <w:r w:rsidRPr="00F02BC6">
              <w:rPr>
                <w:color w:val="000000"/>
                <w:sz w:val="20"/>
                <w:szCs w:val="20"/>
                <w:lang w:val="en-US"/>
              </w:rPr>
              <w:t>Yes</w:t>
            </w:r>
          </w:p>
        </w:tc>
        <w:tc>
          <w:tcPr>
            <w:tcW w:w="983" w:type="dxa"/>
            <w:vAlign w:val="center"/>
          </w:tcPr>
          <w:p w14:paraId="4E9C896B" w14:textId="77777777" w:rsidR="00247311" w:rsidRPr="00F02BC6" w:rsidRDefault="00BE19D6" w:rsidP="0031301F">
            <w:pPr>
              <w:jc w:val="center"/>
              <w:rPr>
                <w:color w:val="000000"/>
                <w:sz w:val="20"/>
                <w:szCs w:val="20"/>
                <w:lang w:val="en-US"/>
              </w:rPr>
            </w:pPr>
            <w:r w:rsidRPr="00F02BC6">
              <w:rPr>
                <w:color w:val="000000"/>
                <w:sz w:val="20"/>
                <w:szCs w:val="20"/>
                <w:lang w:val="en-US"/>
              </w:rPr>
              <w:t>Yes</w:t>
            </w:r>
          </w:p>
        </w:tc>
        <w:tc>
          <w:tcPr>
            <w:tcW w:w="983" w:type="dxa"/>
            <w:vAlign w:val="center"/>
          </w:tcPr>
          <w:p w14:paraId="66509B6B" w14:textId="77777777" w:rsidR="00247311" w:rsidRPr="00F02BC6" w:rsidRDefault="00BE19D6" w:rsidP="00BE19D6">
            <w:pPr>
              <w:rPr>
                <w:color w:val="000000"/>
                <w:sz w:val="20"/>
                <w:szCs w:val="20"/>
                <w:lang w:val="en-US"/>
              </w:rPr>
            </w:pPr>
            <w:r w:rsidRPr="00F02BC6">
              <w:rPr>
                <w:color w:val="000000"/>
                <w:sz w:val="20"/>
                <w:szCs w:val="20"/>
                <w:lang w:val="en-US"/>
              </w:rPr>
              <w:t xml:space="preserve"> Unclear</w:t>
            </w:r>
          </w:p>
        </w:tc>
        <w:tc>
          <w:tcPr>
            <w:tcW w:w="1138" w:type="dxa"/>
            <w:vAlign w:val="center"/>
          </w:tcPr>
          <w:p w14:paraId="3D675800" w14:textId="77777777" w:rsidR="00247311" w:rsidRPr="00F02BC6" w:rsidRDefault="00BE19D6" w:rsidP="0031301F">
            <w:pPr>
              <w:jc w:val="center"/>
              <w:rPr>
                <w:color w:val="000000"/>
                <w:sz w:val="20"/>
                <w:szCs w:val="20"/>
                <w:lang w:val="en-US"/>
              </w:rPr>
            </w:pPr>
            <w:r w:rsidRPr="00F02BC6">
              <w:rPr>
                <w:color w:val="000000"/>
                <w:sz w:val="20"/>
                <w:szCs w:val="20"/>
                <w:lang w:val="en-US"/>
              </w:rPr>
              <w:t>N/A</w:t>
            </w:r>
          </w:p>
        </w:tc>
        <w:tc>
          <w:tcPr>
            <w:tcW w:w="1183" w:type="dxa"/>
            <w:vAlign w:val="center"/>
          </w:tcPr>
          <w:p w14:paraId="40A7C2B4" w14:textId="77777777" w:rsidR="00247311" w:rsidRPr="00F02BC6" w:rsidRDefault="00BE19D6" w:rsidP="0031301F">
            <w:pPr>
              <w:jc w:val="center"/>
              <w:rPr>
                <w:color w:val="000000"/>
                <w:sz w:val="20"/>
                <w:szCs w:val="20"/>
                <w:lang w:val="en-US"/>
              </w:rPr>
            </w:pPr>
            <w:r w:rsidRPr="00F02BC6">
              <w:rPr>
                <w:color w:val="000000"/>
                <w:sz w:val="20"/>
                <w:szCs w:val="20"/>
                <w:lang w:val="en-US"/>
              </w:rPr>
              <w:t>N/A</w:t>
            </w:r>
          </w:p>
        </w:tc>
        <w:tc>
          <w:tcPr>
            <w:tcW w:w="1127" w:type="dxa"/>
            <w:vAlign w:val="center"/>
          </w:tcPr>
          <w:p w14:paraId="7EE550E6" w14:textId="77777777" w:rsidR="00247311" w:rsidRPr="00F02BC6" w:rsidRDefault="00BE19D6" w:rsidP="0031301F">
            <w:pPr>
              <w:jc w:val="center"/>
              <w:rPr>
                <w:color w:val="000000"/>
                <w:sz w:val="20"/>
                <w:szCs w:val="20"/>
                <w:lang w:val="en-US"/>
              </w:rPr>
            </w:pPr>
            <w:r w:rsidRPr="00F02BC6">
              <w:rPr>
                <w:color w:val="000000"/>
                <w:sz w:val="20"/>
                <w:szCs w:val="20"/>
                <w:lang w:val="en-US"/>
              </w:rPr>
              <w:t>Yes</w:t>
            </w:r>
          </w:p>
        </w:tc>
      </w:tr>
      <w:tr w:rsidR="00247311" w:rsidRPr="00F02BC6" w14:paraId="3CD2B448" w14:textId="77777777" w:rsidTr="00A22C50">
        <w:tc>
          <w:tcPr>
            <w:tcW w:w="925" w:type="dxa"/>
            <w:vAlign w:val="center"/>
          </w:tcPr>
          <w:p w14:paraId="236203EB" w14:textId="77777777" w:rsidR="00247311" w:rsidRPr="00F02BC6" w:rsidRDefault="00247311" w:rsidP="00247311">
            <w:pPr>
              <w:rPr>
                <w:color w:val="000000"/>
                <w:sz w:val="20"/>
                <w:szCs w:val="20"/>
                <w:lang w:val="en-US"/>
              </w:rPr>
            </w:pPr>
            <w:proofErr w:type="spellStart"/>
            <w:r w:rsidRPr="00F02BC6">
              <w:rPr>
                <w:color w:val="000000"/>
                <w:sz w:val="20"/>
                <w:szCs w:val="20"/>
                <w:lang w:val="en-US"/>
              </w:rPr>
              <w:t>Blais</w:t>
            </w:r>
            <w:proofErr w:type="spellEnd"/>
            <w:r w:rsidRPr="00F02BC6">
              <w:rPr>
                <w:color w:val="000000"/>
                <w:sz w:val="20"/>
                <w:szCs w:val="20"/>
                <w:lang w:val="en-US"/>
              </w:rPr>
              <w:t xml:space="preserve"> et al (2017)</w:t>
            </w:r>
          </w:p>
        </w:tc>
        <w:tc>
          <w:tcPr>
            <w:tcW w:w="1227" w:type="dxa"/>
            <w:vAlign w:val="center"/>
          </w:tcPr>
          <w:p w14:paraId="023D0F90" w14:textId="77777777" w:rsidR="00247311" w:rsidRPr="00F02BC6" w:rsidRDefault="00BF58CF" w:rsidP="0031301F">
            <w:pPr>
              <w:jc w:val="center"/>
              <w:rPr>
                <w:color w:val="000000"/>
                <w:sz w:val="20"/>
                <w:szCs w:val="20"/>
                <w:lang w:val="en-US"/>
              </w:rPr>
            </w:pPr>
            <w:r w:rsidRPr="00F02BC6">
              <w:rPr>
                <w:color w:val="000000"/>
                <w:sz w:val="20"/>
                <w:szCs w:val="20"/>
                <w:lang w:val="en-US"/>
              </w:rPr>
              <w:t>N/A</w:t>
            </w:r>
          </w:p>
        </w:tc>
        <w:tc>
          <w:tcPr>
            <w:tcW w:w="983" w:type="dxa"/>
            <w:vAlign w:val="center"/>
          </w:tcPr>
          <w:p w14:paraId="7B8ABBD5" w14:textId="77777777" w:rsidR="00247311" w:rsidRPr="00F02BC6" w:rsidRDefault="00BF58CF" w:rsidP="0031301F">
            <w:pPr>
              <w:jc w:val="center"/>
              <w:rPr>
                <w:color w:val="000000"/>
                <w:sz w:val="20"/>
                <w:szCs w:val="20"/>
                <w:lang w:val="en-US"/>
              </w:rPr>
            </w:pPr>
            <w:r w:rsidRPr="00F02BC6">
              <w:rPr>
                <w:color w:val="000000"/>
                <w:sz w:val="20"/>
                <w:szCs w:val="20"/>
                <w:lang w:val="en-US"/>
              </w:rPr>
              <w:t>Yes</w:t>
            </w:r>
          </w:p>
        </w:tc>
        <w:tc>
          <w:tcPr>
            <w:tcW w:w="1227" w:type="dxa"/>
            <w:vAlign w:val="center"/>
          </w:tcPr>
          <w:p w14:paraId="1454E740" w14:textId="77777777" w:rsidR="00247311" w:rsidRPr="00F02BC6" w:rsidRDefault="00BF58CF" w:rsidP="0031301F">
            <w:pPr>
              <w:jc w:val="center"/>
              <w:rPr>
                <w:color w:val="000000"/>
                <w:sz w:val="20"/>
                <w:szCs w:val="20"/>
                <w:lang w:val="en-US"/>
              </w:rPr>
            </w:pPr>
            <w:r w:rsidRPr="00F02BC6">
              <w:rPr>
                <w:color w:val="000000"/>
                <w:sz w:val="20"/>
                <w:szCs w:val="20"/>
                <w:lang w:val="en-US"/>
              </w:rPr>
              <w:t>No</w:t>
            </w:r>
          </w:p>
        </w:tc>
        <w:tc>
          <w:tcPr>
            <w:tcW w:w="1050" w:type="dxa"/>
            <w:vAlign w:val="center"/>
          </w:tcPr>
          <w:p w14:paraId="18383906" w14:textId="77777777" w:rsidR="00247311" w:rsidRPr="00F02BC6" w:rsidRDefault="00BF58CF" w:rsidP="0031301F">
            <w:pPr>
              <w:jc w:val="center"/>
              <w:rPr>
                <w:color w:val="000000"/>
                <w:sz w:val="20"/>
                <w:szCs w:val="20"/>
                <w:lang w:val="en-US"/>
              </w:rPr>
            </w:pPr>
            <w:r w:rsidRPr="00F02BC6">
              <w:rPr>
                <w:color w:val="000000"/>
                <w:sz w:val="20"/>
                <w:szCs w:val="20"/>
                <w:lang w:val="en-US"/>
              </w:rPr>
              <w:t>No</w:t>
            </w:r>
          </w:p>
        </w:tc>
        <w:tc>
          <w:tcPr>
            <w:tcW w:w="1150" w:type="dxa"/>
            <w:vAlign w:val="center"/>
          </w:tcPr>
          <w:p w14:paraId="3FF06C8D" w14:textId="77777777" w:rsidR="00247311" w:rsidRPr="00F02BC6" w:rsidRDefault="00BF58CF" w:rsidP="0031301F">
            <w:pPr>
              <w:jc w:val="center"/>
              <w:rPr>
                <w:color w:val="000000"/>
                <w:sz w:val="20"/>
                <w:szCs w:val="20"/>
                <w:lang w:val="en-US"/>
              </w:rPr>
            </w:pPr>
            <w:r w:rsidRPr="00F02BC6">
              <w:rPr>
                <w:color w:val="000000"/>
                <w:sz w:val="20"/>
                <w:szCs w:val="20"/>
                <w:lang w:val="en-US"/>
              </w:rPr>
              <w:t>Yes</w:t>
            </w:r>
          </w:p>
        </w:tc>
        <w:tc>
          <w:tcPr>
            <w:tcW w:w="983" w:type="dxa"/>
            <w:vAlign w:val="center"/>
          </w:tcPr>
          <w:p w14:paraId="0581411B" w14:textId="77777777" w:rsidR="00247311" w:rsidRPr="00F02BC6" w:rsidRDefault="00BF58CF" w:rsidP="0031301F">
            <w:pPr>
              <w:jc w:val="center"/>
              <w:rPr>
                <w:color w:val="000000"/>
                <w:sz w:val="20"/>
                <w:szCs w:val="20"/>
                <w:lang w:val="en-US"/>
              </w:rPr>
            </w:pPr>
            <w:r w:rsidRPr="00F02BC6">
              <w:rPr>
                <w:color w:val="000000"/>
                <w:sz w:val="20"/>
                <w:szCs w:val="20"/>
                <w:lang w:val="en-US"/>
              </w:rPr>
              <w:t>Yes</w:t>
            </w:r>
          </w:p>
        </w:tc>
        <w:tc>
          <w:tcPr>
            <w:tcW w:w="983" w:type="dxa"/>
            <w:vAlign w:val="center"/>
          </w:tcPr>
          <w:p w14:paraId="4AAB6128" w14:textId="77777777" w:rsidR="00247311" w:rsidRPr="00F02BC6" w:rsidRDefault="00BF58CF" w:rsidP="0031301F">
            <w:pPr>
              <w:jc w:val="center"/>
              <w:rPr>
                <w:color w:val="000000"/>
                <w:sz w:val="20"/>
                <w:szCs w:val="20"/>
                <w:lang w:val="en-US"/>
              </w:rPr>
            </w:pPr>
            <w:r w:rsidRPr="00F02BC6">
              <w:rPr>
                <w:color w:val="000000"/>
                <w:sz w:val="20"/>
                <w:szCs w:val="20"/>
                <w:lang w:val="en-US"/>
              </w:rPr>
              <w:t>N/A</w:t>
            </w:r>
          </w:p>
        </w:tc>
        <w:tc>
          <w:tcPr>
            <w:tcW w:w="1138" w:type="dxa"/>
            <w:vAlign w:val="center"/>
          </w:tcPr>
          <w:p w14:paraId="2BBB05C9" w14:textId="77777777" w:rsidR="00247311" w:rsidRPr="00F02BC6" w:rsidRDefault="00BF58CF" w:rsidP="0031301F">
            <w:pPr>
              <w:jc w:val="center"/>
              <w:rPr>
                <w:color w:val="000000"/>
                <w:sz w:val="20"/>
                <w:szCs w:val="20"/>
                <w:lang w:val="en-US"/>
              </w:rPr>
            </w:pPr>
            <w:r w:rsidRPr="00F02BC6">
              <w:rPr>
                <w:color w:val="000000"/>
                <w:sz w:val="20"/>
                <w:szCs w:val="20"/>
                <w:lang w:val="en-US"/>
              </w:rPr>
              <w:t>N/A</w:t>
            </w:r>
          </w:p>
        </w:tc>
        <w:tc>
          <w:tcPr>
            <w:tcW w:w="1183" w:type="dxa"/>
            <w:vAlign w:val="center"/>
          </w:tcPr>
          <w:p w14:paraId="40D9CA15" w14:textId="77777777" w:rsidR="00247311" w:rsidRPr="00F02BC6" w:rsidRDefault="00BF58CF" w:rsidP="0031301F">
            <w:pPr>
              <w:jc w:val="center"/>
              <w:rPr>
                <w:color w:val="000000"/>
                <w:sz w:val="20"/>
                <w:szCs w:val="20"/>
                <w:lang w:val="en-US"/>
              </w:rPr>
            </w:pPr>
            <w:r w:rsidRPr="00F02BC6">
              <w:rPr>
                <w:color w:val="000000"/>
                <w:sz w:val="20"/>
                <w:szCs w:val="20"/>
                <w:lang w:val="en-US"/>
              </w:rPr>
              <w:t>No</w:t>
            </w:r>
          </w:p>
        </w:tc>
        <w:tc>
          <w:tcPr>
            <w:tcW w:w="1127" w:type="dxa"/>
            <w:vAlign w:val="center"/>
          </w:tcPr>
          <w:p w14:paraId="7E2A6E34" w14:textId="77777777" w:rsidR="00247311" w:rsidRPr="00F02BC6" w:rsidRDefault="00BF58CF" w:rsidP="0031301F">
            <w:pPr>
              <w:jc w:val="center"/>
              <w:rPr>
                <w:color w:val="000000"/>
                <w:sz w:val="20"/>
                <w:szCs w:val="20"/>
                <w:lang w:val="en-US"/>
              </w:rPr>
            </w:pPr>
            <w:r w:rsidRPr="00F02BC6">
              <w:rPr>
                <w:color w:val="000000"/>
                <w:sz w:val="20"/>
                <w:szCs w:val="20"/>
                <w:lang w:val="en-US"/>
              </w:rPr>
              <w:t>Yes</w:t>
            </w:r>
          </w:p>
        </w:tc>
      </w:tr>
      <w:tr w:rsidR="00247311" w:rsidRPr="00F02BC6" w14:paraId="679518BD" w14:textId="77777777" w:rsidTr="00A22C50">
        <w:tc>
          <w:tcPr>
            <w:tcW w:w="925" w:type="dxa"/>
            <w:vAlign w:val="center"/>
          </w:tcPr>
          <w:p w14:paraId="7A5AFD81" w14:textId="644A21C0" w:rsidR="00247311" w:rsidRPr="00F02BC6" w:rsidRDefault="00247311" w:rsidP="00247311">
            <w:pPr>
              <w:rPr>
                <w:color w:val="000000"/>
                <w:sz w:val="20"/>
                <w:szCs w:val="20"/>
                <w:lang w:val="en-US"/>
              </w:rPr>
            </w:pPr>
            <w:proofErr w:type="spellStart"/>
            <w:r w:rsidRPr="00F02BC6">
              <w:rPr>
                <w:color w:val="000000"/>
                <w:sz w:val="20"/>
                <w:szCs w:val="20"/>
                <w:lang w:val="en-US"/>
              </w:rPr>
              <w:t>Covvey</w:t>
            </w:r>
            <w:proofErr w:type="spellEnd"/>
            <w:r w:rsidRPr="00F02BC6">
              <w:rPr>
                <w:color w:val="000000"/>
                <w:sz w:val="20"/>
                <w:szCs w:val="20"/>
                <w:lang w:val="en-US"/>
              </w:rPr>
              <w:t xml:space="preserve"> et al</w:t>
            </w:r>
            <w:r w:rsidR="000869CD" w:rsidRPr="00F02BC6">
              <w:rPr>
                <w:color w:val="000000"/>
                <w:sz w:val="20"/>
                <w:szCs w:val="20"/>
                <w:lang w:val="en-US"/>
              </w:rPr>
              <w:t xml:space="preserve"> (2014)</w:t>
            </w:r>
          </w:p>
        </w:tc>
        <w:tc>
          <w:tcPr>
            <w:tcW w:w="1227" w:type="dxa"/>
            <w:vAlign w:val="center"/>
          </w:tcPr>
          <w:p w14:paraId="0FBC256B" w14:textId="77777777" w:rsidR="00247311" w:rsidRPr="00F02BC6" w:rsidRDefault="005E0312" w:rsidP="0031301F">
            <w:pPr>
              <w:jc w:val="center"/>
              <w:rPr>
                <w:color w:val="000000"/>
                <w:sz w:val="20"/>
                <w:szCs w:val="20"/>
                <w:lang w:val="en-US"/>
              </w:rPr>
            </w:pPr>
            <w:r w:rsidRPr="00F02BC6">
              <w:rPr>
                <w:color w:val="000000"/>
                <w:sz w:val="20"/>
                <w:szCs w:val="20"/>
                <w:lang w:val="en-US"/>
              </w:rPr>
              <w:t>N/A</w:t>
            </w:r>
          </w:p>
        </w:tc>
        <w:tc>
          <w:tcPr>
            <w:tcW w:w="983" w:type="dxa"/>
            <w:vAlign w:val="center"/>
          </w:tcPr>
          <w:p w14:paraId="3FF42E8C" w14:textId="77777777" w:rsidR="00247311" w:rsidRPr="00F02BC6" w:rsidRDefault="005E0312" w:rsidP="0031301F">
            <w:pPr>
              <w:jc w:val="center"/>
              <w:rPr>
                <w:color w:val="000000"/>
                <w:sz w:val="20"/>
                <w:szCs w:val="20"/>
                <w:lang w:val="en-US"/>
              </w:rPr>
            </w:pPr>
            <w:r w:rsidRPr="00F02BC6">
              <w:rPr>
                <w:color w:val="000000"/>
                <w:sz w:val="20"/>
                <w:szCs w:val="20"/>
                <w:lang w:val="en-US"/>
              </w:rPr>
              <w:t>Yes</w:t>
            </w:r>
          </w:p>
        </w:tc>
        <w:tc>
          <w:tcPr>
            <w:tcW w:w="1227" w:type="dxa"/>
            <w:vAlign w:val="center"/>
          </w:tcPr>
          <w:p w14:paraId="15AA7EF0" w14:textId="77777777" w:rsidR="00247311" w:rsidRPr="00F02BC6" w:rsidRDefault="005E0312" w:rsidP="0031301F">
            <w:pPr>
              <w:jc w:val="center"/>
              <w:rPr>
                <w:color w:val="000000"/>
                <w:sz w:val="20"/>
                <w:szCs w:val="20"/>
                <w:lang w:val="en-US"/>
              </w:rPr>
            </w:pPr>
            <w:r w:rsidRPr="00F02BC6">
              <w:rPr>
                <w:color w:val="000000"/>
                <w:sz w:val="20"/>
                <w:szCs w:val="20"/>
                <w:lang w:val="en-US"/>
              </w:rPr>
              <w:t>Yes</w:t>
            </w:r>
          </w:p>
        </w:tc>
        <w:tc>
          <w:tcPr>
            <w:tcW w:w="1050" w:type="dxa"/>
            <w:vAlign w:val="center"/>
          </w:tcPr>
          <w:p w14:paraId="48D47B01" w14:textId="77777777" w:rsidR="00247311" w:rsidRPr="00F02BC6" w:rsidRDefault="005E0312" w:rsidP="0031301F">
            <w:pPr>
              <w:jc w:val="center"/>
              <w:rPr>
                <w:color w:val="000000"/>
                <w:sz w:val="20"/>
                <w:szCs w:val="20"/>
                <w:lang w:val="en-US"/>
              </w:rPr>
            </w:pPr>
            <w:r w:rsidRPr="00F02BC6">
              <w:rPr>
                <w:color w:val="000000"/>
                <w:sz w:val="20"/>
                <w:szCs w:val="20"/>
                <w:lang w:val="en-US"/>
              </w:rPr>
              <w:t>Yes</w:t>
            </w:r>
          </w:p>
        </w:tc>
        <w:tc>
          <w:tcPr>
            <w:tcW w:w="1150" w:type="dxa"/>
            <w:vAlign w:val="center"/>
          </w:tcPr>
          <w:p w14:paraId="1A7FA996" w14:textId="77777777" w:rsidR="00247311" w:rsidRPr="00F02BC6" w:rsidRDefault="005E0312" w:rsidP="0031301F">
            <w:pPr>
              <w:jc w:val="center"/>
              <w:rPr>
                <w:color w:val="000000"/>
                <w:sz w:val="20"/>
                <w:szCs w:val="20"/>
                <w:lang w:val="en-US"/>
              </w:rPr>
            </w:pPr>
            <w:r w:rsidRPr="00F02BC6">
              <w:rPr>
                <w:color w:val="000000"/>
                <w:sz w:val="20"/>
                <w:szCs w:val="20"/>
                <w:lang w:val="en-US"/>
              </w:rPr>
              <w:t>Yes</w:t>
            </w:r>
          </w:p>
        </w:tc>
        <w:tc>
          <w:tcPr>
            <w:tcW w:w="983" w:type="dxa"/>
            <w:vAlign w:val="center"/>
          </w:tcPr>
          <w:p w14:paraId="2E999943" w14:textId="77777777" w:rsidR="00247311" w:rsidRPr="00F02BC6" w:rsidRDefault="005E0312" w:rsidP="0031301F">
            <w:pPr>
              <w:jc w:val="center"/>
              <w:rPr>
                <w:color w:val="000000"/>
                <w:sz w:val="20"/>
                <w:szCs w:val="20"/>
                <w:lang w:val="en-US"/>
              </w:rPr>
            </w:pPr>
            <w:r w:rsidRPr="00F02BC6">
              <w:rPr>
                <w:color w:val="000000"/>
                <w:sz w:val="20"/>
                <w:szCs w:val="20"/>
                <w:lang w:val="en-US"/>
              </w:rPr>
              <w:t>Yes</w:t>
            </w:r>
          </w:p>
        </w:tc>
        <w:tc>
          <w:tcPr>
            <w:tcW w:w="983" w:type="dxa"/>
            <w:vAlign w:val="center"/>
          </w:tcPr>
          <w:p w14:paraId="55997AE7" w14:textId="77777777" w:rsidR="00247311" w:rsidRPr="00F02BC6" w:rsidRDefault="005E0312" w:rsidP="0031301F">
            <w:pPr>
              <w:jc w:val="center"/>
              <w:rPr>
                <w:color w:val="000000"/>
                <w:sz w:val="20"/>
                <w:szCs w:val="20"/>
                <w:lang w:val="en-US"/>
              </w:rPr>
            </w:pPr>
            <w:r w:rsidRPr="00F02BC6">
              <w:rPr>
                <w:color w:val="000000"/>
                <w:sz w:val="20"/>
                <w:szCs w:val="20"/>
                <w:lang w:val="en-US"/>
              </w:rPr>
              <w:t>N/A</w:t>
            </w:r>
          </w:p>
        </w:tc>
        <w:tc>
          <w:tcPr>
            <w:tcW w:w="1138" w:type="dxa"/>
            <w:vAlign w:val="center"/>
          </w:tcPr>
          <w:p w14:paraId="7C0CC868" w14:textId="77777777" w:rsidR="00247311" w:rsidRPr="00F02BC6" w:rsidRDefault="005E0312" w:rsidP="0031301F">
            <w:pPr>
              <w:jc w:val="center"/>
              <w:rPr>
                <w:color w:val="000000"/>
                <w:sz w:val="20"/>
                <w:szCs w:val="20"/>
                <w:lang w:val="en-US"/>
              </w:rPr>
            </w:pPr>
            <w:r w:rsidRPr="00F02BC6">
              <w:rPr>
                <w:color w:val="000000"/>
                <w:sz w:val="20"/>
                <w:szCs w:val="20"/>
                <w:lang w:val="en-US"/>
              </w:rPr>
              <w:t>N/A</w:t>
            </w:r>
          </w:p>
        </w:tc>
        <w:tc>
          <w:tcPr>
            <w:tcW w:w="1183" w:type="dxa"/>
            <w:vAlign w:val="center"/>
          </w:tcPr>
          <w:p w14:paraId="11712B7B" w14:textId="77777777" w:rsidR="00247311" w:rsidRPr="00F02BC6" w:rsidRDefault="005E0312" w:rsidP="0031301F">
            <w:pPr>
              <w:jc w:val="center"/>
              <w:rPr>
                <w:color w:val="000000"/>
                <w:sz w:val="20"/>
                <w:szCs w:val="20"/>
                <w:lang w:val="en-US"/>
              </w:rPr>
            </w:pPr>
            <w:r w:rsidRPr="00F02BC6">
              <w:rPr>
                <w:color w:val="000000"/>
                <w:sz w:val="20"/>
                <w:szCs w:val="20"/>
                <w:lang w:val="en-US"/>
              </w:rPr>
              <w:t>N/A</w:t>
            </w:r>
          </w:p>
        </w:tc>
        <w:tc>
          <w:tcPr>
            <w:tcW w:w="1127" w:type="dxa"/>
            <w:vAlign w:val="center"/>
          </w:tcPr>
          <w:p w14:paraId="3D9DBE2A" w14:textId="77777777" w:rsidR="00247311" w:rsidRPr="00F02BC6" w:rsidRDefault="005E0312" w:rsidP="0031301F">
            <w:pPr>
              <w:jc w:val="center"/>
              <w:rPr>
                <w:color w:val="000000"/>
                <w:sz w:val="20"/>
                <w:szCs w:val="20"/>
                <w:lang w:val="en-US"/>
              </w:rPr>
            </w:pPr>
            <w:r w:rsidRPr="00F02BC6">
              <w:rPr>
                <w:color w:val="000000"/>
                <w:sz w:val="20"/>
                <w:szCs w:val="20"/>
                <w:lang w:val="en-US"/>
              </w:rPr>
              <w:t>Yes</w:t>
            </w:r>
          </w:p>
        </w:tc>
      </w:tr>
      <w:tr w:rsidR="00247311" w:rsidRPr="00F02BC6" w14:paraId="2357D352" w14:textId="77777777" w:rsidTr="00A22C50">
        <w:tc>
          <w:tcPr>
            <w:tcW w:w="925" w:type="dxa"/>
            <w:vAlign w:val="center"/>
          </w:tcPr>
          <w:p w14:paraId="5DE2EF70" w14:textId="77777777" w:rsidR="00247311" w:rsidRPr="00F02BC6" w:rsidRDefault="00247311" w:rsidP="00247311">
            <w:pPr>
              <w:rPr>
                <w:color w:val="000000"/>
                <w:sz w:val="20"/>
                <w:szCs w:val="20"/>
                <w:lang w:val="en-US"/>
              </w:rPr>
            </w:pPr>
            <w:proofErr w:type="spellStart"/>
            <w:r w:rsidRPr="00F02BC6">
              <w:rPr>
                <w:color w:val="000000"/>
                <w:sz w:val="20"/>
                <w:szCs w:val="20"/>
                <w:lang w:val="en-US"/>
              </w:rPr>
              <w:t>Darba</w:t>
            </w:r>
            <w:proofErr w:type="spellEnd"/>
            <w:r w:rsidRPr="00F02BC6">
              <w:rPr>
                <w:color w:val="000000"/>
                <w:sz w:val="20"/>
                <w:szCs w:val="20"/>
                <w:lang w:val="en-US"/>
              </w:rPr>
              <w:t>’ et al (2016)</w:t>
            </w:r>
          </w:p>
        </w:tc>
        <w:tc>
          <w:tcPr>
            <w:tcW w:w="1227" w:type="dxa"/>
            <w:vAlign w:val="center"/>
          </w:tcPr>
          <w:p w14:paraId="6608814A" w14:textId="77777777" w:rsidR="00247311" w:rsidRPr="00F02BC6" w:rsidRDefault="00A72FD7" w:rsidP="00247311">
            <w:pPr>
              <w:jc w:val="center"/>
              <w:rPr>
                <w:color w:val="000000"/>
                <w:sz w:val="20"/>
                <w:szCs w:val="20"/>
                <w:lang w:val="en-US"/>
              </w:rPr>
            </w:pPr>
            <w:r w:rsidRPr="00F02BC6">
              <w:rPr>
                <w:color w:val="000000"/>
                <w:sz w:val="20"/>
                <w:szCs w:val="20"/>
                <w:lang w:val="en-US"/>
              </w:rPr>
              <w:t>N/A</w:t>
            </w:r>
          </w:p>
        </w:tc>
        <w:tc>
          <w:tcPr>
            <w:tcW w:w="983" w:type="dxa"/>
            <w:vAlign w:val="center"/>
          </w:tcPr>
          <w:p w14:paraId="6F54D968" w14:textId="77777777" w:rsidR="00247311" w:rsidRPr="00F02BC6" w:rsidRDefault="00A72FD7" w:rsidP="00247311">
            <w:pPr>
              <w:jc w:val="center"/>
              <w:rPr>
                <w:color w:val="000000"/>
                <w:sz w:val="20"/>
                <w:szCs w:val="20"/>
                <w:lang w:val="en-US"/>
              </w:rPr>
            </w:pPr>
            <w:r w:rsidRPr="00F02BC6">
              <w:rPr>
                <w:color w:val="000000"/>
                <w:sz w:val="20"/>
                <w:szCs w:val="20"/>
                <w:lang w:val="en-US"/>
              </w:rPr>
              <w:t>Yes</w:t>
            </w:r>
          </w:p>
        </w:tc>
        <w:tc>
          <w:tcPr>
            <w:tcW w:w="1227" w:type="dxa"/>
            <w:vAlign w:val="center"/>
          </w:tcPr>
          <w:p w14:paraId="25256FB5" w14:textId="77777777" w:rsidR="00247311" w:rsidRPr="00F02BC6" w:rsidRDefault="00A72FD7" w:rsidP="00247311">
            <w:pPr>
              <w:jc w:val="center"/>
              <w:rPr>
                <w:color w:val="000000"/>
                <w:sz w:val="20"/>
                <w:szCs w:val="20"/>
                <w:lang w:val="en-US"/>
              </w:rPr>
            </w:pPr>
            <w:r w:rsidRPr="00F02BC6">
              <w:rPr>
                <w:color w:val="000000"/>
                <w:sz w:val="20"/>
                <w:szCs w:val="20"/>
                <w:lang w:val="en-US"/>
              </w:rPr>
              <w:t>Yes</w:t>
            </w:r>
          </w:p>
        </w:tc>
        <w:tc>
          <w:tcPr>
            <w:tcW w:w="1050" w:type="dxa"/>
            <w:vAlign w:val="center"/>
          </w:tcPr>
          <w:p w14:paraId="283B2F39" w14:textId="77777777" w:rsidR="00247311" w:rsidRPr="00F02BC6" w:rsidRDefault="00A72FD7" w:rsidP="00247311">
            <w:pPr>
              <w:jc w:val="center"/>
              <w:rPr>
                <w:color w:val="000000"/>
                <w:sz w:val="20"/>
                <w:szCs w:val="20"/>
                <w:lang w:val="en-US"/>
              </w:rPr>
            </w:pPr>
            <w:r w:rsidRPr="00F02BC6">
              <w:rPr>
                <w:color w:val="000000"/>
                <w:sz w:val="20"/>
                <w:szCs w:val="20"/>
                <w:lang w:val="en-US"/>
              </w:rPr>
              <w:t>Yes</w:t>
            </w:r>
          </w:p>
        </w:tc>
        <w:tc>
          <w:tcPr>
            <w:tcW w:w="1150" w:type="dxa"/>
            <w:vAlign w:val="center"/>
          </w:tcPr>
          <w:p w14:paraId="018F6797" w14:textId="77777777" w:rsidR="00247311" w:rsidRPr="00F02BC6" w:rsidRDefault="00A72FD7" w:rsidP="00247311">
            <w:pPr>
              <w:jc w:val="center"/>
              <w:rPr>
                <w:color w:val="000000"/>
                <w:sz w:val="20"/>
                <w:szCs w:val="20"/>
                <w:lang w:val="en-US"/>
              </w:rPr>
            </w:pPr>
            <w:r w:rsidRPr="00F02BC6">
              <w:rPr>
                <w:color w:val="000000"/>
                <w:sz w:val="20"/>
                <w:szCs w:val="20"/>
                <w:lang w:val="en-US"/>
              </w:rPr>
              <w:t>Yes</w:t>
            </w:r>
          </w:p>
        </w:tc>
        <w:tc>
          <w:tcPr>
            <w:tcW w:w="983" w:type="dxa"/>
            <w:vAlign w:val="center"/>
          </w:tcPr>
          <w:p w14:paraId="7585C313" w14:textId="77777777" w:rsidR="00247311" w:rsidRPr="00F02BC6" w:rsidRDefault="009A1967" w:rsidP="00247311">
            <w:pPr>
              <w:jc w:val="center"/>
              <w:rPr>
                <w:color w:val="000000"/>
                <w:sz w:val="20"/>
                <w:szCs w:val="20"/>
                <w:lang w:val="en-US"/>
              </w:rPr>
            </w:pPr>
            <w:r w:rsidRPr="00F02BC6">
              <w:rPr>
                <w:color w:val="000000"/>
                <w:sz w:val="20"/>
                <w:szCs w:val="20"/>
                <w:lang w:val="en-US"/>
              </w:rPr>
              <w:t>Yes</w:t>
            </w:r>
          </w:p>
        </w:tc>
        <w:tc>
          <w:tcPr>
            <w:tcW w:w="983" w:type="dxa"/>
            <w:vAlign w:val="center"/>
          </w:tcPr>
          <w:p w14:paraId="2799AB16" w14:textId="77777777" w:rsidR="00247311" w:rsidRPr="00F02BC6" w:rsidRDefault="009A1967" w:rsidP="00247311">
            <w:pPr>
              <w:jc w:val="center"/>
              <w:rPr>
                <w:color w:val="000000"/>
                <w:sz w:val="20"/>
                <w:szCs w:val="20"/>
                <w:lang w:val="en-US"/>
              </w:rPr>
            </w:pPr>
            <w:r w:rsidRPr="00F02BC6">
              <w:rPr>
                <w:color w:val="000000"/>
                <w:sz w:val="20"/>
                <w:szCs w:val="20"/>
                <w:lang w:val="en-US"/>
              </w:rPr>
              <w:t>N/A</w:t>
            </w:r>
          </w:p>
        </w:tc>
        <w:tc>
          <w:tcPr>
            <w:tcW w:w="1138" w:type="dxa"/>
            <w:vAlign w:val="center"/>
          </w:tcPr>
          <w:p w14:paraId="4D4541AF" w14:textId="77777777" w:rsidR="00247311" w:rsidRPr="00F02BC6" w:rsidRDefault="009A1967" w:rsidP="00247311">
            <w:pPr>
              <w:jc w:val="center"/>
              <w:rPr>
                <w:color w:val="000000"/>
                <w:sz w:val="20"/>
                <w:szCs w:val="20"/>
                <w:lang w:val="en-US"/>
              </w:rPr>
            </w:pPr>
            <w:r w:rsidRPr="00F02BC6">
              <w:rPr>
                <w:color w:val="000000"/>
                <w:sz w:val="20"/>
                <w:szCs w:val="20"/>
                <w:lang w:val="en-US"/>
              </w:rPr>
              <w:t>N/A</w:t>
            </w:r>
          </w:p>
        </w:tc>
        <w:tc>
          <w:tcPr>
            <w:tcW w:w="1183" w:type="dxa"/>
            <w:vAlign w:val="center"/>
          </w:tcPr>
          <w:p w14:paraId="74F5B67B" w14:textId="77777777" w:rsidR="00247311" w:rsidRPr="00F02BC6" w:rsidRDefault="009A1967" w:rsidP="00247311">
            <w:pPr>
              <w:jc w:val="center"/>
              <w:rPr>
                <w:color w:val="000000"/>
                <w:sz w:val="20"/>
                <w:szCs w:val="20"/>
                <w:lang w:val="en-US"/>
              </w:rPr>
            </w:pPr>
            <w:r w:rsidRPr="00F02BC6">
              <w:rPr>
                <w:color w:val="000000"/>
                <w:sz w:val="20"/>
                <w:szCs w:val="20"/>
                <w:lang w:val="en-US"/>
              </w:rPr>
              <w:t>Yes</w:t>
            </w:r>
          </w:p>
        </w:tc>
        <w:tc>
          <w:tcPr>
            <w:tcW w:w="1127" w:type="dxa"/>
            <w:vAlign w:val="center"/>
          </w:tcPr>
          <w:p w14:paraId="116679B5" w14:textId="77777777" w:rsidR="00247311" w:rsidRPr="00F02BC6" w:rsidRDefault="009A1967" w:rsidP="00247311">
            <w:pPr>
              <w:jc w:val="center"/>
              <w:rPr>
                <w:color w:val="000000"/>
                <w:sz w:val="20"/>
                <w:szCs w:val="20"/>
                <w:lang w:val="en-US"/>
              </w:rPr>
            </w:pPr>
            <w:r w:rsidRPr="00F02BC6">
              <w:rPr>
                <w:color w:val="000000"/>
                <w:sz w:val="20"/>
                <w:szCs w:val="20"/>
                <w:lang w:val="en-US"/>
              </w:rPr>
              <w:t>Yes</w:t>
            </w:r>
          </w:p>
        </w:tc>
      </w:tr>
      <w:tr w:rsidR="00247311" w:rsidRPr="00F02BC6" w14:paraId="284FF744" w14:textId="77777777" w:rsidTr="00A22C50">
        <w:tc>
          <w:tcPr>
            <w:tcW w:w="925" w:type="dxa"/>
            <w:vAlign w:val="center"/>
          </w:tcPr>
          <w:p w14:paraId="7AEF720D" w14:textId="77777777" w:rsidR="00247311" w:rsidRPr="00F02BC6" w:rsidRDefault="00247311" w:rsidP="00247311">
            <w:pPr>
              <w:rPr>
                <w:color w:val="000000"/>
                <w:sz w:val="20"/>
                <w:szCs w:val="20"/>
                <w:lang w:val="en-US"/>
              </w:rPr>
            </w:pPr>
            <w:r w:rsidRPr="00F02BC6">
              <w:rPr>
                <w:color w:val="000000"/>
                <w:sz w:val="20"/>
                <w:szCs w:val="20"/>
                <w:lang w:val="en-US"/>
              </w:rPr>
              <w:t>Feehan et al (2015)</w:t>
            </w:r>
          </w:p>
        </w:tc>
        <w:tc>
          <w:tcPr>
            <w:tcW w:w="1227" w:type="dxa"/>
            <w:vAlign w:val="center"/>
          </w:tcPr>
          <w:p w14:paraId="4EF749AB" w14:textId="77777777" w:rsidR="00247311" w:rsidRPr="00F02BC6" w:rsidRDefault="00FB622D" w:rsidP="00247311">
            <w:pPr>
              <w:jc w:val="center"/>
              <w:rPr>
                <w:color w:val="000000"/>
                <w:sz w:val="20"/>
                <w:szCs w:val="20"/>
                <w:lang w:val="en-US"/>
              </w:rPr>
            </w:pPr>
            <w:r w:rsidRPr="00F02BC6">
              <w:rPr>
                <w:color w:val="000000"/>
                <w:sz w:val="20"/>
                <w:szCs w:val="20"/>
                <w:lang w:val="en-US"/>
              </w:rPr>
              <w:t>N/A</w:t>
            </w:r>
          </w:p>
        </w:tc>
        <w:tc>
          <w:tcPr>
            <w:tcW w:w="983" w:type="dxa"/>
            <w:vAlign w:val="center"/>
          </w:tcPr>
          <w:p w14:paraId="7FD20327" w14:textId="77777777" w:rsidR="00247311" w:rsidRPr="00F02BC6" w:rsidRDefault="00FB622D" w:rsidP="00247311">
            <w:pPr>
              <w:jc w:val="center"/>
              <w:rPr>
                <w:color w:val="000000"/>
                <w:sz w:val="20"/>
                <w:szCs w:val="20"/>
                <w:lang w:val="en-US"/>
              </w:rPr>
            </w:pPr>
            <w:r w:rsidRPr="00F02BC6">
              <w:rPr>
                <w:color w:val="000000"/>
                <w:sz w:val="20"/>
                <w:szCs w:val="20"/>
                <w:lang w:val="en-US"/>
              </w:rPr>
              <w:t>Yes</w:t>
            </w:r>
          </w:p>
        </w:tc>
        <w:tc>
          <w:tcPr>
            <w:tcW w:w="1227" w:type="dxa"/>
            <w:vAlign w:val="center"/>
          </w:tcPr>
          <w:p w14:paraId="36CFEDCC" w14:textId="77777777" w:rsidR="00247311" w:rsidRPr="00F02BC6" w:rsidRDefault="00FB622D" w:rsidP="00247311">
            <w:pPr>
              <w:jc w:val="center"/>
              <w:rPr>
                <w:color w:val="000000"/>
                <w:sz w:val="20"/>
                <w:szCs w:val="20"/>
                <w:lang w:val="en-US"/>
              </w:rPr>
            </w:pPr>
            <w:r w:rsidRPr="00F02BC6">
              <w:rPr>
                <w:color w:val="000000"/>
                <w:sz w:val="20"/>
                <w:szCs w:val="20"/>
                <w:lang w:val="en-US"/>
              </w:rPr>
              <w:t>No</w:t>
            </w:r>
          </w:p>
        </w:tc>
        <w:tc>
          <w:tcPr>
            <w:tcW w:w="1050" w:type="dxa"/>
            <w:vAlign w:val="center"/>
          </w:tcPr>
          <w:p w14:paraId="61E2840C" w14:textId="77777777" w:rsidR="00247311" w:rsidRPr="00F02BC6" w:rsidRDefault="00FB622D" w:rsidP="00247311">
            <w:pPr>
              <w:jc w:val="center"/>
              <w:rPr>
                <w:color w:val="000000"/>
                <w:sz w:val="20"/>
                <w:szCs w:val="20"/>
                <w:lang w:val="en-US"/>
              </w:rPr>
            </w:pPr>
            <w:r w:rsidRPr="00F02BC6">
              <w:rPr>
                <w:color w:val="000000"/>
                <w:sz w:val="20"/>
                <w:szCs w:val="20"/>
                <w:lang w:val="en-US"/>
              </w:rPr>
              <w:t>No</w:t>
            </w:r>
          </w:p>
        </w:tc>
        <w:tc>
          <w:tcPr>
            <w:tcW w:w="1150" w:type="dxa"/>
            <w:vAlign w:val="center"/>
          </w:tcPr>
          <w:p w14:paraId="49F0B180" w14:textId="77777777" w:rsidR="00247311" w:rsidRPr="00F02BC6" w:rsidRDefault="00FB622D" w:rsidP="00247311">
            <w:pPr>
              <w:jc w:val="center"/>
              <w:rPr>
                <w:color w:val="000000"/>
                <w:sz w:val="20"/>
                <w:szCs w:val="20"/>
                <w:lang w:val="en-US"/>
              </w:rPr>
            </w:pPr>
            <w:r w:rsidRPr="00F02BC6">
              <w:rPr>
                <w:color w:val="000000"/>
                <w:sz w:val="20"/>
                <w:szCs w:val="20"/>
                <w:lang w:val="en-US"/>
              </w:rPr>
              <w:t>Yes</w:t>
            </w:r>
          </w:p>
        </w:tc>
        <w:tc>
          <w:tcPr>
            <w:tcW w:w="983" w:type="dxa"/>
            <w:vAlign w:val="center"/>
          </w:tcPr>
          <w:p w14:paraId="31D65FFB" w14:textId="77777777" w:rsidR="00247311" w:rsidRPr="00F02BC6" w:rsidRDefault="00FB622D" w:rsidP="00247311">
            <w:pPr>
              <w:jc w:val="center"/>
              <w:rPr>
                <w:color w:val="000000"/>
                <w:sz w:val="20"/>
                <w:szCs w:val="20"/>
                <w:lang w:val="en-US"/>
              </w:rPr>
            </w:pPr>
            <w:r w:rsidRPr="00F02BC6">
              <w:rPr>
                <w:color w:val="000000"/>
                <w:sz w:val="20"/>
                <w:szCs w:val="20"/>
                <w:lang w:val="en-US"/>
              </w:rPr>
              <w:t xml:space="preserve"> Yes</w:t>
            </w:r>
          </w:p>
        </w:tc>
        <w:tc>
          <w:tcPr>
            <w:tcW w:w="983" w:type="dxa"/>
            <w:vAlign w:val="center"/>
          </w:tcPr>
          <w:p w14:paraId="082CE9EB" w14:textId="77777777" w:rsidR="00247311" w:rsidRPr="00F02BC6" w:rsidRDefault="00FB622D" w:rsidP="00247311">
            <w:pPr>
              <w:jc w:val="center"/>
              <w:rPr>
                <w:color w:val="000000"/>
                <w:sz w:val="20"/>
                <w:szCs w:val="20"/>
                <w:lang w:val="en-US"/>
              </w:rPr>
            </w:pPr>
            <w:r w:rsidRPr="00F02BC6">
              <w:rPr>
                <w:color w:val="000000"/>
                <w:sz w:val="20"/>
                <w:szCs w:val="20"/>
                <w:lang w:val="en-US"/>
              </w:rPr>
              <w:t>No</w:t>
            </w:r>
          </w:p>
        </w:tc>
        <w:tc>
          <w:tcPr>
            <w:tcW w:w="1138" w:type="dxa"/>
            <w:vAlign w:val="center"/>
          </w:tcPr>
          <w:p w14:paraId="3E1685A8" w14:textId="77777777" w:rsidR="00247311" w:rsidRPr="00F02BC6" w:rsidRDefault="00FB622D" w:rsidP="00247311">
            <w:pPr>
              <w:jc w:val="center"/>
              <w:rPr>
                <w:color w:val="000000"/>
                <w:sz w:val="20"/>
                <w:szCs w:val="20"/>
                <w:lang w:val="en-US"/>
              </w:rPr>
            </w:pPr>
            <w:r w:rsidRPr="00F02BC6">
              <w:rPr>
                <w:color w:val="000000"/>
                <w:sz w:val="20"/>
                <w:szCs w:val="20"/>
                <w:lang w:val="en-US"/>
              </w:rPr>
              <w:t>No</w:t>
            </w:r>
          </w:p>
        </w:tc>
        <w:tc>
          <w:tcPr>
            <w:tcW w:w="1183" w:type="dxa"/>
            <w:vAlign w:val="center"/>
          </w:tcPr>
          <w:p w14:paraId="01125B19" w14:textId="77777777" w:rsidR="00247311" w:rsidRPr="00F02BC6" w:rsidRDefault="00FB622D" w:rsidP="00247311">
            <w:pPr>
              <w:jc w:val="center"/>
              <w:rPr>
                <w:color w:val="000000"/>
                <w:sz w:val="20"/>
                <w:szCs w:val="20"/>
                <w:lang w:val="en-US"/>
              </w:rPr>
            </w:pPr>
            <w:r w:rsidRPr="00F02BC6">
              <w:rPr>
                <w:color w:val="000000"/>
                <w:sz w:val="20"/>
                <w:szCs w:val="20"/>
                <w:lang w:val="en-US"/>
              </w:rPr>
              <w:t>No</w:t>
            </w:r>
          </w:p>
        </w:tc>
        <w:tc>
          <w:tcPr>
            <w:tcW w:w="1127" w:type="dxa"/>
            <w:vAlign w:val="center"/>
          </w:tcPr>
          <w:p w14:paraId="383D7220" w14:textId="77777777" w:rsidR="00247311" w:rsidRPr="00F02BC6" w:rsidRDefault="00FB622D" w:rsidP="00247311">
            <w:pPr>
              <w:jc w:val="center"/>
              <w:rPr>
                <w:color w:val="000000"/>
                <w:sz w:val="20"/>
                <w:szCs w:val="20"/>
                <w:lang w:val="en-US"/>
              </w:rPr>
            </w:pPr>
            <w:r w:rsidRPr="00F02BC6">
              <w:rPr>
                <w:color w:val="000000"/>
                <w:sz w:val="20"/>
                <w:szCs w:val="20"/>
                <w:lang w:val="en-US"/>
              </w:rPr>
              <w:t>Yes</w:t>
            </w:r>
          </w:p>
        </w:tc>
      </w:tr>
      <w:tr w:rsidR="00247311" w:rsidRPr="00F02BC6" w14:paraId="6E18F2D2" w14:textId="77777777" w:rsidTr="00A22C50">
        <w:tc>
          <w:tcPr>
            <w:tcW w:w="925" w:type="dxa"/>
            <w:vAlign w:val="center"/>
          </w:tcPr>
          <w:p w14:paraId="1ECDAF24" w14:textId="77777777" w:rsidR="00247311" w:rsidRPr="00F02BC6" w:rsidRDefault="00247311" w:rsidP="00247311">
            <w:pPr>
              <w:rPr>
                <w:color w:val="000000"/>
                <w:sz w:val="20"/>
                <w:szCs w:val="20"/>
                <w:lang w:val="en-US"/>
              </w:rPr>
            </w:pPr>
            <w:r w:rsidRPr="00F02BC6">
              <w:rPr>
                <w:color w:val="000000"/>
                <w:sz w:val="20"/>
                <w:szCs w:val="20"/>
                <w:lang w:val="en-US"/>
              </w:rPr>
              <w:t>Friedman et al (2010)</w:t>
            </w:r>
          </w:p>
        </w:tc>
        <w:tc>
          <w:tcPr>
            <w:tcW w:w="1227" w:type="dxa"/>
            <w:vAlign w:val="center"/>
          </w:tcPr>
          <w:p w14:paraId="53C4BDD6" w14:textId="77777777" w:rsidR="00247311" w:rsidRPr="00F02BC6" w:rsidRDefault="00D96EC5" w:rsidP="00247311">
            <w:pPr>
              <w:jc w:val="center"/>
              <w:rPr>
                <w:color w:val="000000"/>
                <w:sz w:val="20"/>
                <w:szCs w:val="20"/>
                <w:lang w:val="en-US"/>
              </w:rPr>
            </w:pPr>
            <w:r w:rsidRPr="00F02BC6">
              <w:rPr>
                <w:color w:val="000000"/>
                <w:sz w:val="20"/>
                <w:szCs w:val="20"/>
                <w:lang w:val="en-US"/>
              </w:rPr>
              <w:t>N/A</w:t>
            </w:r>
          </w:p>
        </w:tc>
        <w:tc>
          <w:tcPr>
            <w:tcW w:w="983" w:type="dxa"/>
            <w:vAlign w:val="center"/>
          </w:tcPr>
          <w:p w14:paraId="3DB398B4" w14:textId="77777777" w:rsidR="00247311" w:rsidRPr="00F02BC6" w:rsidRDefault="00D96EC5" w:rsidP="00247311">
            <w:pPr>
              <w:jc w:val="center"/>
              <w:rPr>
                <w:color w:val="000000"/>
                <w:sz w:val="20"/>
                <w:szCs w:val="20"/>
                <w:lang w:val="en-US"/>
              </w:rPr>
            </w:pPr>
            <w:r w:rsidRPr="00F02BC6">
              <w:rPr>
                <w:color w:val="000000"/>
                <w:sz w:val="20"/>
                <w:szCs w:val="20"/>
                <w:lang w:val="en-US"/>
              </w:rPr>
              <w:t>Yes</w:t>
            </w:r>
          </w:p>
        </w:tc>
        <w:tc>
          <w:tcPr>
            <w:tcW w:w="1227" w:type="dxa"/>
            <w:vAlign w:val="center"/>
          </w:tcPr>
          <w:p w14:paraId="2DF602B0" w14:textId="77777777" w:rsidR="00247311" w:rsidRPr="00F02BC6" w:rsidRDefault="00D96EC5" w:rsidP="00247311">
            <w:pPr>
              <w:jc w:val="center"/>
              <w:rPr>
                <w:color w:val="000000"/>
                <w:sz w:val="20"/>
                <w:szCs w:val="20"/>
                <w:lang w:val="en-US"/>
              </w:rPr>
            </w:pPr>
            <w:r w:rsidRPr="00F02BC6">
              <w:rPr>
                <w:color w:val="000000"/>
                <w:sz w:val="20"/>
                <w:szCs w:val="20"/>
                <w:lang w:val="en-US"/>
              </w:rPr>
              <w:t>Yes</w:t>
            </w:r>
          </w:p>
        </w:tc>
        <w:tc>
          <w:tcPr>
            <w:tcW w:w="1050" w:type="dxa"/>
            <w:vAlign w:val="center"/>
          </w:tcPr>
          <w:p w14:paraId="51D1F6D9" w14:textId="77777777" w:rsidR="00247311" w:rsidRPr="00F02BC6" w:rsidRDefault="00D96EC5" w:rsidP="00247311">
            <w:pPr>
              <w:jc w:val="center"/>
              <w:rPr>
                <w:color w:val="000000"/>
                <w:sz w:val="20"/>
                <w:szCs w:val="20"/>
                <w:lang w:val="en-US"/>
              </w:rPr>
            </w:pPr>
            <w:r w:rsidRPr="00F02BC6">
              <w:rPr>
                <w:color w:val="000000"/>
                <w:sz w:val="20"/>
                <w:szCs w:val="20"/>
                <w:lang w:val="en-US"/>
              </w:rPr>
              <w:t>Yes</w:t>
            </w:r>
          </w:p>
        </w:tc>
        <w:tc>
          <w:tcPr>
            <w:tcW w:w="1150" w:type="dxa"/>
            <w:vAlign w:val="center"/>
          </w:tcPr>
          <w:p w14:paraId="7EF7C5A9" w14:textId="77777777" w:rsidR="00247311" w:rsidRPr="00F02BC6" w:rsidRDefault="00D96EC5" w:rsidP="00247311">
            <w:pPr>
              <w:jc w:val="center"/>
              <w:rPr>
                <w:color w:val="000000"/>
                <w:sz w:val="20"/>
                <w:szCs w:val="20"/>
                <w:lang w:val="en-US"/>
              </w:rPr>
            </w:pPr>
            <w:r w:rsidRPr="00F02BC6">
              <w:rPr>
                <w:color w:val="000000"/>
                <w:sz w:val="20"/>
                <w:szCs w:val="20"/>
                <w:lang w:val="en-US"/>
              </w:rPr>
              <w:t>Yes</w:t>
            </w:r>
          </w:p>
        </w:tc>
        <w:tc>
          <w:tcPr>
            <w:tcW w:w="983" w:type="dxa"/>
            <w:vAlign w:val="center"/>
          </w:tcPr>
          <w:p w14:paraId="0266D4A4" w14:textId="77777777" w:rsidR="00247311" w:rsidRPr="00F02BC6" w:rsidRDefault="00D96EC5" w:rsidP="00247311">
            <w:pPr>
              <w:jc w:val="center"/>
              <w:rPr>
                <w:color w:val="000000"/>
                <w:sz w:val="20"/>
                <w:szCs w:val="20"/>
                <w:lang w:val="en-US"/>
              </w:rPr>
            </w:pPr>
            <w:r w:rsidRPr="00F02BC6">
              <w:rPr>
                <w:color w:val="000000"/>
                <w:sz w:val="20"/>
                <w:szCs w:val="20"/>
                <w:lang w:val="en-US"/>
              </w:rPr>
              <w:t>Yes</w:t>
            </w:r>
          </w:p>
        </w:tc>
        <w:tc>
          <w:tcPr>
            <w:tcW w:w="983" w:type="dxa"/>
            <w:vAlign w:val="center"/>
          </w:tcPr>
          <w:p w14:paraId="3DF84EF3" w14:textId="77777777" w:rsidR="00247311" w:rsidRPr="00F02BC6" w:rsidRDefault="00D96EC5" w:rsidP="00247311">
            <w:pPr>
              <w:jc w:val="center"/>
              <w:rPr>
                <w:color w:val="000000"/>
                <w:sz w:val="20"/>
                <w:szCs w:val="20"/>
                <w:lang w:val="en-US"/>
              </w:rPr>
            </w:pPr>
            <w:r w:rsidRPr="00F02BC6">
              <w:rPr>
                <w:color w:val="000000"/>
                <w:sz w:val="20"/>
                <w:szCs w:val="20"/>
                <w:lang w:val="en-US"/>
              </w:rPr>
              <w:t>N/A</w:t>
            </w:r>
          </w:p>
        </w:tc>
        <w:tc>
          <w:tcPr>
            <w:tcW w:w="1138" w:type="dxa"/>
            <w:vAlign w:val="center"/>
          </w:tcPr>
          <w:p w14:paraId="79F9A308" w14:textId="77777777" w:rsidR="00247311" w:rsidRPr="00F02BC6" w:rsidRDefault="00D96EC5" w:rsidP="00247311">
            <w:pPr>
              <w:jc w:val="center"/>
              <w:rPr>
                <w:color w:val="000000"/>
                <w:sz w:val="20"/>
                <w:szCs w:val="20"/>
                <w:lang w:val="en-US"/>
              </w:rPr>
            </w:pPr>
            <w:r w:rsidRPr="00F02BC6">
              <w:rPr>
                <w:color w:val="000000"/>
                <w:sz w:val="20"/>
                <w:szCs w:val="20"/>
                <w:lang w:val="en-US"/>
              </w:rPr>
              <w:t>N/A</w:t>
            </w:r>
          </w:p>
        </w:tc>
        <w:tc>
          <w:tcPr>
            <w:tcW w:w="1183" w:type="dxa"/>
            <w:vAlign w:val="center"/>
          </w:tcPr>
          <w:p w14:paraId="78F06A2E" w14:textId="77777777" w:rsidR="00247311" w:rsidRPr="00F02BC6" w:rsidRDefault="00D96EC5" w:rsidP="00247311">
            <w:pPr>
              <w:jc w:val="center"/>
              <w:rPr>
                <w:color w:val="000000"/>
                <w:sz w:val="20"/>
                <w:szCs w:val="20"/>
                <w:lang w:val="en-US"/>
              </w:rPr>
            </w:pPr>
            <w:r w:rsidRPr="00F02BC6">
              <w:rPr>
                <w:color w:val="000000"/>
                <w:sz w:val="20"/>
                <w:szCs w:val="20"/>
                <w:lang w:val="en-US"/>
              </w:rPr>
              <w:t>unclear</w:t>
            </w:r>
          </w:p>
        </w:tc>
        <w:tc>
          <w:tcPr>
            <w:tcW w:w="1127" w:type="dxa"/>
            <w:vAlign w:val="center"/>
          </w:tcPr>
          <w:p w14:paraId="3A2665B7" w14:textId="77777777" w:rsidR="00247311" w:rsidRPr="00F02BC6" w:rsidRDefault="00D96EC5" w:rsidP="00247311">
            <w:pPr>
              <w:jc w:val="center"/>
              <w:rPr>
                <w:color w:val="000000"/>
                <w:sz w:val="20"/>
                <w:szCs w:val="20"/>
                <w:lang w:val="en-US"/>
              </w:rPr>
            </w:pPr>
            <w:r w:rsidRPr="00F02BC6">
              <w:rPr>
                <w:color w:val="000000"/>
                <w:sz w:val="20"/>
                <w:szCs w:val="20"/>
                <w:lang w:val="en-US"/>
              </w:rPr>
              <w:t>Yes</w:t>
            </w:r>
          </w:p>
        </w:tc>
      </w:tr>
      <w:tr w:rsidR="00474605" w:rsidRPr="00F02BC6" w14:paraId="7B86DD00" w14:textId="77777777" w:rsidTr="00A22C50">
        <w:tc>
          <w:tcPr>
            <w:tcW w:w="925" w:type="dxa"/>
            <w:vAlign w:val="center"/>
          </w:tcPr>
          <w:p w14:paraId="273C5A77" w14:textId="33210A27" w:rsidR="00474605" w:rsidRPr="00F02BC6" w:rsidRDefault="00474605" w:rsidP="00474605">
            <w:pPr>
              <w:rPr>
                <w:color w:val="000000"/>
                <w:sz w:val="20"/>
                <w:szCs w:val="20"/>
                <w:lang w:val="en-US"/>
              </w:rPr>
            </w:pPr>
            <w:proofErr w:type="spellStart"/>
            <w:r w:rsidRPr="00F02BC6">
              <w:rPr>
                <w:color w:val="000000"/>
                <w:sz w:val="20"/>
                <w:szCs w:val="20"/>
                <w:lang w:val="en-US"/>
              </w:rPr>
              <w:t>Gelzer</w:t>
            </w:r>
            <w:proofErr w:type="spellEnd"/>
            <w:r w:rsidRPr="00F02BC6">
              <w:rPr>
                <w:color w:val="000000"/>
                <w:sz w:val="20"/>
                <w:szCs w:val="20"/>
                <w:lang w:val="en-US"/>
              </w:rPr>
              <w:t xml:space="preserve"> et al (2019)</w:t>
            </w:r>
          </w:p>
        </w:tc>
        <w:tc>
          <w:tcPr>
            <w:tcW w:w="1227" w:type="dxa"/>
            <w:vAlign w:val="center"/>
          </w:tcPr>
          <w:p w14:paraId="51675BF9" w14:textId="5E16746D"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05404A02" w14:textId="1E7D5204"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227" w:type="dxa"/>
            <w:vAlign w:val="center"/>
          </w:tcPr>
          <w:p w14:paraId="0E63ED72" w14:textId="48C023D1"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050" w:type="dxa"/>
            <w:vAlign w:val="center"/>
          </w:tcPr>
          <w:p w14:paraId="2A98E32A" w14:textId="0E2AE3E4"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50" w:type="dxa"/>
            <w:vAlign w:val="center"/>
          </w:tcPr>
          <w:p w14:paraId="464F974D" w14:textId="1E7568F0"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766C4507" w14:textId="19478121"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32A11880" w14:textId="67317C78"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38" w:type="dxa"/>
            <w:vAlign w:val="center"/>
          </w:tcPr>
          <w:p w14:paraId="6935C32F" w14:textId="7080EB3F"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83" w:type="dxa"/>
            <w:vAlign w:val="center"/>
          </w:tcPr>
          <w:p w14:paraId="4E8DD65D" w14:textId="1CCDC00F"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27" w:type="dxa"/>
            <w:vAlign w:val="center"/>
          </w:tcPr>
          <w:p w14:paraId="32658407" w14:textId="1C4DAFC8" w:rsidR="00474605" w:rsidRPr="00F02BC6" w:rsidRDefault="00474605" w:rsidP="00474605">
            <w:pPr>
              <w:jc w:val="center"/>
              <w:rPr>
                <w:color w:val="000000"/>
                <w:sz w:val="20"/>
                <w:szCs w:val="20"/>
                <w:lang w:val="en-US"/>
              </w:rPr>
            </w:pPr>
            <w:r w:rsidRPr="00F02BC6">
              <w:rPr>
                <w:color w:val="000000"/>
                <w:sz w:val="20"/>
                <w:szCs w:val="20"/>
                <w:lang w:val="en-US"/>
              </w:rPr>
              <w:t>Yes</w:t>
            </w:r>
          </w:p>
        </w:tc>
      </w:tr>
      <w:tr w:rsidR="00474605" w:rsidRPr="00F02BC6" w14:paraId="226C7FDE" w14:textId="77777777" w:rsidTr="00A22C50">
        <w:tc>
          <w:tcPr>
            <w:tcW w:w="925" w:type="dxa"/>
            <w:vAlign w:val="center"/>
          </w:tcPr>
          <w:p w14:paraId="4E285E38" w14:textId="77777777" w:rsidR="00474605" w:rsidRPr="00F02BC6" w:rsidRDefault="00474605" w:rsidP="00474605">
            <w:pPr>
              <w:rPr>
                <w:color w:val="000000"/>
                <w:sz w:val="20"/>
                <w:szCs w:val="20"/>
                <w:lang w:val="en-US"/>
              </w:rPr>
            </w:pPr>
            <w:r w:rsidRPr="00F02BC6">
              <w:rPr>
                <w:color w:val="000000"/>
                <w:sz w:val="20"/>
                <w:szCs w:val="20"/>
                <w:lang w:val="en-US"/>
              </w:rPr>
              <w:t>Guo et al (2012)</w:t>
            </w:r>
          </w:p>
        </w:tc>
        <w:tc>
          <w:tcPr>
            <w:tcW w:w="1227" w:type="dxa"/>
            <w:vAlign w:val="center"/>
          </w:tcPr>
          <w:p w14:paraId="7DB374F7" w14:textId="77777777" w:rsidR="00474605" w:rsidRPr="00F02BC6" w:rsidRDefault="00474605" w:rsidP="00474605">
            <w:pPr>
              <w:jc w:val="center"/>
              <w:rPr>
                <w:color w:val="000000"/>
                <w:sz w:val="20"/>
                <w:szCs w:val="20"/>
                <w:lang w:val="en-US"/>
              </w:rPr>
            </w:pPr>
            <w:r w:rsidRPr="00F02BC6">
              <w:rPr>
                <w:color w:val="000000"/>
                <w:sz w:val="20"/>
                <w:szCs w:val="20"/>
                <w:lang w:val="en-US"/>
              </w:rPr>
              <w:t>N/A</w:t>
            </w:r>
          </w:p>
        </w:tc>
        <w:tc>
          <w:tcPr>
            <w:tcW w:w="983" w:type="dxa"/>
            <w:vAlign w:val="center"/>
          </w:tcPr>
          <w:p w14:paraId="689B13C6"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227" w:type="dxa"/>
            <w:vAlign w:val="center"/>
          </w:tcPr>
          <w:p w14:paraId="20529070"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050" w:type="dxa"/>
            <w:vAlign w:val="center"/>
          </w:tcPr>
          <w:p w14:paraId="1A7BD5AF"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50" w:type="dxa"/>
            <w:vAlign w:val="center"/>
          </w:tcPr>
          <w:p w14:paraId="1BC14882"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610763F7"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7392D22B"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38" w:type="dxa"/>
            <w:vAlign w:val="center"/>
          </w:tcPr>
          <w:p w14:paraId="6295BAD9"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83" w:type="dxa"/>
            <w:vAlign w:val="center"/>
          </w:tcPr>
          <w:p w14:paraId="252E0128"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27" w:type="dxa"/>
            <w:vAlign w:val="center"/>
          </w:tcPr>
          <w:p w14:paraId="70EF2BB4"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r>
      <w:tr w:rsidR="00474605" w:rsidRPr="00F02BC6" w14:paraId="0C165A55" w14:textId="77777777" w:rsidTr="00A22C50">
        <w:tc>
          <w:tcPr>
            <w:tcW w:w="925" w:type="dxa"/>
            <w:vAlign w:val="center"/>
          </w:tcPr>
          <w:p w14:paraId="37723BA5" w14:textId="77777777" w:rsidR="00474605" w:rsidRPr="00F02BC6" w:rsidRDefault="00474605" w:rsidP="00474605">
            <w:pPr>
              <w:rPr>
                <w:color w:val="000000"/>
                <w:sz w:val="20"/>
                <w:szCs w:val="20"/>
                <w:lang w:val="en-US"/>
              </w:rPr>
            </w:pPr>
            <w:r w:rsidRPr="00F02BC6">
              <w:rPr>
                <w:color w:val="000000"/>
                <w:sz w:val="20"/>
                <w:szCs w:val="20"/>
                <w:lang w:val="en-US"/>
              </w:rPr>
              <w:t>Hagiwara et al (2013)</w:t>
            </w:r>
          </w:p>
        </w:tc>
        <w:tc>
          <w:tcPr>
            <w:tcW w:w="1227" w:type="dxa"/>
            <w:vAlign w:val="center"/>
          </w:tcPr>
          <w:p w14:paraId="3466F42C" w14:textId="77777777" w:rsidR="00474605" w:rsidRPr="00F02BC6" w:rsidRDefault="00474605" w:rsidP="00474605">
            <w:pPr>
              <w:jc w:val="center"/>
              <w:rPr>
                <w:color w:val="000000"/>
                <w:sz w:val="20"/>
                <w:szCs w:val="20"/>
                <w:lang w:val="en-US"/>
              </w:rPr>
            </w:pPr>
            <w:r w:rsidRPr="00F02BC6">
              <w:rPr>
                <w:color w:val="000000"/>
                <w:sz w:val="20"/>
                <w:szCs w:val="20"/>
                <w:lang w:val="en-US"/>
              </w:rPr>
              <w:t>N/A</w:t>
            </w:r>
          </w:p>
        </w:tc>
        <w:tc>
          <w:tcPr>
            <w:tcW w:w="983" w:type="dxa"/>
            <w:vAlign w:val="center"/>
          </w:tcPr>
          <w:p w14:paraId="6CB1FD8B"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227" w:type="dxa"/>
            <w:vAlign w:val="center"/>
          </w:tcPr>
          <w:p w14:paraId="0358BB3B"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050" w:type="dxa"/>
            <w:vAlign w:val="center"/>
          </w:tcPr>
          <w:p w14:paraId="7E13721D"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50" w:type="dxa"/>
            <w:vAlign w:val="center"/>
          </w:tcPr>
          <w:p w14:paraId="4B0DBEC4"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695C4555"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13DCCFCF"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38" w:type="dxa"/>
            <w:vAlign w:val="center"/>
          </w:tcPr>
          <w:p w14:paraId="191CEA54"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83" w:type="dxa"/>
            <w:vAlign w:val="center"/>
          </w:tcPr>
          <w:p w14:paraId="05565FDA" w14:textId="77777777"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27" w:type="dxa"/>
            <w:vAlign w:val="center"/>
          </w:tcPr>
          <w:p w14:paraId="5DA7DEAC"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r>
      <w:tr w:rsidR="00474605" w:rsidRPr="00F02BC6" w14:paraId="06E0A324" w14:textId="77777777" w:rsidTr="00A22C50">
        <w:tc>
          <w:tcPr>
            <w:tcW w:w="925" w:type="dxa"/>
            <w:vAlign w:val="center"/>
          </w:tcPr>
          <w:p w14:paraId="50942D4B" w14:textId="77777777" w:rsidR="00474605" w:rsidRPr="00F02BC6" w:rsidRDefault="00474605" w:rsidP="00474605">
            <w:pPr>
              <w:rPr>
                <w:color w:val="000000"/>
                <w:sz w:val="20"/>
                <w:szCs w:val="20"/>
                <w:lang w:val="en-US"/>
              </w:rPr>
            </w:pPr>
            <w:proofErr w:type="spellStart"/>
            <w:r w:rsidRPr="00F02BC6">
              <w:rPr>
                <w:color w:val="000000"/>
                <w:sz w:val="20"/>
                <w:szCs w:val="20"/>
                <w:lang w:val="en-US"/>
              </w:rPr>
              <w:t>Hardstock</w:t>
            </w:r>
            <w:proofErr w:type="spellEnd"/>
            <w:r w:rsidRPr="00F02BC6">
              <w:rPr>
                <w:color w:val="000000"/>
                <w:sz w:val="20"/>
                <w:szCs w:val="20"/>
                <w:lang w:val="en-US"/>
              </w:rPr>
              <w:t xml:space="preserve"> et al (2019)</w:t>
            </w:r>
          </w:p>
        </w:tc>
        <w:tc>
          <w:tcPr>
            <w:tcW w:w="1227" w:type="dxa"/>
            <w:vAlign w:val="center"/>
          </w:tcPr>
          <w:p w14:paraId="5F9A7BD9" w14:textId="77777777" w:rsidR="00474605" w:rsidRPr="00F02BC6" w:rsidRDefault="00474605" w:rsidP="00474605">
            <w:pPr>
              <w:jc w:val="center"/>
              <w:rPr>
                <w:color w:val="000000"/>
                <w:sz w:val="20"/>
                <w:szCs w:val="20"/>
                <w:lang w:val="en-US"/>
              </w:rPr>
            </w:pPr>
            <w:r w:rsidRPr="00F02BC6">
              <w:rPr>
                <w:color w:val="000000"/>
                <w:sz w:val="20"/>
                <w:szCs w:val="20"/>
                <w:lang w:val="en-US"/>
              </w:rPr>
              <w:t>N/A</w:t>
            </w:r>
          </w:p>
        </w:tc>
        <w:tc>
          <w:tcPr>
            <w:tcW w:w="983" w:type="dxa"/>
            <w:vAlign w:val="center"/>
          </w:tcPr>
          <w:p w14:paraId="448E195C"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227" w:type="dxa"/>
            <w:vAlign w:val="center"/>
          </w:tcPr>
          <w:p w14:paraId="1A6FBCFC" w14:textId="77777777"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050" w:type="dxa"/>
            <w:vAlign w:val="center"/>
          </w:tcPr>
          <w:p w14:paraId="4BB1CBDD" w14:textId="77777777"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50" w:type="dxa"/>
            <w:vAlign w:val="center"/>
          </w:tcPr>
          <w:p w14:paraId="7EE6BF96"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7550E9AE" w14:textId="77777777"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983" w:type="dxa"/>
            <w:vAlign w:val="center"/>
          </w:tcPr>
          <w:p w14:paraId="3C21B2B8" w14:textId="77777777"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38" w:type="dxa"/>
            <w:vAlign w:val="center"/>
          </w:tcPr>
          <w:p w14:paraId="73D21615" w14:textId="77777777"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83" w:type="dxa"/>
            <w:vAlign w:val="center"/>
          </w:tcPr>
          <w:p w14:paraId="5DA60A47" w14:textId="77777777"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27" w:type="dxa"/>
            <w:vAlign w:val="center"/>
          </w:tcPr>
          <w:p w14:paraId="45E5404D"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r>
      <w:tr w:rsidR="00474605" w:rsidRPr="00F02BC6" w14:paraId="004B296C" w14:textId="77777777" w:rsidTr="00A22C50">
        <w:tc>
          <w:tcPr>
            <w:tcW w:w="925" w:type="dxa"/>
            <w:vAlign w:val="center"/>
          </w:tcPr>
          <w:p w14:paraId="72DF5565" w14:textId="77777777" w:rsidR="00474605" w:rsidRPr="00F02BC6" w:rsidRDefault="00474605" w:rsidP="00474605">
            <w:pPr>
              <w:rPr>
                <w:color w:val="000000"/>
                <w:sz w:val="20"/>
                <w:szCs w:val="20"/>
                <w:lang w:val="en-US"/>
              </w:rPr>
            </w:pPr>
            <w:proofErr w:type="spellStart"/>
            <w:r w:rsidRPr="00F02BC6">
              <w:rPr>
                <w:color w:val="000000"/>
                <w:sz w:val="20"/>
                <w:szCs w:val="20"/>
                <w:lang w:val="en-US"/>
              </w:rPr>
              <w:t>Ismaila</w:t>
            </w:r>
            <w:proofErr w:type="spellEnd"/>
            <w:r w:rsidRPr="00F02BC6">
              <w:rPr>
                <w:color w:val="000000"/>
                <w:sz w:val="20"/>
                <w:szCs w:val="20"/>
                <w:lang w:val="en-US"/>
              </w:rPr>
              <w:t xml:space="preserve"> et al (2014)</w:t>
            </w:r>
          </w:p>
        </w:tc>
        <w:tc>
          <w:tcPr>
            <w:tcW w:w="1227" w:type="dxa"/>
            <w:vAlign w:val="center"/>
          </w:tcPr>
          <w:p w14:paraId="7CDC022B" w14:textId="77777777" w:rsidR="00474605" w:rsidRPr="00F02BC6" w:rsidRDefault="00474605" w:rsidP="00474605">
            <w:pPr>
              <w:jc w:val="center"/>
              <w:rPr>
                <w:color w:val="000000"/>
                <w:sz w:val="20"/>
                <w:szCs w:val="20"/>
                <w:lang w:val="en-US"/>
              </w:rPr>
            </w:pPr>
            <w:r w:rsidRPr="00F02BC6">
              <w:rPr>
                <w:color w:val="000000"/>
                <w:sz w:val="20"/>
                <w:szCs w:val="20"/>
                <w:lang w:val="en-US"/>
              </w:rPr>
              <w:t>N/A</w:t>
            </w:r>
          </w:p>
        </w:tc>
        <w:tc>
          <w:tcPr>
            <w:tcW w:w="983" w:type="dxa"/>
            <w:vAlign w:val="center"/>
          </w:tcPr>
          <w:p w14:paraId="1F4C1CD7"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227" w:type="dxa"/>
            <w:vAlign w:val="center"/>
          </w:tcPr>
          <w:p w14:paraId="45FB2944"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050" w:type="dxa"/>
            <w:vAlign w:val="center"/>
          </w:tcPr>
          <w:p w14:paraId="4F6AE247"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50" w:type="dxa"/>
            <w:vAlign w:val="center"/>
          </w:tcPr>
          <w:p w14:paraId="5277B00F"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54AA095D"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1A360D6E"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38" w:type="dxa"/>
            <w:vAlign w:val="center"/>
          </w:tcPr>
          <w:p w14:paraId="26ADE3DE"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83" w:type="dxa"/>
            <w:vAlign w:val="center"/>
          </w:tcPr>
          <w:p w14:paraId="780B8A3F"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27" w:type="dxa"/>
            <w:vAlign w:val="center"/>
          </w:tcPr>
          <w:p w14:paraId="6DC3817A"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r>
      <w:tr w:rsidR="00474605" w:rsidRPr="00F02BC6" w14:paraId="76115C5C" w14:textId="77777777" w:rsidTr="00A22C50">
        <w:tc>
          <w:tcPr>
            <w:tcW w:w="925" w:type="dxa"/>
            <w:vAlign w:val="center"/>
          </w:tcPr>
          <w:p w14:paraId="5E80D0B3" w14:textId="77777777" w:rsidR="00474605" w:rsidRPr="00F02BC6" w:rsidRDefault="00474605" w:rsidP="00474605">
            <w:pPr>
              <w:rPr>
                <w:color w:val="000000"/>
                <w:sz w:val="20"/>
                <w:szCs w:val="20"/>
                <w:lang w:val="en-US"/>
              </w:rPr>
            </w:pPr>
            <w:r w:rsidRPr="00F02BC6">
              <w:rPr>
                <w:color w:val="000000"/>
                <w:sz w:val="20"/>
                <w:szCs w:val="20"/>
                <w:lang w:val="en-US"/>
              </w:rPr>
              <w:t>Kang et al (2017)</w:t>
            </w:r>
          </w:p>
        </w:tc>
        <w:tc>
          <w:tcPr>
            <w:tcW w:w="1227" w:type="dxa"/>
            <w:vAlign w:val="center"/>
          </w:tcPr>
          <w:p w14:paraId="0ED35346" w14:textId="77777777" w:rsidR="00474605" w:rsidRPr="00F02BC6" w:rsidRDefault="00474605" w:rsidP="00474605">
            <w:pPr>
              <w:jc w:val="center"/>
              <w:rPr>
                <w:color w:val="000000"/>
                <w:sz w:val="20"/>
                <w:szCs w:val="20"/>
                <w:lang w:val="en-US"/>
              </w:rPr>
            </w:pPr>
            <w:r w:rsidRPr="00F02BC6">
              <w:rPr>
                <w:color w:val="000000"/>
                <w:sz w:val="20"/>
                <w:szCs w:val="20"/>
                <w:lang w:val="en-US"/>
              </w:rPr>
              <w:t>N/A</w:t>
            </w:r>
          </w:p>
        </w:tc>
        <w:tc>
          <w:tcPr>
            <w:tcW w:w="983" w:type="dxa"/>
            <w:vAlign w:val="center"/>
          </w:tcPr>
          <w:p w14:paraId="5C2E6A09"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227" w:type="dxa"/>
            <w:vAlign w:val="center"/>
          </w:tcPr>
          <w:p w14:paraId="7BA6D1A7"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050" w:type="dxa"/>
            <w:vAlign w:val="center"/>
          </w:tcPr>
          <w:p w14:paraId="49C5F392"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50" w:type="dxa"/>
            <w:vAlign w:val="center"/>
          </w:tcPr>
          <w:p w14:paraId="4A1E0447"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7C96E245"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43736009" w14:textId="77777777"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38" w:type="dxa"/>
            <w:vAlign w:val="center"/>
          </w:tcPr>
          <w:p w14:paraId="3C38138F" w14:textId="77777777"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83" w:type="dxa"/>
            <w:vAlign w:val="center"/>
          </w:tcPr>
          <w:p w14:paraId="4E532A11" w14:textId="77777777"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27" w:type="dxa"/>
            <w:vAlign w:val="center"/>
          </w:tcPr>
          <w:p w14:paraId="6781B533"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r>
      <w:tr w:rsidR="00474605" w:rsidRPr="00F02BC6" w14:paraId="3DF27797" w14:textId="77777777" w:rsidTr="00A22C50">
        <w:tc>
          <w:tcPr>
            <w:tcW w:w="925" w:type="dxa"/>
            <w:vAlign w:val="center"/>
          </w:tcPr>
          <w:p w14:paraId="131138C6" w14:textId="77777777" w:rsidR="00474605" w:rsidRPr="00F02BC6" w:rsidRDefault="00474605" w:rsidP="00474605">
            <w:pPr>
              <w:rPr>
                <w:color w:val="000000"/>
                <w:sz w:val="20"/>
                <w:szCs w:val="20"/>
                <w:lang w:val="en-US"/>
              </w:rPr>
            </w:pPr>
            <w:proofErr w:type="spellStart"/>
            <w:r w:rsidRPr="00F02BC6">
              <w:rPr>
                <w:color w:val="000000"/>
                <w:sz w:val="20"/>
                <w:szCs w:val="20"/>
                <w:lang w:val="en-US"/>
              </w:rPr>
              <w:t>Kelloway</w:t>
            </w:r>
            <w:proofErr w:type="spellEnd"/>
            <w:r w:rsidRPr="00F02BC6">
              <w:rPr>
                <w:color w:val="000000"/>
                <w:sz w:val="20"/>
                <w:szCs w:val="20"/>
                <w:lang w:val="en-US"/>
              </w:rPr>
              <w:t xml:space="preserve"> et al (2000)</w:t>
            </w:r>
          </w:p>
        </w:tc>
        <w:tc>
          <w:tcPr>
            <w:tcW w:w="1227" w:type="dxa"/>
            <w:vAlign w:val="center"/>
          </w:tcPr>
          <w:p w14:paraId="16BBC771" w14:textId="77777777" w:rsidR="00474605" w:rsidRPr="00F02BC6" w:rsidRDefault="00474605" w:rsidP="00474605">
            <w:pPr>
              <w:jc w:val="center"/>
              <w:rPr>
                <w:color w:val="000000"/>
                <w:sz w:val="20"/>
                <w:szCs w:val="20"/>
                <w:lang w:val="en-US"/>
              </w:rPr>
            </w:pPr>
            <w:r w:rsidRPr="00F02BC6">
              <w:rPr>
                <w:color w:val="000000"/>
                <w:sz w:val="20"/>
                <w:szCs w:val="20"/>
                <w:lang w:val="en-US"/>
              </w:rPr>
              <w:t>N/A</w:t>
            </w:r>
          </w:p>
        </w:tc>
        <w:tc>
          <w:tcPr>
            <w:tcW w:w="983" w:type="dxa"/>
            <w:vAlign w:val="center"/>
          </w:tcPr>
          <w:p w14:paraId="3CDF06C7"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227" w:type="dxa"/>
            <w:vAlign w:val="center"/>
          </w:tcPr>
          <w:p w14:paraId="5313DA22" w14:textId="77777777"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050" w:type="dxa"/>
            <w:vAlign w:val="center"/>
          </w:tcPr>
          <w:p w14:paraId="3BA41C06" w14:textId="77777777"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50" w:type="dxa"/>
            <w:vAlign w:val="center"/>
          </w:tcPr>
          <w:p w14:paraId="21D3EB92"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5A010E43" w14:textId="7777777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758D1274" w14:textId="77777777" w:rsidR="00474605" w:rsidRPr="00F02BC6" w:rsidRDefault="00474605" w:rsidP="00474605">
            <w:pPr>
              <w:jc w:val="center"/>
              <w:rPr>
                <w:color w:val="000000"/>
                <w:sz w:val="20"/>
                <w:szCs w:val="20"/>
                <w:lang w:val="en-US"/>
              </w:rPr>
            </w:pPr>
            <w:r w:rsidRPr="00F02BC6">
              <w:rPr>
                <w:color w:val="000000"/>
                <w:sz w:val="20"/>
                <w:szCs w:val="20"/>
                <w:lang w:val="en-US"/>
              </w:rPr>
              <w:t>Probably yes</w:t>
            </w:r>
          </w:p>
        </w:tc>
        <w:tc>
          <w:tcPr>
            <w:tcW w:w="1138" w:type="dxa"/>
            <w:vAlign w:val="center"/>
          </w:tcPr>
          <w:p w14:paraId="4009DE7B" w14:textId="77777777"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83" w:type="dxa"/>
            <w:vAlign w:val="center"/>
          </w:tcPr>
          <w:p w14:paraId="55A8F5B7" w14:textId="77777777"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27" w:type="dxa"/>
            <w:vAlign w:val="center"/>
          </w:tcPr>
          <w:p w14:paraId="4DE74FF0" w14:textId="77777777" w:rsidR="00474605" w:rsidRPr="00F02BC6" w:rsidRDefault="00474605" w:rsidP="00474605">
            <w:pPr>
              <w:jc w:val="center"/>
              <w:rPr>
                <w:color w:val="000000"/>
                <w:sz w:val="20"/>
                <w:szCs w:val="20"/>
                <w:lang w:val="en-US"/>
              </w:rPr>
            </w:pPr>
            <w:r w:rsidRPr="00F02BC6">
              <w:rPr>
                <w:color w:val="000000"/>
                <w:sz w:val="20"/>
                <w:szCs w:val="20"/>
                <w:lang w:val="en-US"/>
              </w:rPr>
              <w:t>No</w:t>
            </w:r>
          </w:p>
        </w:tc>
      </w:tr>
      <w:tr w:rsidR="00474605" w:rsidRPr="00F02BC6" w14:paraId="7A025B25" w14:textId="77777777" w:rsidTr="00A22C50">
        <w:tc>
          <w:tcPr>
            <w:tcW w:w="925" w:type="dxa"/>
            <w:vAlign w:val="center"/>
          </w:tcPr>
          <w:p w14:paraId="3471A73F" w14:textId="77777777" w:rsidR="00474605" w:rsidRPr="00F02BC6" w:rsidRDefault="00474605" w:rsidP="00474605">
            <w:pPr>
              <w:rPr>
                <w:color w:val="000000"/>
                <w:sz w:val="20"/>
                <w:szCs w:val="20"/>
                <w:lang w:val="en-US"/>
              </w:rPr>
            </w:pPr>
            <w:proofErr w:type="spellStart"/>
            <w:r w:rsidRPr="00F02BC6">
              <w:rPr>
                <w:color w:val="000000"/>
                <w:sz w:val="20"/>
                <w:szCs w:val="20"/>
                <w:lang w:val="en-US"/>
              </w:rPr>
              <w:t>Makhinova</w:t>
            </w:r>
            <w:proofErr w:type="spellEnd"/>
            <w:r w:rsidRPr="00F02BC6">
              <w:rPr>
                <w:color w:val="000000"/>
                <w:sz w:val="20"/>
                <w:szCs w:val="20"/>
                <w:lang w:val="en-US"/>
              </w:rPr>
              <w:t xml:space="preserve"> et al (2015)</w:t>
            </w:r>
          </w:p>
        </w:tc>
        <w:tc>
          <w:tcPr>
            <w:tcW w:w="1227" w:type="dxa"/>
            <w:vAlign w:val="center"/>
          </w:tcPr>
          <w:p w14:paraId="0729DD9A" w14:textId="0C06C3E9" w:rsidR="00474605" w:rsidRPr="00F02BC6" w:rsidRDefault="00474605" w:rsidP="00474605">
            <w:pPr>
              <w:jc w:val="center"/>
              <w:rPr>
                <w:color w:val="000000"/>
                <w:sz w:val="20"/>
                <w:szCs w:val="20"/>
                <w:lang w:val="en-US"/>
              </w:rPr>
            </w:pPr>
            <w:r w:rsidRPr="00F02BC6">
              <w:rPr>
                <w:color w:val="000000"/>
                <w:sz w:val="20"/>
                <w:szCs w:val="20"/>
                <w:lang w:val="en-US"/>
              </w:rPr>
              <w:t>N/A</w:t>
            </w:r>
          </w:p>
        </w:tc>
        <w:tc>
          <w:tcPr>
            <w:tcW w:w="983" w:type="dxa"/>
            <w:vAlign w:val="center"/>
          </w:tcPr>
          <w:p w14:paraId="6C271BE2" w14:textId="0DDCE7AE"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227" w:type="dxa"/>
            <w:vAlign w:val="center"/>
          </w:tcPr>
          <w:p w14:paraId="33659D1F" w14:textId="7C5FC848"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050" w:type="dxa"/>
            <w:vAlign w:val="center"/>
          </w:tcPr>
          <w:p w14:paraId="5C497704" w14:textId="2A5065C6"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50" w:type="dxa"/>
            <w:vAlign w:val="center"/>
          </w:tcPr>
          <w:p w14:paraId="0967BC9B" w14:textId="23E0CE4E"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6BBB4C37" w14:textId="1C40C15F" w:rsidR="00474605" w:rsidRPr="00F02BC6" w:rsidRDefault="00474605" w:rsidP="00474605">
            <w:pPr>
              <w:rPr>
                <w:color w:val="000000"/>
                <w:sz w:val="20"/>
                <w:szCs w:val="20"/>
                <w:lang w:val="en-US"/>
              </w:rPr>
            </w:pPr>
            <w:r w:rsidRPr="00F02BC6">
              <w:rPr>
                <w:color w:val="000000"/>
                <w:sz w:val="20"/>
                <w:szCs w:val="20"/>
                <w:lang w:val="en-US"/>
              </w:rPr>
              <w:t xml:space="preserve">     Yes</w:t>
            </w:r>
          </w:p>
        </w:tc>
        <w:tc>
          <w:tcPr>
            <w:tcW w:w="983" w:type="dxa"/>
            <w:vAlign w:val="center"/>
          </w:tcPr>
          <w:p w14:paraId="0B67C5E1" w14:textId="78F9E391"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38" w:type="dxa"/>
            <w:vAlign w:val="center"/>
          </w:tcPr>
          <w:p w14:paraId="271F11CC" w14:textId="66F08984"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83" w:type="dxa"/>
            <w:vAlign w:val="center"/>
          </w:tcPr>
          <w:p w14:paraId="6DFA7667" w14:textId="1E00C6E7"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27" w:type="dxa"/>
            <w:vAlign w:val="center"/>
          </w:tcPr>
          <w:p w14:paraId="3C9D4F92" w14:textId="567C3D92" w:rsidR="00474605" w:rsidRPr="00F02BC6" w:rsidRDefault="00474605" w:rsidP="00474605">
            <w:pPr>
              <w:jc w:val="center"/>
              <w:rPr>
                <w:color w:val="000000"/>
                <w:sz w:val="20"/>
                <w:szCs w:val="20"/>
                <w:lang w:val="en-US"/>
              </w:rPr>
            </w:pPr>
            <w:r w:rsidRPr="00F02BC6">
              <w:rPr>
                <w:color w:val="000000"/>
                <w:sz w:val="20"/>
                <w:szCs w:val="20"/>
                <w:lang w:val="en-US"/>
              </w:rPr>
              <w:t>Yes</w:t>
            </w:r>
          </w:p>
        </w:tc>
      </w:tr>
      <w:tr w:rsidR="00474605" w:rsidRPr="00F02BC6" w14:paraId="43B888AC" w14:textId="77777777" w:rsidTr="00A22C50">
        <w:tc>
          <w:tcPr>
            <w:tcW w:w="925" w:type="dxa"/>
            <w:vAlign w:val="center"/>
          </w:tcPr>
          <w:p w14:paraId="3B5CDD9E" w14:textId="77777777" w:rsidR="00474605" w:rsidRPr="00F02BC6" w:rsidRDefault="00474605" w:rsidP="00474605">
            <w:pPr>
              <w:rPr>
                <w:color w:val="000000"/>
                <w:sz w:val="20"/>
                <w:szCs w:val="20"/>
                <w:lang w:val="en-US"/>
              </w:rPr>
            </w:pPr>
            <w:r w:rsidRPr="00F02BC6">
              <w:rPr>
                <w:color w:val="000000"/>
                <w:sz w:val="20"/>
                <w:szCs w:val="20"/>
                <w:lang w:val="en-US"/>
              </w:rPr>
              <w:t>Navaratnam et al (2011)</w:t>
            </w:r>
          </w:p>
        </w:tc>
        <w:tc>
          <w:tcPr>
            <w:tcW w:w="1227" w:type="dxa"/>
            <w:vAlign w:val="center"/>
          </w:tcPr>
          <w:p w14:paraId="74AEC9DE" w14:textId="66A30B58" w:rsidR="00474605" w:rsidRPr="00F02BC6" w:rsidRDefault="00474605" w:rsidP="00474605">
            <w:pPr>
              <w:jc w:val="center"/>
              <w:rPr>
                <w:color w:val="000000"/>
                <w:sz w:val="20"/>
                <w:szCs w:val="20"/>
                <w:lang w:val="en-US"/>
              </w:rPr>
            </w:pPr>
            <w:r w:rsidRPr="00F02BC6">
              <w:rPr>
                <w:color w:val="000000"/>
                <w:sz w:val="20"/>
                <w:szCs w:val="20"/>
                <w:lang w:val="en-US"/>
              </w:rPr>
              <w:t>N/A</w:t>
            </w:r>
          </w:p>
        </w:tc>
        <w:tc>
          <w:tcPr>
            <w:tcW w:w="983" w:type="dxa"/>
            <w:vAlign w:val="center"/>
          </w:tcPr>
          <w:p w14:paraId="708330D2" w14:textId="195A092A"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227" w:type="dxa"/>
            <w:vAlign w:val="center"/>
          </w:tcPr>
          <w:p w14:paraId="73F4ED22" w14:textId="6AEEFE16"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050" w:type="dxa"/>
            <w:vAlign w:val="center"/>
          </w:tcPr>
          <w:p w14:paraId="163A3381" w14:textId="4789DBDF"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50" w:type="dxa"/>
            <w:vAlign w:val="center"/>
          </w:tcPr>
          <w:p w14:paraId="51D6A2F8" w14:textId="653EFB74"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3236EC65" w14:textId="10BED13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0017B28A" w14:textId="0FD57685"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38" w:type="dxa"/>
            <w:vAlign w:val="center"/>
          </w:tcPr>
          <w:p w14:paraId="2829156D" w14:textId="2743A86A"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83" w:type="dxa"/>
            <w:vAlign w:val="center"/>
          </w:tcPr>
          <w:p w14:paraId="4B27C067" w14:textId="34AAE8EB"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27" w:type="dxa"/>
            <w:vAlign w:val="center"/>
          </w:tcPr>
          <w:p w14:paraId="4F0D13AC" w14:textId="340FE038" w:rsidR="00474605" w:rsidRPr="00F02BC6" w:rsidRDefault="00474605" w:rsidP="00474605">
            <w:pPr>
              <w:jc w:val="center"/>
              <w:rPr>
                <w:color w:val="000000"/>
                <w:sz w:val="20"/>
                <w:szCs w:val="20"/>
                <w:lang w:val="en-US"/>
              </w:rPr>
            </w:pPr>
            <w:r w:rsidRPr="00F02BC6">
              <w:rPr>
                <w:color w:val="000000"/>
                <w:sz w:val="20"/>
                <w:szCs w:val="20"/>
                <w:lang w:val="en-US"/>
              </w:rPr>
              <w:t>Yes</w:t>
            </w:r>
          </w:p>
        </w:tc>
      </w:tr>
      <w:tr w:rsidR="00474605" w:rsidRPr="00F02BC6" w14:paraId="4DF5B768" w14:textId="77777777" w:rsidTr="00A22C50">
        <w:tc>
          <w:tcPr>
            <w:tcW w:w="925" w:type="dxa"/>
            <w:vAlign w:val="center"/>
          </w:tcPr>
          <w:p w14:paraId="19600A80" w14:textId="77777777" w:rsidR="00474605" w:rsidRPr="00F02BC6" w:rsidRDefault="00474605" w:rsidP="00474605">
            <w:pPr>
              <w:rPr>
                <w:color w:val="000000"/>
                <w:sz w:val="20"/>
                <w:szCs w:val="20"/>
                <w:lang w:val="en-US"/>
              </w:rPr>
            </w:pPr>
            <w:proofErr w:type="spellStart"/>
            <w:r w:rsidRPr="00F02BC6">
              <w:rPr>
                <w:color w:val="000000"/>
                <w:sz w:val="20"/>
                <w:szCs w:val="20"/>
                <w:lang w:val="en-US"/>
              </w:rPr>
              <w:t>Papi</w:t>
            </w:r>
            <w:proofErr w:type="spellEnd"/>
            <w:r w:rsidRPr="00F02BC6">
              <w:rPr>
                <w:color w:val="000000"/>
                <w:sz w:val="20"/>
                <w:szCs w:val="20"/>
                <w:lang w:val="en-US"/>
              </w:rPr>
              <w:t xml:space="preserve"> et al (2018)</w:t>
            </w:r>
          </w:p>
        </w:tc>
        <w:tc>
          <w:tcPr>
            <w:tcW w:w="1227" w:type="dxa"/>
            <w:vAlign w:val="center"/>
          </w:tcPr>
          <w:p w14:paraId="147F8614" w14:textId="3A0823D9" w:rsidR="00474605" w:rsidRPr="00F02BC6" w:rsidRDefault="00474605" w:rsidP="00474605">
            <w:pPr>
              <w:jc w:val="center"/>
              <w:rPr>
                <w:color w:val="000000"/>
                <w:sz w:val="20"/>
                <w:szCs w:val="20"/>
                <w:lang w:val="en-US"/>
              </w:rPr>
            </w:pPr>
            <w:r w:rsidRPr="00F02BC6">
              <w:rPr>
                <w:color w:val="000000"/>
                <w:sz w:val="20"/>
                <w:szCs w:val="20"/>
                <w:lang w:val="en-US"/>
              </w:rPr>
              <w:t>N/A</w:t>
            </w:r>
          </w:p>
        </w:tc>
        <w:tc>
          <w:tcPr>
            <w:tcW w:w="983" w:type="dxa"/>
            <w:vAlign w:val="center"/>
          </w:tcPr>
          <w:p w14:paraId="7B475BDE" w14:textId="021470FD"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227" w:type="dxa"/>
            <w:vAlign w:val="center"/>
          </w:tcPr>
          <w:p w14:paraId="7B9C5319" w14:textId="4B2B562E"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050" w:type="dxa"/>
            <w:vAlign w:val="center"/>
          </w:tcPr>
          <w:p w14:paraId="372CE53C" w14:textId="03E4412B"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50" w:type="dxa"/>
            <w:vAlign w:val="center"/>
          </w:tcPr>
          <w:p w14:paraId="50631214" w14:textId="26967E5E"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03B95698" w14:textId="616BE38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783BCA13" w14:textId="4B16049B"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38" w:type="dxa"/>
            <w:vAlign w:val="center"/>
          </w:tcPr>
          <w:p w14:paraId="28C43856" w14:textId="48D75C52"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83" w:type="dxa"/>
            <w:vAlign w:val="center"/>
          </w:tcPr>
          <w:p w14:paraId="0AB1F16B" w14:textId="343F9294"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27" w:type="dxa"/>
            <w:vAlign w:val="center"/>
          </w:tcPr>
          <w:p w14:paraId="678755DC" w14:textId="2A5156BE" w:rsidR="00474605" w:rsidRPr="00F02BC6" w:rsidRDefault="00474605" w:rsidP="00474605">
            <w:pPr>
              <w:jc w:val="center"/>
              <w:rPr>
                <w:color w:val="000000"/>
                <w:sz w:val="20"/>
                <w:szCs w:val="20"/>
                <w:lang w:val="en-US"/>
              </w:rPr>
            </w:pPr>
            <w:r w:rsidRPr="00F02BC6">
              <w:rPr>
                <w:color w:val="000000"/>
                <w:sz w:val="20"/>
                <w:szCs w:val="20"/>
                <w:lang w:val="en-US"/>
              </w:rPr>
              <w:t>Yes</w:t>
            </w:r>
          </w:p>
        </w:tc>
      </w:tr>
      <w:tr w:rsidR="00474605" w:rsidRPr="00F02BC6" w14:paraId="672C2CBA" w14:textId="77777777" w:rsidTr="00A22C50">
        <w:tc>
          <w:tcPr>
            <w:tcW w:w="925" w:type="dxa"/>
            <w:vAlign w:val="center"/>
          </w:tcPr>
          <w:p w14:paraId="6689EC7E" w14:textId="77777777" w:rsidR="00474605" w:rsidRPr="00F02BC6" w:rsidRDefault="00474605" w:rsidP="00474605">
            <w:pPr>
              <w:rPr>
                <w:color w:val="000000"/>
                <w:sz w:val="20"/>
                <w:szCs w:val="20"/>
                <w:lang w:val="en-US"/>
              </w:rPr>
            </w:pPr>
            <w:proofErr w:type="spellStart"/>
            <w:r w:rsidRPr="00F02BC6">
              <w:rPr>
                <w:color w:val="000000"/>
                <w:sz w:val="20"/>
                <w:szCs w:val="20"/>
                <w:lang w:val="en-US"/>
              </w:rPr>
              <w:t>Sicras-Mainar</w:t>
            </w:r>
            <w:proofErr w:type="spellEnd"/>
            <w:r w:rsidRPr="00F02BC6">
              <w:rPr>
                <w:color w:val="000000"/>
                <w:sz w:val="20"/>
                <w:szCs w:val="20"/>
                <w:lang w:val="en-US"/>
              </w:rPr>
              <w:t xml:space="preserve"> et al (2017)</w:t>
            </w:r>
          </w:p>
        </w:tc>
        <w:tc>
          <w:tcPr>
            <w:tcW w:w="1227" w:type="dxa"/>
            <w:vAlign w:val="center"/>
          </w:tcPr>
          <w:p w14:paraId="54428433" w14:textId="6EFF97FF" w:rsidR="00474605" w:rsidRPr="00F02BC6" w:rsidRDefault="00F3044D" w:rsidP="00474605">
            <w:pPr>
              <w:jc w:val="center"/>
              <w:rPr>
                <w:color w:val="000000"/>
                <w:sz w:val="20"/>
                <w:szCs w:val="20"/>
                <w:lang w:val="en-US"/>
              </w:rPr>
            </w:pPr>
            <w:r w:rsidRPr="00F02BC6">
              <w:rPr>
                <w:color w:val="000000"/>
                <w:sz w:val="20"/>
                <w:szCs w:val="20"/>
                <w:lang w:val="en-US"/>
              </w:rPr>
              <w:t>N/A</w:t>
            </w:r>
          </w:p>
        </w:tc>
        <w:tc>
          <w:tcPr>
            <w:tcW w:w="983" w:type="dxa"/>
            <w:vAlign w:val="center"/>
          </w:tcPr>
          <w:p w14:paraId="16D67DFC" w14:textId="0156D1E9" w:rsidR="00474605" w:rsidRPr="00F02BC6" w:rsidRDefault="00F3044D" w:rsidP="00474605">
            <w:pPr>
              <w:jc w:val="center"/>
              <w:rPr>
                <w:color w:val="000000"/>
                <w:sz w:val="20"/>
                <w:szCs w:val="20"/>
                <w:lang w:val="en-US"/>
              </w:rPr>
            </w:pPr>
            <w:r w:rsidRPr="00F02BC6">
              <w:rPr>
                <w:color w:val="000000"/>
                <w:sz w:val="20"/>
                <w:szCs w:val="20"/>
                <w:lang w:val="en-US"/>
              </w:rPr>
              <w:t>Yes</w:t>
            </w:r>
          </w:p>
        </w:tc>
        <w:tc>
          <w:tcPr>
            <w:tcW w:w="1227" w:type="dxa"/>
            <w:vAlign w:val="center"/>
          </w:tcPr>
          <w:p w14:paraId="3DABDDC6" w14:textId="522963C1" w:rsidR="00474605" w:rsidRPr="00F02BC6" w:rsidRDefault="00EA36E7" w:rsidP="00474605">
            <w:pPr>
              <w:jc w:val="center"/>
              <w:rPr>
                <w:color w:val="000000"/>
                <w:sz w:val="20"/>
                <w:szCs w:val="20"/>
                <w:lang w:val="en-US"/>
              </w:rPr>
            </w:pPr>
            <w:r w:rsidRPr="00F02BC6">
              <w:rPr>
                <w:color w:val="000000"/>
                <w:sz w:val="20"/>
                <w:szCs w:val="20"/>
                <w:lang w:val="en-US"/>
              </w:rPr>
              <w:t>Unclear</w:t>
            </w:r>
          </w:p>
        </w:tc>
        <w:tc>
          <w:tcPr>
            <w:tcW w:w="1050" w:type="dxa"/>
            <w:vAlign w:val="center"/>
          </w:tcPr>
          <w:p w14:paraId="0567DBBC" w14:textId="1EA230AD" w:rsidR="00474605" w:rsidRPr="00F02BC6" w:rsidRDefault="00EA36E7" w:rsidP="00474605">
            <w:pPr>
              <w:jc w:val="center"/>
              <w:rPr>
                <w:color w:val="000000"/>
                <w:sz w:val="20"/>
                <w:szCs w:val="20"/>
                <w:lang w:val="en-US"/>
              </w:rPr>
            </w:pPr>
            <w:r w:rsidRPr="00F02BC6">
              <w:rPr>
                <w:color w:val="000000"/>
                <w:sz w:val="20"/>
                <w:szCs w:val="20"/>
                <w:lang w:val="en-US"/>
              </w:rPr>
              <w:t>Unclear</w:t>
            </w:r>
          </w:p>
        </w:tc>
        <w:tc>
          <w:tcPr>
            <w:tcW w:w="1150" w:type="dxa"/>
            <w:vAlign w:val="center"/>
          </w:tcPr>
          <w:p w14:paraId="7C6576DD" w14:textId="517F4DDB" w:rsidR="00474605" w:rsidRPr="00F02BC6" w:rsidRDefault="00F3044D"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5B8DE5A2" w14:textId="388211C6" w:rsidR="00474605" w:rsidRPr="00F02BC6" w:rsidRDefault="00F3044D"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6DAF60AC" w14:textId="4D0DADB2" w:rsidR="00474605" w:rsidRPr="00F02BC6" w:rsidRDefault="00F3044D" w:rsidP="00474605">
            <w:pPr>
              <w:jc w:val="center"/>
              <w:rPr>
                <w:color w:val="000000"/>
                <w:sz w:val="20"/>
                <w:szCs w:val="20"/>
                <w:lang w:val="en-US"/>
              </w:rPr>
            </w:pPr>
            <w:r w:rsidRPr="00F02BC6">
              <w:rPr>
                <w:color w:val="000000"/>
                <w:sz w:val="20"/>
                <w:szCs w:val="20"/>
                <w:lang w:val="en-US"/>
              </w:rPr>
              <w:t>Yes</w:t>
            </w:r>
          </w:p>
        </w:tc>
        <w:tc>
          <w:tcPr>
            <w:tcW w:w="1138" w:type="dxa"/>
            <w:vAlign w:val="center"/>
          </w:tcPr>
          <w:p w14:paraId="7C1CAB1B" w14:textId="5867CC7C" w:rsidR="00474605" w:rsidRPr="00F02BC6" w:rsidRDefault="00F3044D" w:rsidP="00474605">
            <w:pPr>
              <w:jc w:val="center"/>
              <w:rPr>
                <w:color w:val="000000"/>
                <w:sz w:val="20"/>
                <w:szCs w:val="20"/>
                <w:lang w:val="en-US"/>
              </w:rPr>
            </w:pPr>
            <w:r w:rsidRPr="00F02BC6">
              <w:rPr>
                <w:color w:val="000000"/>
                <w:sz w:val="20"/>
                <w:szCs w:val="20"/>
                <w:lang w:val="en-US"/>
              </w:rPr>
              <w:t>Yes</w:t>
            </w:r>
          </w:p>
        </w:tc>
        <w:tc>
          <w:tcPr>
            <w:tcW w:w="1183" w:type="dxa"/>
            <w:vAlign w:val="center"/>
          </w:tcPr>
          <w:p w14:paraId="72DD1820" w14:textId="5666B2FE" w:rsidR="00474605" w:rsidRPr="00F02BC6" w:rsidRDefault="00EA36E7" w:rsidP="00474605">
            <w:pPr>
              <w:jc w:val="center"/>
              <w:rPr>
                <w:color w:val="000000"/>
                <w:sz w:val="20"/>
                <w:szCs w:val="20"/>
                <w:lang w:val="en-US"/>
              </w:rPr>
            </w:pPr>
            <w:r w:rsidRPr="00F02BC6">
              <w:rPr>
                <w:color w:val="000000"/>
                <w:sz w:val="20"/>
                <w:szCs w:val="20"/>
                <w:lang w:val="en-US"/>
              </w:rPr>
              <w:t>Unclear</w:t>
            </w:r>
          </w:p>
        </w:tc>
        <w:tc>
          <w:tcPr>
            <w:tcW w:w="1127" w:type="dxa"/>
            <w:vAlign w:val="center"/>
          </w:tcPr>
          <w:p w14:paraId="26F3846E" w14:textId="5905429E" w:rsidR="00474605" w:rsidRPr="00F02BC6" w:rsidRDefault="00F3044D" w:rsidP="00474605">
            <w:pPr>
              <w:jc w:val="center"/>
              <w:rPr>
                <w:color w:val="000000"/>
                <w:sz w:val="20"/>
                <w:szCs w:val="20"/>
                <w:lang w:val="en-US"/>
              </w:rPr>
            </w:pPr>
            <w:r w:rsidRPr="00F02BC6">
              <w:rPr>
                <w:color w:val="000000"/>
                <w:sz w:val="20"/>
                <w:szCs w:val="20"/>
                <w:lang w:val="en-US"/>
              </w:rPr>
              <w:t>Yes</w:t>
            </w:r>
          </w:p>
        </w:tc>
      </w:tr>
      <w:bookmarkStart w:id="0" w:name="bau1"/>
      <w:tr w:rsidR="00474605" w:rsidRPr="00F02BC6" w14:paraId="24F6587C" w14:textId="77777777" w:rsidTr="00A22C50">
        <w:tc>
          <w:tcPr>
            <w:tcW w:w="925" w:type="dxa"/>
            <w:vAlign w:val="center"/>
          </w:tcPr>
          <w:p w14:paraId="24BCC153" w14:textId="3122CC08" w:rsidR="00474605" w:rsidRPr="00F02BC6" w:rsidRDefault="00474605" w:rsidP="00474605">
            <w:pPr>
              <w:rPr>
                <w:color w:val="000000"/>
                <w:sz w:val="20"/>
                <w:szCs w:val="20"/>
                <w:lang w:val="en-US"/>
              </w:rPr>
            </w:pPr>
            <w:r w:rsidRPr="00F02BC6">
              <w:rPr>
                <w:color w:val="000000"/>
                <w:sz w:val="20"/>
                <w:szCs w:val="20"/>
                <w:lang w:val="en-US"/>
              </w:rPr>
              <w:fldChar w:fldCharType="begin"/>
            </w:r>
            <w:r w:rsidRPr="00F02BC6">
              <w:rPr>
                <w:color w:val="000000"/>
                <w:sz w:val="20"/>
                <w:szCs w:val="20"/>
                <w:lang w:val="en-US"/>
              </w:rPr>
              <w:instrText xml:space="preserve"> HYPERLINK "https://www-sciencedirect-com.qe2a-proxy.mun.ca/science/article/pii/S2213219816304238" \l "!" </w:instrText>
            </w:r>
            <w:r w:rsidRPr="00F02BC6">
              <w:rPr>
                <w:color w:val="000000"/>
                <w:sz w:val="20"/>
                <w:szCs w:val="20"/>
                <w:lang w:val="en-US"/>
              </w:rPr>
              <w:fldChar w:fldCharType="separate"/>
            </w:r>
            <w:proofErr w:type="spellStart"/>
            <w:r w:rsidRPr="00F02BC6">
              <w:rPr>
                <w:rStyle w:val="text"/>
                <w:color w:val="000000"/>
                <w:sz w:val="20"/>
                <w:szCs w:val="20"/>
                <w:lang w:val="en-US"/>
              </w:rPr>
              <w:t>Souverein</w:t>
            </w:r>
            <w:proofErr w:type="spellEnd"/>
            <w:r w:rsidRPr="00F02BC6">
              <w:rPr>
                <w:color w:val="000000"/>
                <w:sz w:val="20"/>
                <w:szCs w:val="20"/>
                <w:lang w:val="en-US"/>
              </w:rPr>
              <w:fldChar w:fldCharType="end"/>
            </w:r>
            <w:bookmarkEnd w:id="0"/>
            <w:r w:rsidRPr="00F02BC6">
              <w:rPr>
                <w:color w:val="000000"/>
                <w:sz w:val="20"/>
                <w:szCs w:val="20"/>
                <w:lang w:val="en-US"/>
              </w:rPr>
              <w:t xml:space="preserve"> et al (201</w:t>
            </w:r>
            <w:r w:rsidR="00CA1CFC" w:rsidRPr="00F02BC6">
              <w:rPr>
                <w:color w:val="000000"/>
                <w:sz w:val="20"/>
                <w:szCs w:val="20"/>
                <w:lang w:val="en-US"/>
              </w:rPr>
              <w:t>6</w:t>
            </w:r>
            <w:r w:rsidRPr="00F02BC6">
              <w:rPr>
                <w:color w:val="000000"/>
                <w:sz w:val="20"/>
                <w:szCs w:val="20"/>
                <w:lang w:val="en-US"/>
              </w:rPr>
              <w:t>)</w:t>
            </w:r>
          </w:p>
        </w:tc>
        <w:tc>
          <w:tcPr>
            <w:tcW w:w="1227" w:type="dxa"/>
            <w:vAlign w:val="center"/>
          </w:tcPr>
          <w:p w14:paraId="78515A40" w14:textId="42A1CA57" w:rsidR="00474605" w:rsidRPr="00F02BC6" w:rsidRDefault="00CA1CFC" w:rsidP="00474605">
            <w:pPr>
              <w:jc w:val="center"/>
              <w:rPr>
                <w:color w:val="000000"/>
                <w:sz w:val="20"/>
                <w:szCs w:val="20"/>
                <w:lang w:val="en-US"/>
              </w:rPr>
            </w:pPr>
            <w:r w:rsidRPr="00F02BC6">
              <w:rPr>
                <w:color w:val="000000"/>
                <w:sz w:val="20"/>
                <w:szCs w:val="20"/>
                <w:lang w:val="en-US"/>
              </w:rPr>
              <w:t>N/A</w:t>
            </w:r>
          </w:p>
        </w:tc>
        <w:tc>
          <w:tcPr>
            <w:tcW w:w="983" w:type="dxa"/>
            <w:vAlign w:val="center"/>
          </w:tcPr>
          <w:p w14:paraId="640045EE" w14:textId="6CC0B8B9" w:rsidR="00474605" w:rsidRPr="00F02BC6" w:rsidRDefault="00CA1CFC" w:rsidP="00474605">
            <w:pPr>
              <w:jc w:val="center"/>
              <w:rPr>
                <w:color w:val="000000"/>
                <w:sz w:val="20"/>
                <w:szCs w:val="20"/>
                <w:lang w:val="en-US"/>
              </w:rPr>
            </w:pPr>
            <w:r w:rsidRPr="00F02BC6">
              <w:rPr>
                <w:color w:val="000000"/>
                <w:sz w:val="20"/>
                <w:szCs w:val="20"/>
                <w:lang w:val="en-US"/>
              </w:rPr>
              <w:t>Yes</w:t>
            </w:r>
          </w:p>
        </w:tc>
        <w:tc>
          <w:tcPr>
            <w:tcW w:w="1227" w:type="dxa"/>
            <w:vAlign w:val="center"/>
          </w:tcPr>
          <w:p w14:paraId="79879EE3" w14:textId="4BD9EC46" w:rsidR="00474605" w:rsidRPr="00F02BC6" w:rsidRDefault="00CA1CFC" w:rsidP="00474605">
            <w:pPr>
              <w:jc w:val="center"/>
              <w:rPr>
                <w:color w:val="000000"/>
                <w:sz w:val="20"/>
                <w:szCs w:val="20"/>
                <w:lang w:val="en-US"/>
              </w:rPr>
            </w:pPr>
            <w:r w:rsidRPr="00F02BC6">
              <w:rPr>
                <w:color w:val="000000"/>
                <w:sz w:val="20"/>
                <w:szCs w:val="20"/>
                <w:lang w:val="en-US"/>
              </w:rPr>
              <w:t>Unclear</w:t>
            </w:r>
          </w:p>
        </w:tc>
        <w:tc>
          <w:tcPr>
            <w:tcW w:w="1050" w:type="dxa"/>
            <w:vAlign w:val="center"/>
          </w:tcPr>
          <w:p w14:paraId="62E76C17" w14:textId="73DD94C5" w:rsidR="00474605" w:rsidRPr="00F02BC6" w:rsidRDefault="00CA1CFC" w:rsidP="00474605">
            <w:pPr>
              <w:jc w:val="center"/>
              <w:rPr>
                <w:color w:val="000000"/>
                <w:sz w:val="20"/>
                <w:szCs w:val="20"/>
                <w:lang w:val="en-US"/>
              </w:rPr>
            </w:pPr>
            <w:r w:rsidRPr="00F02BC6">
              <w:rPr>
                <w:color w:val="000000"/>
                <w:sz w:val="20"/>
                <w:szCs w:val="20"/>
                <w:lang w:val="en-US"/>
              </w:rPr>
              <w:t>Unclear</w:t>
            </w:r>
          </w:p>
        </w:tc>
        <w:tc>
          <w:tcPr>
            <w:tcW w:w="1150" w:type="dxa"/>
            <w:vAlign w:val="center"/>
          </w:tcPr>
          <w:p w14:paraId="632A917C" w14:textId="602860C1" w:rsidR="00474605" w:rsidRPr="00F02BC6" w:rsidRDefault="00CA1CFC"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731C27CC" w14:textId="3E836D25" w:rsidR="00474605" w:rsidRPr="00F02BC6" w:rsidRDefault="00CA1CFC"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1A2FB094" w14:textId="408CA4C9" w:rsidR="00474605" w:rsidRPr="00F02BC6" w:rsidRDefault="00CA1CFC" w:rsidP="00474605">
            <w:pPr>
              <w:jc w:val="center"/>
              <w:rPr>
                <w:color w:val="000000"/>
                <w:sz w:val="20"/>
                <w:szCs w:val="20"/>
                <w:lang w:val="en-US"/>
              </w:rPr>
            </w:pPr>
            <w:r w:rsidRPr="00F02BC6">
              <w:rPr>
                <w:color w:val="000000"/>
                <w:sz w:val="20"/>
                <w:szCs w:val="20"/>
                <w:lang w:val="en-US"/>
              </w:rPr>
              <w:t>Yes</w:t>
            </w:r>
          </w:p>
        </w:tc>
        <w:tc>
          <w:tcPr>
            <w:tcW w:w="1138" w:type="dxa"/>
            <w:vAlign w:val="center"/>
          </w:tcPr>
          <w:p w14:paraId="3295CDCC" w14:textId="68753B83" w:rsidR="00474605" w:rsidRPr="00F02BC6" w:rsidRDefault="00CA1CFC" w:rsidP="00474605">
            <w:pPr>
              <w:jc w:val="center"/>
              <w:rPr>
                <w:color w:val="000000"/>
                <w:sz w:val="20"/>
                <w:szCs w:val="20"/>
                <w:lang w:val="en-US"/>
              </w:rPr>
            </w:pPr>
            <w:r w:rsidRPr="00F02BC6">
              <w:rPr>
                <w:color w:val="000000"/>
                <w:sz w:val="20"/>
                <w:szCs w:val="20"/>
                <w:lang w:val="en-US"/>
              </w:rPr>
              <w:t>Yes</w:t>
            </w:r>
          </w:p>
        </w:tc>
        <w:tc>
          <w:tcPr>
            <w:tcW w:w="1183" w:type="dxa"/>
            <w:vAlign w:val="center"/>
          </w:tcPr>
          <w:p w14:paraId="3804CF25" w14:textId="15D7CFCE" w:rsidR="00474605" w:rsidRPr="00F02BC6" w:rsidRDefault="00CA1CFC" w:rsidP="00474605">
            <w:pPr>
              <w:jc w:val="center"/>
              <w:rPr>
                <w:color w:val="000000"/>
                <w:sz w:val="20"/>
                <w:szCs w:val="20"/>
                <w:lang w:val="en-US"/>
              </w:rPr>
            </w:pPr>
            <w:r w:rsidRPr="00F02BC6">
              <w:rPr>
                <w:color w:val="000000"/>
                <w:sz w:val="20"/>
                <w:szCs w:val="20"/>
                <w:lang w:val="en-US"/>
              </w:rPr>
              <w:t>Yes</w:t>
            </w:r>
          </w:p>
        </w:tc>
        <w:tc>
          <w:tcPr>
            <w:tcW w:w="1127" w:type="dxa"/>
            <w:vAlign w:val="center"/>
          </w:tcPr>
          <w:p w14:paraId="2B8B9596" w14:textId="6046D1E7" w:rsidR="00474605" w:rsidRPr="00F02BC6" w:rsidRDefault="00CA1CFC" w:rsidP="00474605">
            <w:pPr>
              <w:jc w:val="center"/>
              <w:rPr>
                <w:color w:val="000000"/>
                <w:sz w:val="20"/>
                <w:szCs w:val="20"/>
                <w:lang w:val="en-US"/>
              </w:rPr>
            </w:pPr>
            <w:r w:rsidRPr="00F02BC6">
              <w:rPr>
                <w:color w:val="000000"/>
                <w:sz w:val="20"/>
                <w:szCs w:val="20"/>
                <w:lang w:val="en-US"/>
              </w:rPr>
              <w:t>Yes</w:t>
            </w:r>
          </w:p>
        </w:tc>
      </w:tr>
      <w:tr w:rsidR="00474605" w:rsidRPr="00F02BC6" w14:paraId="6ED6ED98" w14:textId="77777777" w:rsidTr="00A22C50">
        <w:tc>
          <w:tcPr>
            <w:tcW w:w="925" w:type="dxa"/>
            <w:vAlign w:val="center"/>
          </w:tcPr>
          <w:p w14:paraId="6D4532DA" w14:textId="77777777" w:rsidR="00474605" w:rsidRPr="00F02BC6" w:rsidRDefault="00474605" w:rsidP="00474605">
            <w:pPr>
              <w:rPr>
                <w:color w:val="000000"/>
                <w:sz w:val="20"/>
                <w:szCs w:val="20"/>
                <w:lang w:val="en-US"/>
              </w:rPr>
            </w:pPr>
            <w:proofErr w:type="spellStart"/>
            <w:r w:rsidRPr="00F02BC6">
              <w:rPr>
                <w:color w:val="000000"/>
                <w:sz w:val="20"/>
                <w:szCs w:val="20"/>
                <w:lang w:val="en-US"/>
              </w:rPr>
              <w:t>Standford</w:t>
            </w:r>
            <w:proofErr w:type="spellEnd"/>
            <w:r w:rsidRPr="00F02BC6">
              <w:rPr>
                <w:color w:val="000000"/>
                <w:sz w:val="20"/>
                <w:szCs w:val="20"/>
                <w:lang w:val="en-US"/>
              </w:rPr>
              <w:t xml:space="preserve"> et al (2019)</w:t>
            </w:r>
          </w:p>
        </w:tc>
        <w:tc>
          <w:tcPr>
            <w:tcW w:w="1227" w:type="dxa"/>
            <w:vAlign w:val="center"/>
          </w:tcPr>
          <w:p w14:paraId="12BCCB10" w14:textId="123F722B" w:rsidR="00474605" w:rsidRPr="00F02BC6" w:rsidRDefault="00474605" w:rsidP="00474605">
            <w:pPr>
              <w:jc w:val="center"/>
              <w:rPr>
                <w:color w:val="000000"/>
                <w:sz w:val="20"/>
                <w:szCs w:val="20"/>
                <w:lang w:val="en-US"/>
              </w:rPr>
            </w:pPr>
            <w:r w:rsidRPr="00F02BC6">
              <w:rPr>
                <w:color w:val="000000"/>
                <w:sz w:val="20"/>
                <w:szCs w:val="20"/>
                <w:lang w:val="en-US"/>
              </w:rPr>
              <w:t>N/A</w:t>
            </w:r>
          </w:p>
        </w:tc>
        <w:tc>
          <w:tcPr>
            <w:tcW w:w="983" w:type="dxa"/>
            <w:vAlign w:val="center"/>
          </w:tcPr>
          <w:p w14:paraId="6FC6CDA5" w14:textId="713BA8D5"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227" w:type="dxa"/>
            <w:vAlign w:val="center"/>
          </w:tcPr>
          <w:p w14:paraId="38CC32EB" w14:textId="66CD9FD8"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050" w:type="dxa"/>
            <w:vAlign w:val="center"/>
          </w:tcPr>
          <w:p w14:paraId="0CCA4481" w14:textId="317B50AD"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50" w:type="dxa"/>
            <w:vAlign w:val="center"/>
          </w:tcPr>
          <w:p w14:paraId="46B2C841" w14:textId="2211087D"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53B932B7" w14:textId="21BB5D09"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02DB6CCD" w14:textId="453FC6E0"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38" w:type="dxa"/>
            <w:vAlign w:val="center"/>
          </w:tcPr>
          <w:p w14:paraId="36E9B18A" w14:textId="05BA432C"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83" w:type="dxa"/>
            <w:vAlign w:val="center"/>
          </w:tcPr>
          <w:p w14:paraId="3E4CD666" w14:textId="37B8680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27" w:type="dxa"/>
            <w:vAlign w:val="center"/>
          </w:tcPr>
          <w:p w14:paraId="24C9DAAD" w14:textId="4E61D547" w:rsidR="00474605" w:rsidRPr="00F02BC6" w:rsidRDefault="00474605" w:rsidP="00474605">
            <w:pPr>
              <w:jc w:val="center"/>
              <w:rPr>
                <w:color w:val="000000"/>
                <w:sz w:val="20"/>
                <w:szCs w:val="20"/>
                <w:lang w:val="en-US"/>
              </w:rPr>
            </w:pPr>
            <w:r w:rsidRPr="00F02BC6">
              <w:rPr>
                <w:color w:val="000000"/>
                <w:sz w:val="20"/>
                <w:szCs w:val="20"/>
                <w:lang w:val="en-US"/>
              </w:rPr>
              <w:t>Yes</w:t>
            </w:r>
          </w:p>
        </w:tc>
      </w:tr>
      <w:tr w:rsidR="00474605" w:rsidRPr="00F02BC6" w14:paraId="781FF7DA" w14:textId="77777777" w:rsidTr="00A22C50">
        <w:tc>
          <w:tcPr>
            <w:tcW w:w="925" w:type="dxa"/>
            <w:vAlign w:val="center"/>
          </w:tcPr>
          <w:p w14:paraId="4665DCC0" w14:textId="77777777" w:rsidR="00474605" w:rsidRPr="00F02BC6" w:rsidRDefault="00474605" w:rsidP="00474605">
            <w:pPr>
              <w:rPr>
                <w:color w:val="000000"/>
                <w:sz w:val="20"/>
                <w:szCs w:val="20"/>
                <w:lang w:val="en-US"/>
              </w:rPr>
            </w:pPr>
            <w:r w:rsidRPr="00F02BC6">
              <w:rPr>
                <w:color w:val="000000"/>
                <w:sz w:val="20"/>
                <w:szCs w:val="20"/>
                <w:lang w:val="en-US"/>
              </w:rPr>
              <w:t>Stern et al (2006)</w:t>
            </w:r>
          </w:p>
        </w:tc>
        <w:tc>
          <w:tcPr>
            <w:tcW w:w="1227" w:type="dxa"/>
            <w:vAlign w:val="center"/>
          </w:tcPr>
          <w:p w14:paraId="4CD28765" w14:textId="52BAE2D7" w:rsidR="00474605" w:rsidRPr="00F02BC6" w:rsidRDefault="00474605" w:rsidP="00474605">
            <w:pPr>
              <w:jc w:val="center"/>
              <w:rPr>
                <w:color w:val="000000"/>
                <w:sz w:val="20"/>
                <w:szCs w:val="20"/>
                <w:lang w:val="en-US"/>
              </w:rPr>
            </w:pPr>
            <w:r w:rsidRPr="00F02BC6">
              <w:rPr>
                <w:color w:val="000000"/>
                <w:sz w:val="20"/>
                <w:szCs w:val="20"/>
                <w:lang w:val="en-US"/>
              </w:rPr>
              <w:t>N/A</w:t>
            </w:r>
          </w:p>
        </w:tc>
        <w:tc>
          <w:tcPr>
            <w:tcW w:w="983" w:type="dxa"/>
            <w:vAlign w:val="center"/>
          </w:tcPr>
          <w:p w14:paraId="43A0F8C5" w14:textId="54F3AB1C"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227" w:type="dxa"/>
            <w:vAlign w:val="center"/>
          </w:tcPr>
          <w:p w14:paraId="1174778F" w14:textId="6149BC5D"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050" w:type="dxa"/>
            <w:vAlign w:val="center"/>
          </w:tcPr>
          <w:p w14:paraId="3C1B6232" w14:textId="2530FA16"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50" w:type="dxa"/>
            <w:vAlign w:val="center"/>
          </w:tcPr>
          <w:p w14:paraId="0192E951" w14:textId="414053F0"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7C0D7109" w14:textId="5E35F411"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2AB65158" w14:textId="061808FC"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38" w:type="dxa"/>
            <w:vAlign w:val="center"/>
          </w:tcPr>
          <w:p w14:paraId="2F5B71B7" w14:textId="5860784E"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83" w:type="dxa"/>
            <w:vAlign w:val="center"/>
          </w:tcPr>
          <w:p w14:paraId="62263DAA" w14:textId="513C50A8"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27" w:type="dxa"/>
            <w:vAlign w:val="center"/>
          </w:tcPr>
          <w:p w14:paraId="701887D5" w14:textId="09493B1B" w:rsidR="00474605" w:rsidRPr="00F02BC6" w:rsidRDefault="00474605" w:rsidP="00474605">
            <w:pPr>
              <w:jc w:val="center"/>
              <w:rPr>
                <w:color w:val="000000"/>
                <w:sz w:val="20"/>
                <w:szCs w:val="20"/>
                <w:lang w:val="en-US"/>
              </w:rPr>
            </w:pPr>
            <w:r w:rsidRPr="00F02BC6">
              <w:rPr>
                <w:color w:val="000000"/>
                <w:sz w:val="20"/>
                <w:szCs w:val="20"/>
                <w:lang w:val="en-US"/>
              </w:rPr>
              <w:t>Yes</w:t>
            </w:r>
          </w:p>
        </w:tc>
      </w:tr>
      <w:tr w:rsidR="00474605" w:rsidRPr="00F02BC6" w14:paraId="5416C558" w14:textId="77777777" w:rsidTr="00A22C50">
        <w:tc>
          <w:tcPr>
            <w:tcW w:w="925" w:type="dxa"/>
            <w:vAlign w:val="center"/>
          </w:tcPr>
          <w:p w14:paraId="7D746199" w14:textId="77777777" w:rsidR="00474605" w:rsidRPr="00F02BC6" w:rsidRDefault="00474605" w:rsidP="00474605">
            <w:pPr>
              <w:rPr>
                <w:color w:val="000000"/>
                <w:sz w:val="20"/>
                <w:szCs w:val="20"/>
                <w:lang w:val="en-US"/>
              </w:rPr>
            </w:pPr>
            <w:proofErr w:type="spellStart"/>
            <w:r w:rsidRPr="00F02BC6">
              <w:rPr>
                <w:color w:val="000000"/>
                <w:sz w:val="20"/>
                <w:szCs w:val="20"/>
                <w:lang w:val="en-US"/>
              </w:rPr>
              <w:t>Svedsater</w:t>
            </w:r>
            <w:proofErr w:type="spellEnd"/>
            <w:r w:rsidRPr="00F02BC6">
              <w:rPr>
                <w:color w:val="000000"/>
                <w:sz w:val="20"/>
                <w:szCs w:val="20"/>
                <w:lang w:val="en-US"/>
              </w:rPr>
              <w:t xml:space="preserve"> et al (2019)</w:t>
            </w:r>
          </w:p>
        </w:tc>
        <w:tc>
          <w:tcPr>
            <w:tcW w:w="1227" w:type="dxa"/>
            <w:vAlign w:val="center"/>
          </w:tcPr>
          <w:p w14:paraId="74D13113" w14:textId="31CCBA24" w:rsidR="00474605" w:rsidRPr="00F02BC6" w:rsidRDefault="00474605" w:rsidP="00474605">
            <w:pPr>
              <w:jc w:val="center"/>
              <w:rPr>
                <w:color w:val="000000"/>
                <w:sz w:val="20"/>
                <w:szCs w:val="20"/>
                <w:lang w:val="en-US"/>
              </w:rPr>
            </w:pPr>
            <w:r w:rsidRPr="00F02BC6">
              <w:rPr>
                <w:color w:val="000000"/>
                <w:sz w:val="20"/>
                <w:szCs w:val="20"/>
                <w:lang w:val="en-US"/>
              </w:rPr>
              <w:t>N/A</w:t>
            </w:r>
          </w:p>
        </w:tc>
        <w:tc>
          <w:tcPr>
            <w:tcW w:w="983" w:type="dxa"/>
            <w:vAlign w:val="center"/>
          </w:tcPr>
          <w:p w14:paraId="1854A7E8" w14:textId="22B0E9CE"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227" w:type="dxa"/>
            <w:vAlign w:val="center"/>
          </w:tcPr>
          <w:p w14:paraId="02BA2875" w14:textId="328035A4"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050" w:type="dxa"/>
            <w:vAlign w:val="center"/>
          </w:tcPr>
          <w:p w14:paraId="3AAEB452" w14:textId="6B1491CA"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50" w:type="dxa"/>
            <w:vAlign w:val="center"/>
          </w:tcPr>
          <w:p w14:paraId="5B4880E3" w14:textId="53C42E40"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07855FCE" w14:textId="1423FEAB"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22B9256C" w14:textId="7118A14C"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38" w:type="dxa"/>
            <w:vAlign w:val="center"/>
          </w:tcPr>
          <w:p w14:paraId="33DD73EE" w14:textId="0D642E2B"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83" w:type="dxa"/>
            <w:vAlign w:val="center"/>
          </w:tcPr>
          <w:p w14:paraId="51B5472E" w14:textId="775E56B5"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27" w:type="dxa"/>
            <w:vAlign w:val="center"/>
          </w:tcPr>
          <w:p w14:paraId="327881C2" w14:textId="4572D6BC" w:rsidR="00474605" w:rsidRPr="00F02BC6" w:rsidRDefault="00474605" w:rsidP="00474605">
            <w:pPr>
              <w:jc w:val="center"/>
              <w:rPr>
                <w:color w:val="000000"/>
                <w:sz w:val="20"/>
                <w:szCs w:val="20"/>
                <w:lang w:val="en-US"/>
              </w:rPr>
            </w:pPr>
            <w:r w:rsidRPr="00F02BC6">
              <w:rPr>
                <w:color w:val="000000"/>
                <w:sz w:val="20"/>
                <w:szCs w:val="20"/>
                <w:lang w:val="en-US"/>
              </w:rPr>
              <w:t>Yes</w:t>
            </w:r>
          </w:p>
        </w:tc>
      </w:tr>
      <w:tr w:rsidR="00474605" w:rsidRPr="00F02BC6" w14:paraId="6F0DEC70" w14:textId="77777777" w:rsidTr="00A22C50">
        <w:tc>
          <w:tcPr>
            <w:tcW w:w="925" w:type="dxa"/>
            <w:vAlign w:val="center"/>
          </w:tcPr>
          <w:p w14:paraId="089DA0F5" w14:textId="77777777" w:rsidR="00474605" w:rsidRPr="00F02BC6" w:rsidRDefault="00474605" w:rsidP="00474605">
            <w:pPr>
              <w:rPr>
                <w:color w:val="000000"/>
                <w:sz w:val="20"/>
                <w:szCs w:val="20"/>
                <w:lang w:val="en-US"/>
              </w:rPr>
            </w:pPr>
            <w:r w:rsidRPr="00F02BC6">
              <w:rPr>
                <w:color w:val="000000"/>
                <w:sz w:val="20"/>
                <w:szCs w:val="20"/>
                <w:lang w:val="en-US"/>
              </w:rPr>
              <w:t>Taylor et al (2014)</w:t>
            </w:r>
          </w:p>
        </w:tc>
        <w:tc>
          <w:tcPr>
            <w:tcW w:w="1227" w:type="dxa"/>
            <w:vAlign w:val="center"/>
          </w:tcPr>
          <w:p w14:paraId="22347E45" w14:textId="161F91DD" w:rsidR="00474605" w:rsidRPr="00F02BC6" w:rsidRDefault="00474605" w:rsidP="00474605">
            <w:pPr>
              <w:jc w:val="center"/>
              <w:rPr>
                <w:color w:val="000000"/>
                <w:sz w:val="20"/>
                <w:szCs w:val="20"/>
                <w:lang w:val="en-US"/>
              </w:rPr>
            </w:pPr>
            <w:r w:rsidRPr="00F02BC6">
              <w:rPr>
                <w:color w:val="000000"/>
                <w:sz w:val="20"/>
                <w:szCs w:val="20"/>
                <w:lang w:val="en-US"/>
              </w:rPr>
              <w:t>N/A</w:t>
            </w:r>
          </w:p>
        </w:tc>
        <w:tc>
          <w:tcPr>
            <w:tcW w:w="983" w:type="dxa"/>
            <w:vAlign w:val="center"/>
          </w:tcPr>
          <w:p w14:paraId="52DCD76F" w14:textId="35A30E70"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227" w:type="dxa"/>
            <w:vAlign w:val="center"/>
          </w:tcPr>
          <w:p w14:paraId="7D41AA44" w14:textId="443F3DEF"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050" w:type="dxa"/>
            <w:vAlign w:val="center"/>
          </w:tcPr>
          <w:p w14:paraId="5B2DF6F3" w14:textId="08B7B163"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50" w:type="dxa"/>
            <w:vAlign w:val="center"/>
          </w:tcPr>
          <w:p w14:paraId="0D67B90C" w14:textId="327EDF98"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5F32C2FF" w14:textId="01C6A3D6"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396F8EF9" w14:textId="2D5D57E7"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38" w:type="dxa"/>
            <w:vAlign w:val="center"/>
          </w:tcPr>
          <w:p w14:paraId="07CCB43D" w14:textId="05C75A28"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83" w:type="dxa"/>
            <w:vAlign w:val="center"/>
          </w:tcPr>
          <w:p w14:paraId="532B2A1A" w14:textId="4CD4527E"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27" w:type="dxa"/>
            <w:vAlign w:val="center"/>
          </w:tcPr>
          <w:p w14:paraId="39FB0C26" w14:textId="08C093AE" w:rsidR="00474605" w:rsidRPr="00F02BC6" w:rsidRDefault="00474605" w:rsidP="00474605">
            <w:pPr>
              <w:jc w:val="center"/>
              <w:rPr>
                <w:color w:val="000000"/>
                <w:sz w:val="20"/>
                <w:szCs w:val="20"/>
                <w:lang w:val="en-US"/>
              </w:rPr>
            </w:pPr>
            <w:r w:rsidRPr="00F02BC6">
              <w:rPr>
                <w:color w:val="000000"/>
                <w:sz w:val="20"/>
                <w:szCs w:val="20"/>
                <w:lang w:val="en-US"/>
              </w:rPr>
              <w:t>Yes</w:t>
            </w:r>
          </w:p>
        </w:tc>
      </w:tr>
      <w:tr w:rsidR="00474605" w:rsidRPr="00F02BC6" w14:paraId="224D388F" w14:textId="77777777" w:rsidTr="00A22C50">
        <w:tc>
          <w:tcPr>
            <w:tcW w:w="925" w:type="dxa"/>
            <w:vAlign w:val="center"/>
          </w:tcPr>
          <w:p w14:paraId="04346E57" w14:textId="77777777" w:rsidR="00474605" w:rsidRPr="00F02BC6" w:rsidRDefault="00474605" w:rsidP="00474605">
            <w:pPr>
              <w:rPr>
                <w:color w:val="000000"/>
                <w:sz w:val="20"/>
                <w:szCs w:val="20"/>
                <w:lang w:val="en-US"/>
              </w:rPr>
            </w:pPr>
            <w:r w:rsidRPr="00F02BC6">
              <w:rPr>
                <w:color w:val="000000"/>
                <w:sz w:val="20"/>
                <w:szCs w:val="20"/>
                <w:lang w:val="en-US"/>
              </w:rPr>
              <w:t>Vaidya et al (2019)</w:t>
            </w:r>
          </w:p>
        </w:tc>
        <w:tc>
          <w:tcPr>
            <w:tcW w:w="1227" w:type="dxa"/>
            <w:vAlign w:val="center"/>
          </w:tcPr>
          <w:p w14:paraId="6A79B793" w14:textId="7ACAFF29" w:rsidR="00474605" w:rsidRPr="00F02BC6" w:rsidRDefault="00474605" w:rsidP="00474605">
            <w:pPr>
              <w:jc w:val="center"/>
              <w:rPr>
                <w:color w:val="000000"/>
                <w:sz w:val="20"/>
                <w:szCs w:val="20"/>
                <w:lang w:val="en-US"/>
              </w:rPr>
            </w:pPr>
            <w:r w:rsidRPr="00F02BC6">
              <w:rPr>
                <w:color w:val="000000"/>
                <w:sz w:val="20"/>
                <w:szCs w:val="20"/>
                <w:lang w:val="en-US"/>
              </w:rPr>
              <w:t>N/A</w:t>
            </w:r>
          </w:p>
        </w:tc>
        <w:tc>
          <w:tcPr>
            <w:tcW w:w="983" w:type="dxa"/>
            <w:vAlign w:val="center"/>
          </w:tcPr>
          <w:p w14:paraId="5A84768A" w14:textId="15282105"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227" w:type="dxa"/>
            <w:vAlign w:val="center"/>
          </w:tcPr>
          <w:p w14:paraId="26C47ACE" w14:textId="5A93D34A"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050" w:type="dxa"/>
            <w:vAlign w:val="center"/>
          </w:tcPr>
          <w:p w14:paraId="5AA7EF2D" w14:textId="73079BCF"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50" w:type="dxa"/>
            <w:vAlign w:val="center"/>
          </w:tcPr>
          <w:p w14:paraId="778F6FFB" w14:textId="5F08F790"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54C7D9D5" w14:textId="6A176899"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11FC9EB7" w14:textId="0355BDC2"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38" w:type="dxa"/>
            <w:vAlign w:val="center"/>
          </w:tcPr>
          <w:p w14:paraId="2361A042" w14:textId="05AF6AC1"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83" w:type="dxa"/>
            <w:vAlign w:val="center"/>
          </w:tcPr>
          <w:p w14:paraId="734DCC48" w14:textId="1B06822B"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27" w:type="dxa"/>
            <w:vAlign w:val="center"/>
          </w:tcPr>
          <w:p w14:paraId="0AA2CADD" w14:textId="03E64613" w:rsidR="00474605" w:rsidRPr="00F02BC6" w:rsidRDefault="00474605" w:rsidP="00474605">
            <w:pPr>
              <w:jc w:val="center"/>
              <w:rPr>
                <w:color w:val="000000"/>
                <w:sz w:val="20"/>
                <w:szCs w:val="20"/>
                <w:lang w:val="en-US"/>
              </w:rPr>
            </w:pPr>
            <w:r w:rsidRPr="00F02BC6">
              <w:rPr>
                <w:color w:val="000000"/>
                <w:sz w:val="20"/>
                <w:szCs w:val="20"/>
                <w:lang w:val="en-US"/>
              </w:rPr>
              <w:t>Yes</w:t>
            </w:r>
          </w:p>
        </w:tc>
      </w:tr>
      <w:tr w:rsidR="00474605" w:rsidRPr="00F02BC6" w14:paraId="3FE0DA47" w14:textId="77777777" w:rsidTr="00A22C50">
        <w:tc>
          <w:tcPr>
            <w:tcW w:w="925" w:type="dxa"/>
            <w:vAlign w:val="center"/>
          </w:tcPr>
          <w:p w14:paraId="077F893D" w14:textId="77777777" w:rsidR="00474605" w:rsidRPr="00F02BC6" w:rsidRDefault="00474605" w:rsidP="00474605">
            <w:pPr>
              <w:rPr>
                <w:color w:val="000000"/>
                <w:sz w:val="20"/>
                <w:szCs w:val="20"/>
                <w:lang w:val="en-US"/>
              </w:rPr>
            </w:pPr>
            <w:r w:rsidRPr="00F02BC6">
              <w:rPr>
                <w:color w:val="000000"/>
                <w:sz w:val="20"/>
                <w:szCs w:val="20"/>
                <w:lang w:val="en-US"/>
              </w:rPr>
              <w:t>Vaidya et al (2013)</w:t>
            </w:r>
          </w:p>
        </w:tc>
        <w:tc>
          <w:tcPr>
            <w:tcW w:w="1227" w:type="dxa"/>
            <w:vAlign w:val="center"/>
          </w:tcPr>
          <w:p w14:paraId="42C0A0FB" w14:textId="594EDACC" w:rsidR="00474605" w:rsidRPr="00F02BC6" w:rsidRDefault="00474605" w:rsidP="00474605">
            <w:pPr>
              <w:jc w:val="center"/>
              <w:rPr>
                <w:color w:val="000000"/>
                <w:sz w:val="20"/>
                <w:szCs w:val="20"/>
                <w:lang w:val="en-US"/>
              </w:rPr>
            </w:pPr>
            <w:r w:rsidRPr="00F02BC6">
              <w:rPr>
                <w:color w:val="000000"/>
                <w:sz w:val="20"/>
                <w:szCs w:val="20"/>
                <w:lang w:val="en-US"/>
              </w:rPr>
              <w:t>N/A</w:t>
            </w:r>
          </w:p>
        </w:tc>
        <w:tc>
          <w:tcPr>
            <w:tcW w:w="983" w:type="dxa"/>
            <w:vAlign w:val="center"/>
          </w:tcPr>
          <w:p w14:paraId="72ECA362" w14:textId="1A57755A"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227" w:type="dxa"/>
            <w:vAlign w:val="center"/>
          </w:tcPr>
          <w:p w14:paraId="7B44DD82" w14:textId="283DCDF2"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050" w:type="dxa"/>
            <w:vAlign w:val="center"/>
          </w:tcPr>
          <w:p w14:paraId="1BF2CE9F" w14:textId="661284FE"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50" w:type="dxa"/>
            <w:vAlign w:val="center"/>
          </w:tcPr>
          <w:p w14:paraId="4CED701E" w14:textId="6F84FA6F"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4BF31E3E" w14:textId="5B885F52"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48DC0737" w14:textId="19BDB551"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38" w:type="dxa"/>
            <w:vAlign w:val="center"/>
          </w:tcPr>
          <w:p w14:paraId="3C0DA8E4" w14:textId="1DE1A6D1"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83" w:type="dxa"/>
            <w:vAlign w:val="center"/>
          </w:tcPr>
          <w:p w14:paraId="7314F97C" w14:textId="74C950DA"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27" w:type="dxa"/>
            <w:vAlign w:val="center"/>
          </w:tcPr>
          <w:p w14:paraId="06B3EEE7" w14:textId="6A2FAC7C" w:rsidR="00474605" w:rsidRPr="00F02BC6" w:rsidRDefault="00474605" w:rsidP="00474605">
            <w:pPr>
              <w:jc w:val="center"/>
              <w:rPr>
                <w:color w:val="000000"/>
                <w:sz w:val="20"/>
                <w:szCs w:val="20"/>
                <w:lang w:val="en-US"/>
              </w:rPr>
            </w:pPr>
            <w:r w:rsidRPr="00F02BC6">
              <w:rPr>
                <w:color w:val="000000"/>
                <w:sz w:val="20"/>
                <w:szCs w:val="20"/>
                <w:lang w:val="en-US"/>
              </w:rPr>
              <w:t>Yes</w:t>
            </w:r>
          </w:p>
        </w:tc>
      </w:tr>
      <w:tr w:rsidR="00474605" w:rsidRPr="00F02BC6" w14:paraId="5B56A9A9" w14:textId="77777777" w:rsidTr="00A22C50">
        <w:tc>
          <w:tcPr>
            <w:tcW w:w="925" w:type="dxa"/>
            <w:vAlign w:val="center"/>
          </w:tcPr>
          <w:p w14:paraId="30229EC6" w14:textId="77777777" w:rsidR="00474605" w:rsidRPr="00F02BC6" w:rsidRDefault="00474605" w:rsidP="00474605">
            <w:pPr>
              <w:rPr>
                <w:color w:val="000000"/>
                <w:sz w:val="20"/>
                <w:szCs w:val="20"/>
                <w:lang w:val="en-US"/>
              </w:rPr>
            </w:pPr>
            <w:r w:rsidRPr="00F02BC6">
              <w:rPr>
                <w:color w:val="000000"/>
                <w:sz w:val="20"/>
                <w:szCs w:val="20"/>
                <w:lang w:val="en-US"/>
              </w:rPr>
              <w:t>Van Boven et al (2020)</w:t>
            </w:r>
          </w:p>
        </w:tc>
        <w:tc>
          <w:tcPr>
            <w:tcW w:w="1227" w:type="dxa"/>
            <w:vAlign w:val="center"/>
          </w:tcPr>
          <w:p w14:paraId="3B31E89F" w14:textId="387CAB8D" w:rsidR="00474605" w:rsidRPr="00F02BC6" w:rsidRDefault="00474605" w:rsidP="00474605">
            <w:pPr>
              <w:jc w:val="center"/>
              <w:rPr>
                <w:color w:val="000000"/>
                <w:sz w:val="20"/>
                <w:szCs w:val="20"/>
                <w:lang w:val="en-US"/>
              </w:rPr>
            </w:pPr>
            <w:r w:rsidRPr="00F02BC6">
              <w:rPr>
                <w:color w:val="000000"/>
                <w:sz w:val="20"/>
                <w:szCs w:val="20"/>
                <w:lang w:val="en-US"/>
              </w:rPr>
              <w:t>N/A</w:t>
            </w:r>
          </w:p>
        </w:tc>
        <w:tc>
          <w:tcPr>
            <w:tcW w:w="983" w:type="dxa"/>
            <w:vAlign w:val="center"/>
          </w:tcPr>
          <w:p w14:paraId="04B5FBAD" w14:textId="21CE20A8"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227" w:type="dxa"/>
            <w:vAlign w:val="center"/>
          </w:tcPr>
          <w:p w14:paraId="5484BC24" w14:textId="7BC79E1A"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050" w:type="dxa"/>
            <w:vAlign w:val="center"/>
          </w:tcPr>
          <w:p w14:paraId="033295F0" w14:textId="340939D1"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50" w:type="dxa"/>
            <w:vAlign w:val="center"/>
          </w:tcPr>
          <w:p w14:paraId="46AEB808" w14:textId="60FBCFD4"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37D6EC51" w14:textId="3760EE1A"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4B34AF00" w14:textId="1C9B3F7A"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38" w:type="dxa"/>
            <w:vAlign w:val="center"/>
          </w:tcPr>
          <w:p w14:paraId="3F2A6918" w14:textId="0ADEF19B"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83" w:type="dxa"/>
            <w:vAlign w:val="center"/>
          </w:tcPr>
          <w:p w14:paraId="590E8C3E" w14:textId="25E78953"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27" w:type="dxa"/>
            <w:vAlign w:val="center"/>
          </w:tcPr>
          <w:p w14:paraId="1E270E27" w14:textId="3E8BE99A" w:rsidR="00474605" w:rsidRPr="00F02BC6" w:rsidRDefault="00474605" w:rsidP="00474605">
            <w:pPr>
              <w:jc w:val="center"/>
              <w:rPr>
                <w:color w:val="000000"/>
                <w:sz w:val="20"/>
                <w:szCs w:val="20"/>
                <w:lang w:val="en-US"/>
              </w:rPr>
            </w:pPr>
            <w:r w:rsidRPr="00F02BC6">
              <w:rPr>
                <w:color w:val="000000"/>
                <w:sz w:val="20"/>
                <w:szCs w:val="20"/>
                <w:lang w:val="en-US"/>
              </w:rPr>
              <w:t>Yes</w:t>
            </w:r>
          </w:p>
        </w:tc>
      </w:tr>
      <w:tr w:rsidR="00474605" w:rsidRPr="00F02BC6" w14:paraId="477945FD" w14:textId="77777777" w:rsidTr="00A22C50">
        <w:tc>
          <w:tcPr>
            <w:tcW w:w="925" w:type="dxa"/>
            <w:vAlign w:val="center"/>
          </w:tcPr>
          <w:p w14:paraId="26B79AC7" w14:textId="77777777" w:rsidR="00474605" w:rsidRPr="00F02BC6" w:rsidRDefault="00474605" w:rsidP="00474605">
            <w:pPr>
              <w:rPr>
                <w:color w:val="000000"/>
                <w:sz w:val="20"/>
                <w:szCs w:val="20"/>
                <w:lang w:val="en-US"/>
              </w:rPr>
            </w:pPr>
            <w:proofErr w:type="spellStart"/>
            <w:r w:rsidRPr="00F02BC6">
              <w:rPr>
                <w:color w:val="000000"/>
                <w:sz w:val="20"/>
                <w:szCs w:val="20"/>
                <w:lang w:val="en-US"/>
              </w:rPr>
              <w:t>Vervloet</w:t>
            </w:r>
            <w:proofErr w:type="spellEnd"/>
            <w:r w:rsidRPr="00F02BC6">
              <w:rPr>
                <w:color w:val="000000"/>
                <w:sz w:val="20"/>
                <w:szCs w:val="20"/>
                <w:lang w:val="en-US"/>
              </w:rPr>
              <w:t xml:space="preserve"> et al (2020)</w:t>
            </w:r>
          </w:p>
        </w:tc>
        <w:tc>
          <w:tcPr>
            <w:tcW w:w="1227" w:type="dxa"/>
            <w:vAlign w:val="center"/>
          </w:tcPr>
          <w:p w14:paraId="6CB98AB9" w14:textId="061040BB" w:rsidR="00474605" w:rsidRPr="00F02BC6" w:rsidRDefault="00474605" w:rsidP="00474605">
            <w:pPr>
              <w:jc w:val="center"/>
              <w:rPr>
                <w:color w:val="000000"/>
                <w:sz w:val="20"/>
                <w:szCs w:val="20"/>
                <w:lang w:val="en-US"/>
              </w:rPr>
            </w:pPr>
            <w:r w:rsidRPr="00F02BC6">
              <w:rPr>
                <w:color w:val="000000"/>
                <w:sz w:val="20"/>
                <w:szCs w:val="20"/>
                <w:lang w:val="en-US"/>
              </w:rPr>
              <w:t>N/A</w:t>
            </w:r>
          </w:p>
        </w:tc>
        <w:tc>
          <w:tcPr>
            <w:tcW w:w="983" w:type="dxa"/>
            <w:vAlign w:val="center"/>
          </w:tcPr>
          <w:p w14:paraId="250BD185" w14:textId="5CBEDAB3"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227" w:type="dxa"/>
            <w:vAlign w:val="center"/>
          </w:tcPr>
          <w:p w14:paraId="5171ADF6" w14:textId="20D8EB3B"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050" w:type="dxa"/>
            <w:vAlign w:val="center"/>
          </w:tcPr>
          <w:p w14:paraId="112B9D9F" w14:textId="3CC506FB"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50" w:type="dxa"/>
            <w:vAlign w:val="center"/>
          </w:tcPr>
          <w:p w14:paraId="514A9BC7" w14:textId="6DA9AF23"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3646F1EB" w14:textId="21B0B765"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5ABB88EE" w14:textId="137863E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38" w:type="dxa"/>
            <w:vAlign w:val="center"/>
          </w:tcPr>
          <w:p w14:paraId="6780F404" w14:textId="0C9D4FF7"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83" w:type="dxa"/>
            <w:vAlign w:val="center"/>
          </w:tcPr>
          <w:p w14:paraId="591E2A53" w14:textId="0A116F4E"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27" w:type="dxa"/>
            <w:vAlign w:val="center"/>
          </w:tcPr>
          <w:p w14:paraId="754A8911" w14:textId="59E7BC21" w:rsidR="00474605" w:rsidRPr="00F02BC6" w:rsidRDefault="00474605" w:rsidP="00474605">
            <w:pPr>
              <w:jc w:val="center"/>
              <w:rPr>
                <w:color w:val="000000"/>
                <w:sz w:val="20"/>
                <w:szCs w:val="20"/>
                <w:lang w:val="en-US"/>
              </w:rPr>
            </w:pPr>
            <w:r w:rsidRPr="00F02BC6">
              <w:rPr>
                <w:color w:val="000000"/>
                <w:sz w:val="20"/>
                <w:szCs w:val="20"/>
                <w:lang w:val="en-US"/>
              </w:rPr>
              <w:t>Yes</w:t>
            </w:r>
          </w:p>
        </w:tc>
      </w:tr>
      <w:tr w:rsidR="00474605" w:rsidRPr="00F02BC6" w14:paraId="509C997E" w14:textId="77777777" w:rsidTr="00A22C50">
        <w:tc>
          <w:tcPr>
            <w:tcW w:w="925" w:type="dxa"/>
            <w:vAlign w:val="center"/>
          </w:tcPr>
          <w:p w14:paraId="127BD692" w14:textId="77777777" w:rsidR="00474605" w:rsidRPr="00F02BC6" w:rsidRDefault="00474605" w:rsidP="00474605">
            <w:pPr>
              <w:rPr>
                <w:color w:val="000000"/>
                <w:sz w:val="20"/>
                <w:szCs w:val="20"/>
                <w:lang w:val="en-US"/>
              </w:rPr>
            </w:pPr>
            <w:r w:rsidRPr="00F02BC6">
              <w:rPr>
                <w:color w:val="000000"/>
                <w:sz w:val="20"/>
                <w:szCs w:val="20"/>
                <w:lang w:val="en-US"/>
              </w:rPr>
              <w:t>Williams et al (2012)</w:t>
            </w:r>
          </w:p>
        </w:tc>
        <w:tc>
          <w:tcPr>
            <w:tcW w:w="1227" w:type="dxa"/>
            <w:vAlign w:val="center"/>
          </w:tcPr>
          <w:p w14:paraId="33E34FD2" w14:textId="05B9AC4D" w:rsidR="00474605" w:rsidRPr="00F02BC6" w:rsidRDefault="00E117B0" w:rsidP="00474605">
            <w:pPr>
              <w:jc w:val="center"/>
              <w:rPr>
                <w:color w:val="000000"/>
                <w:sz w:val="20"/>
                <w:szCs w:val="20"/>
                <w:lang w:val="en-US"/>
              </w:rPr>
            </w:pPr>
            <w:r w:rsidRPr="00F02BC6">
              <w:rPr>
                <w:color w:val="000000"/>
                <w:sz w:val="20"/>
                <w:szCs w:val="20"/>
                <w:lang w:val="en-US"/>
              </w:rPr>
              <w:t>N/A</w:t>
            </w:r>
          </w:p>
        </w:tc>
        <w:tc>
          <w:tcPr>
            <w:tcW w:w="983" w:type="dxa"/>
            <w:vAlign w:val="center"/>
          </w:tcPr>
          <w:p w14:paraId="3279E848" w14:textId="56C83213" w:rsidR="00474605" w:rsidRPr="00F02BC6" w:rsidRDefault="00E117B0" w:rsidP="00474605">
            <w:pPr>
              <w:jc w:val="center"/>
              <w:rPr>
                <w:color w:val="000000"/>
                <w:sz w:val="20"/>
                <w:szCs w:val="20"/>
                <w:lang w:val="en-US"/>
              </w:rPr>
            </w:pPr>
            <w:r w:rsidRPr="00F02BC6">
              <w:rPr>
                <w:color w:val="000000"/>
                <w:sz w:val="20"/>
                <w:szCs w:val="20"/>
                <w:lang w:val="en-US"/>
              </w:rPr>
              <w:t>Yes</w:t>
            </w:r>
          </w:p>
        </w:tc>
        <w:tc>
          <w:tcPr>
            <w:tcW w:w="1227" w:type="dxa"/>
            <w:vAlign w:val="center"/>
          </w:tcPr>
          <w:p w14:paraId="09D0E674" w14:textId="23CD3003" w:rsidR="00474605" w:rsidRPr="00F02BC6" w:rsidRDefault="00E117B0" w:rsidP="00474605">
            <w:pPr>
              <w:jc w:val="center"/>
              <w:rPr>
                <w:color w:val="000000"/>
                <w:sz w:val="20"/>
                <w:szCs w:val="20"/>
                <w:lang w:val="en-US"/>
              </w:rPr>
            </w:pPr>
            <w:r w:rsidRPr="00F02BC6">
              <w:rPr>
                <w:color w:val="000000"/>
                <w:sz w:val="20"/>
                <w:szCs w:val="20"/>
                <w:lang w:val="en-US"/>
              </w:rPr>
              <w:t>Unclear</w:t>
            </w:r>
          </w:p>
        </w:tc>
        <w:tc>
          <w:tcPr>
            <w:tcW w:w="1050" w:type="dxa"/>
            <w:vAlign w:val="center"/>
          </w:tcPr>
          <w:p w14:paraId="2E25B0E1" w14:textId="74261382" w:rsidR="00474605" w:rsidRPr="00F02BC6" w:rsidRDefault="00E117B0" w:rsidP="00474605">
            <w:pPr>
              <w:jc w:val="center"/>
              <w:rPr>
                <w:color w:val="000000"/>
                <w:sz w:val="20"/>
                <w:szCs w:val="20"/>
                <w:lang w:val="en-US"/>
              </w:rPr>
            </w:pPr>
            <w:r w:rsidRPr="00F02BC6">
              <w:rPr>
                <w:color w:val="000000"/>
                <w:sz w:val="20"/>
                <w:szCs w:val="20"/>
                <w:lang w:val="en-US"/>
              </w:rPr>
              <w:t>Unclear</w:t>
            </w:r>
          </w:p>
        </w:tc>
        <w:tc>
          <w:tcPr>
            <w:tcW w:w="1150" w:type="dxa"/>
            <w:vAlign w:val="center"/>
          </w:tcPr>
          <w:p w14:paraId="76FF7F2D" w14:textId="3E563B6E" w:rsidR="00474605" w:rsidRPr="00F02BC6" w:rsidRDefault="00E117B0"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42BEE093" w14:textId="490DFC50" w:rsidR="00474605" w:rsidRPr="00F02BC6" w:rsidRDefault="00E117B0"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2FBA51BA" w14:textId="7C47419C" w:rsidR="00474605" w:rsidRPr="00F02BC6" w:rsidRDefault="00E117B0" w:rsidP="00474605">
            <w:pPr>
              <w:jc w:val="center"/>
              <w:rPr>
                <w:color w:val="000000"/>
                <w:sz w:val="20"/>
                <w:szCs w:val="20"/>
                <w:lang w:val="en-US"/>
              </w:rPr>
            </w:pPr>
            <w:r w:rsidRPr="00F02BC6">
              <w:rPr>
                <w:color w:val="000000"/>
                <w:sz w:val="20"/>
                <w:szCs w:val="20"/>
                <w:lang w:val="en-US"/>
              </w:rPr>
              <w:t>Yes</w:t>
            </w:r>
          </w:p>
        </w:tc>
        <w:tc>
          <w:tcPr>
            <w:tcW w:w="1138" w:type="dxa"/>
            <w:vAlign w:val="center"/>
          </w:tcPr>
          <w:p w14:paraId="19DE1CBF" w14:textId="781D1D71" w:rsidR="00474605" w:rsidRPr="00F02BC6" w:rsidRDefault="00E117B0" w:rsidP="00474605">
            <w:pPr>
              <w:jc w:val="center"/>
              <w:rPr>
                <w:color w:val="000000"/>
                <w:sz w:val="20"/>
                <w:szCs w:val="20"/>
                <w:lang w:val="en-US"/>
              </w:rPr>
            </w:pPr>
            <w:r w:rsidRPr="00F02BC6">
              <w:rPr>
                <w:color w:val="000000"/>
                <w:sz w:val="20"/>
                <w:szCs w:val="20"/>
                <w:lang w:val="en-US"/>
              </w:rPr>
              <w:t>Probably yes</w:t>
            </w:r>
          </w:p>
        </w:tc>
        <w:tc>
          <w:tcPr>
            <w:tcW w:w="1183" w:type="dxa"/>
            <w:vAlign w:val="center"/>
          </w:tcPr>
          <w:p w14:paraId="79018C7F" w14:textId="57647F65" w:rsidR="00474605" w:rsidRPr="00F02BC6" w:rsidRDefault="00E117B0" w:rsidP="00474605">
            <w:pPr>
              <w:jc w:val="center"/>
              <w:rPr>
                <w:color w:val="000000"/>
                <w:sz w:val="20"/>
                <w:szCs w:val="20"/>
                <w:lang w:val="en-US"/>
              </w:rPr>
            </w:pPr>
            <w:r w:rsidRPr="00F02BC6">
              <w:rPr>
                <w:color w:val="000000"/>
                <w:sz w:val="20"/>
                <w:szCs w:val="20"/>
                <w:lang w:val="en-US"/>
              </w:rPr>
              <w:t>No</w:t>
            </w:r>
          </w:p>
        </w:tc>
        <w:tc>
          <w:tcPr>
            <w:tcW w:w="1127" w:type="dxa"/>
            <w:vAlign w:val="center"/>
          </w:tcPr>
          <w:p w14:paraId="4B77DE6B" w14:textId="4E3AF446" w:rsidR="00474605" w:rsidRPr="00F02BC6" w:rsidRDefault="00E117B0" w:rsidP="00474605">
            <w:pPr>
              <w:jc w:val="center"/>
              <w:rPr>
                <w:color w:val="000000"/>
                <w:sz w:val="20"/>
                <w:szCs w:val="20"/>
                <w:lang w:val="en-US"/>
              </w:rPr>
            </w:pPr>
            <w:r w:rsidRPr="00F02BC6">
              <w:rPr>
                <w:color w:val="000000"/>
                <w:sz w:val="20"/>
                <w:szCs w:val="20"/>
                <w:lang w:val="en-US"/>
              </w:rPr>
              <w:t>Yes</w:t>
            </w:r>
          </w:p>
        </w:tc>
      </w:tr>
      <w:tr w:rsidR="00474605" w:rsidRPr="00F02BC6" w14:paraId="4403AB9E" w14:textId="77777777" w:rsidTr="00A22C50">
        <w:tc>
          <w:tcPr>
            <w:tcW w:w="925" w:type="dxa"/>
            <w:vAlign w:val="center"/>
          </w:tcPr>
          <w:p w14:paraId="22B962D2" w14:textId="77777777" w:rsidR="00474605" w:rsidRPr="00F02BC6" w:rsidRDefault="00474605" w:rsidP="00474605">
            <w:pPr>
              <w:rPr>
                <w:color w:val="000000"/>
                <w:sz w:val="20"/>
                <w:szCs w:val="20"/>
                <w:lang w:val="en-US"/>
              </w:rPr>
            </w:pPr>
            <w:r w:rsidRPr="00F02BC6">
              <w:rPr>
                <w:color w:val="000000"/>
                <w:sz w:val="20"/>
                <w:szCs w:val="20"/>
                <w:lang w:val="en-US"/>
              </w:rPr>
              <w:t>Woodcroft et al (2016)</w:t>
            </w:r>
          </w:p>
        </w:tc>
        <w:tc>
          <w:tcPr>
            <w:tcW w:w="1227" w:type="dxa"/>
            <w:vAlign w:val="center"/>
          </w:tcPr>
          <w:p w14:paraId="3D10E948" w14:textId="73C78FC1" w:rsidR="00474605" w:rsidRPr="00F02BC6" w:rsidRDefault="003C06E7" w:rsidP="00474605">
            <w:pPr>
              <w:jc w:val="center"/>
              <w:rPr>
                <w:color w:val="000000"/>
                <w:sz w:val="20"/>
                <w:szCs w:val="20"/>
                <w:lang w:val="en-US"/>
              </w:rPr>
            </w:pPr>
            <w:r w:rsidRPr="00F02BC6">
              <w:rPr>
                <w:color w:val="000000"/>
                <w:sz w:val="20"/>
                <w:szCs w:val="20"/>
                <w:lang w:val="en-US"/>
              </w:rPr>
              <w:t>N/A</w:t>
            </w:r>
          </w:p>
        </w:tc>
        <w:tc>
          <w:tcPr>
            <w:tcW w:w="983" w:type="dxa"/>
            <w:vAlign w:val="center"/>
          </w:tcPr>
          <w:p w14:paraId="4CD24493" w14:textId="512CE8C7" w:rsidR="00474605" w:rsidRPr="00F02BC6" w:rsidRDefault="003C06E7" w:rsidP="00474605">
            <w:pPr>
              <w:jc w:val="center"/>
              <w:rPr>
                <w:color w:val="000000"/>
                <w:sz w:val="20"/>
                <w:szCs w:val="20"/>
                <w:lang w:val="en-US"/>
              </w:rPr>
            </w:pPr>
            <w:r w:rsidRPr="00F02BC6">
              <w:rPr>
                <w:color w:val="000000"/>
                <w:sz w:val="20"/>
                <w:szCs w:val="20"/>
                <w:lang w:val="en-US"/>
              </w:rPr>
              <w:t>Yes</w:t>
            </w:r>
          </w:p>
        </w:tc>
        <w:tc>
          <w:tcPr>
            <w:tcW w:w="1227" w:type="dxa"/>
            <w:vAlign w:val="center"/>
          </w:tcPr>
          <w:p w14:paraId="399D97F1" w14:textId="1DA62B20" w:rsidR="00474605" w:rsidRPr="00F02BC6" w:rsidRDefault="003C06E7" w:rsidP="00474605">
            <w:pPr>
              <w:jc w:val="center"/>
              <w:rPr>
                <w:color w:val="000000"/>
                <w:sz w:val="20"/>
                <w:szCs w:val="20"/>
                <w:lang w:val="en-US"/>
              </w:rPr>
            </w:pPr>
            <w:r w:rsidRPr="00F02BC6">
              <w:rPr>
                <w:color w:val="000000"/>
                <w:sz w:val="20"/>
                <w:szCs w:val="20"/>
                <w:lang w:val="en-US"/>
              </w:rPr>
              <w:t>Unclear</w:t>
            </w:r>
          </w:p>
        </w:tc>
        <w:tc>
          <w:tcPr>
            <w:tcW w:w="1050" w:type="dxa"/>
            <w:vAlign w:val="center"/>
          </w:tcPr>
          <w:p w14:paraId="6DDAB889" w14:textId="48F67A9C" w:rsidR="00474605" w:rsidRPr="00F02BC6" w:rsidRDefault="003C06E7" w:rsidP="00474605">
            <w:pPr>
              <w:jc w:val="center"/>
              <w:rPr>
                <w:color w:val="000000"/>
                <w:sz w:val="20"/>
                <w:szCs w:val="20"/>
                <w:lang w:val="en-US"/>
              </w:rPr>
            </w:pPr>
            <w:r w:rsidRPr="00F02BC6">
              <w:rPr>
                <w:color w:val="000000"/>
                <w:sz w:val="20"/>
                <w:szCs w:val="20"/>
                <w:lang w:val="en-US"/>
              </w:rPr>
              <w:t>Unclear</w:t>
            </w:r>
          </w:p>
        </w:tc>
        <w:tc>
          <w:tcPr>
            <w:tcW w:w="1150" w:type="dxa"/>
            <w:vAlign w:val="center"/>
          </w:tcPr>
          <w:p w14:paraId="7AE6649D" w14:textId="75BF637C" w:rsidR="00474605" w:rsidRPr="00F02BC6" w:rsidRDefault="003C06E7"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73AEDD2F" w14:textId="2C683DD1" w:rsidR="00474605" w:rsidRPr="00F02BC6" w:rsidRDefault="003C06E7"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1668418C" w14:textId="3C64A73B" w:rsidR="00474605" w:rsidRPr="00F02BC6" w:rsidRDefault="003C06E7" w:rsidP="00474605">
            <w:pPr>
              <w:jc w:val="center"/>
              <w:rPr>
                <w:color w:val="000000"/>
                <w:sz w:val="20"/>
                <w:szCs w:val="20"/>
                <w:lang w:val="en-US"/>
              </w:rPr>
            </w:pPr>
            <w:r w:rsidRPr="00F02BC6">
              <w:rPr>
                <w:color w:val="000000"/>
                <w:sz w:val="20"/>
                <w:szCs w:val="20"/>
                <w:lang w:val="en-US"/>
              </w:rPr>
              <w:t>Yes</w:t>
            </w:r>
          </w:p>
        </w:tc>
        <w:tc>
          <w:tcPr>
            <w:tcW w:w="1138" w:type="dxa"/>
            <w:vAlign w:val="center"/>
          </w:tcPr>
          <w:p w14:paraId="38A759DF" w14:textId="0AADDBFB" w:rsidR="00474605" w:rsidRPr="00F02BC6" w:rsidRDefault="003C06E7" w:rsidP="00474605">
            <w:pPr>
              <w:jc w:val="center"/>
              <w:rPr>
                <w:color w:val="000000"/>
                <w:sz w:val="20"/>
                <w:szCs w:val="20"/>
                <w:lang w:val="en-US"/>
              </w:rPr>
            </w:pPr>
            <w:r w:rsidRPr="00F02BC6">
              <w:rPr>
                <w:color w:val="000000"/>
                <w:sz w:val="20"/>
                <w:szCs w:val="20"/>
                <w:lang w:val="en-US"/>
              </w:rPr>
              <w:t>Probably yes</w:t>
            </w:r>
          </w:p>
        </w:tc>
        <w:tc>
          <w:tcPr>
            <w:tcW w:w="1183" w:type="dxa"/>
            <w:vAlign w:val="center"/>
          </w:tcPr>
          <w:p w14:paraId="072F9AD4" w14:textId="727572AE" w:rsidR="00474605" w:rsidRPr="00F02BC6" w:rsidRDefault="003C06E7" w:rsidP="00474605">
            <w:pPr>
              <w:jc w:val="center"/>
              <w:rPr>
                <w:color w:val="000000"/>
                <w:sz w:val="20"/>
                <w:szCs w:val="20"/>
                <w:lang w:val="en-US"/>
              </w:rPr>
            </w:pPr>
            <w:r w:rsidRPr="00F02BC6">
              <w:rPr>
                <w:color w:val="000000"/>
                <w:sz w:val="20"/>
                <w:szCs w:val="20"/>
                <w:lang w:val="en-US"/>
              </w:rPr>
              <w:t>Unclear</w:t>
            </w:r>
          </w:p>
        </w:tc>
        <w:tc>
          <w:tcPr>
            <w:tcW w:w="1127" w:type="dxa"/>
            <w:vAlign w:val="center"/>
          </w:tcPr>
          <w:p w14:paraId="48537030" w14:textId="0619EF1A" w:rsidR="00474605" w:rsidRPr="00F02BC6" w:rsidRDefault="003C06E7" w:rsidP="00474605">
            <w:pPr>
              <w:jc w:val="center"/>
              <w:rPr>
                <w:color w:val="000000"/>
                <w:sz w:val="20"/>
                <w:szCs w:val="20"/>
                <w:lang w:val="en-US"/>
              </w:rPr>
            </w:pPr>
            <w:r w:rsidRPr="00F02BC6">
              <w:rPr>
                <w:color w:val="000000"/>
                <w:sz w:val="20"/>
                <w:szCs w:val="20"/>
                <w:lang w:val="en-US"/>
              </w:rPr>
              <w:t>Yes</w:t>
            </w:r>
          </w:p>
        </w:tc>
      </w:tr>
      <w:tr w:rsidR="00474605" w:rsidRPr="00F02BC6" w14:paraId="12C63AC5" w14:textId="77777777" w:rsidTr="00A22C50">
        <w:tc>
          <w:tcPr>
            <w:tcW w:w="925" w:type="dxa"/>
            <w:vAlign w:val="center"/>
          </w:tcPr>
          <w:p w14:paraId="5BDB9F7E" w14:textId="77777777" w:rsidR="00474605" w:rsidRPr="00F02BC6" w:rsidRDefault="00474605" w:rsidP="00474605">
            <w:pPr>
              <w:rPr>
                <w:color w:val="000000"/>
                <w:sz w:val="20"/>
                <w:szCs w:val="20"/>
                <w:lang w:val="en-US"/>
              </w:rPr>
            </w:pPr>
            <w:r w:rsidRPr="00F02BC6">
              <w:rPr>
                <w:color w:val="000000"/>
                <w:sz w:val="20"/>
                <w:szCs w:val="20"/>
                <w:lang w:val="en-US"/>
              </w:rPr>
              <w:t>Wu et al (2015)</w:t>
            </w:r>
          </w:p>
        </w:tc>
        <w:tc>
          <w:tcPr>
            <w:tcW w:w="1227" w:type="dxa"/>
            <w:vAlign w:val="center"/>
          </w:tcPr>
          <w:p w14:paraId="13828F79" w14:textId="5B2B42F2" w:rsidR="00474605" w:rsidRPr="00F02BC6" w:rsidRDefault="00474605" w:rsidP="00474605">
            <w:pPr>
              <w:jc w:val="center"/>
              <w:rPr>
                <w:color w:val="000000"/>
                <w:sz w:val="20"/>
                <w:szCs w:val="20"/>
                <w:lang w:val="en-US"/>
              </w:rPr>
            </w:pPr>
            <w:r w:rsidRPr="00F02BC6">
              <w:rPr>
                <w:color w:val="000000"/>
                <w:sz w:val="20"/>
                <w:szCs w:val="20"/>
                <w:lang w:val="en-US"/>
              </w:rPr>
              <w:t>N/A</w:t>
            </w:r>
          </w:p>
        </w:tc>
        <w:tc>
          <w:tcPr>
            <w:tcW w:w="983" w:type="dxa"/>
            <w:vAlign w:val="center"/>
          </w:tcPr>
          <w:p w14:paraId="12C6E19D" w14:textId="25B430EE"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227" w:type="dxa"/>
            <w:vAlign w:val="center"/>
          </w:tcPr>
          <w:p w14:paraId="72C9F08A" w14:textId="0CC5ED56"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050" w:type="dxa"/>
            <w:vAlign w:val="center"/>
          </w:tcPr>
          <w:p w14:paraId="481DDA4A" w14:textId="202EABAD"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1150" w:type="dxa"/>
            <w:vAlign w:val="center"/>
          </w:tcPr>
          <w:p w14:paraId="3C4C21F9" w14:textId="32ED7F3F"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4FC0262C" w14:textId="351864FC" w:rsidR="00474605" w:rsidRPr="00F02BC6" w:rsidRDefault="00474605"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19854239" w14:textId="56B1902A"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38" w:type="dxa"/>
            <w:vAlign w:val="center"/>
          </w:tcPr>
          <w:p w14:paraId="284A4F30" w14:textId="7B15D328"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83" w:type="dxa"/>
            <w:vAlign w:val="center"/>
          </w:tcPr>
          <w:p w14:paraId="45CCAD0B" w14:textId="225AC19E" w:rsidR="00474605" w:rsidRPr="00F02BC6" w:rsidRDefault="00474605" w:rsidP="00474605">
            <w:pPr>
              <w:jc w:val="center"/>
              <w:rPr>
                <w:color w:val="000000"/>
                <w:sz w:val="20"/>
                <w:szCs w:val="20"/>
                <w:lang w:val="en-US"/>
              </w:rPr>
            </w:pPr>
            <w:r w:rsidRPr="00F02BC6">
              <w:rPr>
                <w:color w:val="000000"/>
                <w:sz w:val="20"/>
                <w:szCs w:val="20"/>
                <w:lang w:val="en-US"/>
              </w:rPr>
              <w:t>Unclear</w:t>
            </w:r>
          </w:p>
        </w:tc>
        <w:tc>
          <w:tcPr>
            <w:tcW w:w="1127" w:type="dxa"/>
            <w:vAlign w:val="center"/>
          </w:tcPr>
          <w:p w14:paraId="58175935" w14:textId="0DD08525" w:rsidR="00474605" w:rsidRPr="00F02BC6" w:rsidRDefault="00474605" w:rsidP="00474605">
            <w:pPr>
              <w:jc w:val="center"/>
              <w:rPr>
                <w:color w:val="000000"/>
                <w:sz w:val="20"/>
                <w:szCs w:val="20"/>
                <w:lang w:val="en-US"/>
              </w:rPr>
            </w:pPr>
            <w:r w:rsidRPr="00F02BC6">
              <w:rPr>
                <w:color w:val="000000"/>
                <w:sz w:val="20"/>
                <w:szCs w:val="20"/>
                <w:lang w:val="en-US"/>
              </w:rPr>
              <w:t>Yes</w:t>
            </w:r>
          </w:p>
        </w:tc>
      </w:tr>
      <w:tr w:rsidR="00474605" w:rsidRPr="00F02BC6" w14:paraId="3107ED3B" w14:textId="77777777" w:rsidTr="00A22C50">
        <w:tc>
          <w:tcPr>
            <w:tcW w:w="925" w:type="dxa"/>
            <w:vAlign w:val="center"/>
          </w:tcPr>
          <w:p w14:paraId="59C95C59" w14:textId="77777777" w:rsidR="00474605" w:rsidRPr="00F02BC6" w:rsidRDefault="00474605" w:rsidP="00474605">
            <w:pPr>
              <w:rPr>
                <w:color w:val="000000"/>
                <w:sz w:val="20"/>
                <w:szCs w:val="20"/>
                <w:lang w:val="en-US"/>
              </w:rPr>
            </w:pPr>
            <w:r w:rsidRPr="00F02BC6">
              <w:rPr>
                <w:color w:val="000000"/>
                <w:sz w:val="20"/>
                <w:szCs w:val="20"/>
                <w:lang w:val="en-US"/>
              </w:rPr>
              <w:t>Zhang et al (2016)</w:t>
            </w:r>
          </w:p>
        </w:tc>
        <w:tc>
          <w:tcPr>
            <w:tcW w:w="1227" w:type="dxa"/>
            <w:vAlign w:val="center"/>
          </w:tcPr>
          <w:p w14:paraId="1CE8B8CC" w14:textId="17057DAD" w:rsidR="00474605" w:rsidRPr="00F02BC6" w:rsidRDefault="00F52852" w:rsidP="00474605">
            <w:pPr>
              <w:jc w:val="center"/>
              <w:rPr>
                <w:color w:val="000000"/>
                <w:sz w:val="20"/>
                <w:szCs w:val="20"/>
                <w:lang w:val="en-US"/>
              </w:rPr>
            </w:pPr>
            <w:r w:rsidRPr="00F02BC6">
              <w:rPr>
                <w:color w:val="000000"/>
                <w:sz w:val="20"/>
                <w:szCs w:val="20"/>
                <w:lang w:val="en-US"/>
              </w:rPr>
              <w:t>N/A</w:t>
            </w:r>
          </w:p>
        </w:tc>
        <w:tc>
          <w:tcPr>
            <w:tcW w:w="983" w:type="dxa"/>
            <w:vAlign w:val="center"/>
          </w:tcPr>
          <w:p w14:paraId="27062441" w14:textId="7BEB179F" w:rsidR="00474605" w:rsidRPr="00F02BC6" w:rsidRDefault="00F52852" w:rsidP="00474605">
            <w:pPr>
              <w:jc w:val="center"/>
              <w:rPr>
                <w:color w:val="000000"/>
                <w:sz w:val="20"/>
                <w:szCs w:val="20"/>
                <w:lang w:val="en-US"/>
              </w:rPr>
            </w:pPr>
            <w:r w:rsidRPr="00F02BC6">
              <w:rPr>
                <w:color w:val="000000"/>
                <w:sz w:val="20"/>
                <w:szCs w:val="20"/>
                <w:lang w:val="en-US"/>
              </w:rPr>
              <w:t>Yes</w:t>
            </w:r>
          </w:p>
        </w:tc>
        <w:tc>
          <w:tcPr>
            <w:tcW w:w="1227" w:type="dxa"/>
            <w:vAlign w:val="center"/>
          </w:tcPr>
          <w:p w14:paraId="31A9A9A8" w14:textId="1FDC0324" w:rsidR="00474605" w:rsidRPr="00F02BC6" w:rsidRDefault="00F52852" w:rsidP="00474605">
            <w:pPr>
              <w:jc w:val="center"/>
              <w:rPr>
                <w:color w:val="000000"/>
                <w:sz w:val="20"/>
                <w:szCs w:val="20"/>
                <w:lang w:val="en-US"/>
              </w:rPr>
            </w:pPr>
            <w:r w:rsidRPr="00F02BC6">
              <w:rPr>
                <w:color w:val="000000"/>
                <w:sz w:val="20"/>
                <w:szCs w:val="20"/>
                <w:lang w:val="en-US"/>
              </w:rPr>
              <w:t>Yes</w:t>
            </w:r>
          </w:p>
        </w:tc>
        <w:tc>
          <w:tcPr>
            <w:tcW w:w="1050" w:type="dxa"/>
            <w:vAlign w:val="center"/>
          </w:tcPr>
          <w:p w14:paraId="54DE55EA" w14:textId="7F8F98BE" w:rsidR="00474605" w:rsidRPr="00F02BC6" w:rsidRDefault="00F52852" w:rsidP="00474605">
            <w:pPr>
              <w:jc w:val="center"/>
              <w:rPr>
                <w:color w:val="000000"/>
                <w:sz w:val="20"/>
                <w:szCs w:val="20"/>
                <w:lang w:val="en-US"/>
              </w:rPr>
            </w:pPr>
            <w:r w:rsidRPr="00F02BC6">
              <w:rPr>
                <w:color w:val="000000"/>
                <w:sz w:val="20"/>
                <w:szCs w:val="20"/>
                <w:lang w:val="en-US"/>
              </w:rPr>
              <w:t>Yes</w:t>
            </w:r>
          </w:p>
        </w:tc>
        <w:tc>
          <w:tcPr>
            <w:tcW w:w="1150" w:type="dxa"/>
            <w:vAlign w:val="center"/>
          </w:tcPr>
          <w:p w14:paraId="7092E193" w14:textId="604CFD3E" w:rsidR="00474605" w:rsidRPr="00F02BC6" w:rsidRDefault="00F52852"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4DE4B000" w14:textId="7CDFEDFF" w:rsidR="00474605" w:rsidRPr="00F02BC6" w:rsidRDefault="00F52852" w:rsidP="00474605">
            <w:pPr>
              <w:jc w:val="center"/>
              <w:rPr>
                <w:color w:val="000000"/>
                <w:sz w:val="20"/>
                <w:szCs w:val="20"/>
                <w:lang w:val="en-US"/>
              </w:rPr>
            </w:pPr>
            <w:r w:rsidRPr="00F02BC6">
              <w:rPr>
                <w:color w:val="000000"/>
                <w:sz w:val="20"/>
                <w:szCs w:val="20"/>
                <w:lang w:val="en-US"/>
              </w:rPr>
              <w:t>Yes</w:t>
            </w:r>
          </w:p>
        </w:tc>
        <w:tc>
          <w:tcPr>
            <w:tcW w:w="983" w:type="dxa"/>
            <w:vAlign w:val="center"/>
          </w:tcPr>
          <w:p w14:paraId="5940C38B" w14:textId="46034EF5" w:rsidR="00474605" w:rsidRPr="00F02BC6" w:rsidRDefault="00F52852" w:rsidP="00474605">
            <w:pPr>
              <w:jc w:val="center"/>
              <w:rPr>
                <w:color w:val="000000"/>
                <w:sz w:val="20"/>
                <w:szCs w:val="20"/>
                <w:lang w:val="en-US"/>
              </w:rPr>
            </w:pPr>
            <w:r w:rsidRPr="00F02BC6">
              <w:rPr>
                <w:color w:val="000000"/>
                <w:sz w:val="20"/>
                <w:szCs w:val="20"/>
                <w:lang w:val="en-US"/>
              </w:rPr>
              <w:t>No</w:t>
            </w:r>
          </w:p>
        </w:tc>
        <w:tc>
          <w:tcPr>
            <w:tcW w:w="1138" w:type="dxa"/>
            <w:vAlign w:val="center"/>
          </w:tcPr>
          <w:p w14:paraId="249A99A5" w14:textId="73F0504D" w:rsidR="00474605" w:rsidRPr="00F02BC6" w:rsidRDefault="00F52852" w:rsidP="00474605">
            <w:pPr>
              <w:jc w:val="center"/>
              <w:rPr>
                <w:color w:val="000000"/>
                <w:sz w:val="20"/>
                <w:szCs w:val="20"/>
                <w:lang w:val="en-US"/>
              </w:rPr>
            </w:pPr>
            <w:r w:rsidRPr="00F02BC6">
              <w:rPr>
                <w:color w:val="000000"/>
                <w:sz w:val="20"/>
                <w:szCs w:val="20"/>
                <w:lang w:val="en-US"/>
              </w:rPr>
              <w:t>No</w:t>
            </w:r>
          </w:p>
        </w:tc>
        <w:tc>
          <w:tcPr>
            <w:tcW w:w="1183" w:type="dxa"/>
            <w:vAlign w:val="center"/>
          </w:tcPr>
          <w:p w14:paraId="5A0502DE" w14:textId="09DE41F7" w:rsidR="00474605" w:rsidRPr="00F02BC6" w:rsidRDefault="00F52852" w:rsidP="00474605">
            <w:pPr>
              <w:jc w:val="center"/>
              <w:rPr>
                <w:color w:val="000000"/>
                <w:sz w:val="20"/>
                <w:szCs w:val="20"/>
                <w:lang w:val="en-US"/>
              </w:rPr>
            </w:pPr>
            <w:r w:rsidRPr="00F02BC6">
              <w:rPr>
                <w:color w:val="000000"/>
                <w:sz w:val="20"/>
                <w:szCs w:val="20"/>
                <w:lang w:val="en-US"/>
              </w:rPr>
              <w:t>No</w:t>
            </w:r>
          </w:p>
        </w:tc>
        <w:tc>
          <w:tcPr>
            <w:tcW w:w="1127" w:type="dxa"/>
            <w:vAlign w:val="center"/>
          </w:tcPr>
          <w:p w14:paraId="0D4BD3C5" w14:textId="0C463EA4" w:rsidR="00474605" w:rsidRPr="00F02BC6" w:rsidRDefault="00F52852" w:rsidP="00474605">
            <w:pPr>
              <w:jc w:val="center"/>
              <w:rPr>
                <w:color w:val="000000"/>
                <w:sz w:val="20"/>
                <w:szCs w:val="20"/>
                <w:lang w:val="en-US"/>
              </w:rPr>
            </w:pPr>
            <w:r w:rsidRPr="00F02BC6">
              <w:rPr>
                <w:color w:val="000000"/>
                <w:sz w:val="20"/>
                <w:szCs w:val="20"/>
                <w:lang w:val="en-US"/>
              </w:rPr>
              <w:t>Yes</w:t>
            </w:r>
          </w:p>
        </w:tc>
      </w:tr>
    </w:tbl>
    <w:p w14:paraId="115FCA96" w14:textId="77777777" w:rsidR="002F54BC" w:rsidRPr="00F02BC6" w:rsidRDefault="002F54BC" w:rsidP="00735166">
      <w:pPr>
        <w:tabs>
          <w:tab w:val="left" w:pos="2024"/>
        </w:tabs>
        <w:rPr>
          <w:color w:val="000000"/>
          <w:lang w:val="en-US"/>
        </w:rPr>
      </w:pPr>
    </w:p>
    <w:p w14:paraId="64999B0A" w14:textId="77777777" w:rsidR="005E4A45" w:rsidRPr="00F02BC6" w:rsidRDefault="005E4A45" w:rsidP="005E4A45">
      <w:pPr>
        <w:rPr>
          <w:color w:val="000000"/>
          <w:lang w:val="en-US"/>
        </w:rPr>
      </w:pPr>
    </w:p>
    <w:p w14:paraId="1D8BADFB" w14:textId="77777777" w:rsidR="005E4A45" w:rsidRPr="00F02BC6" w:rsidRDefault="005E4A45" w:rsidP="005E4A45">
      <w:pPr>
        <w:rPr>
          <w:color w:val="000000"/>
          <w:lang w:val="en-US"/>
        </w:rPr>
      </w:pPr>
    </w:p>
    <w:p w14:paraId="59188569" w14:textId="77777777" w:rsidR="005E4A45" w:rsidRPr="00F02BC6" w:rsidRDefault="005E4A45" w:rsidP="005E4A45">
      <w:pPr>
        <w:rPr>
          <w:color w:val="000000"/>
          <w:lang w:val="en-US"/>
        </w:rPr>
      </w:pPr>
    </w:p>
    <w:p w14:paraId="7CD65B32" w14:textId="77777777" w:rsidR="005E4A45" w:rsidRPr="00F02BC6" w:rsidRDefault="005E4A45" w:rsidP="005E4A45">
      <w:pPr>
        <w:rPr>
          <w:color w:val="000000"/>
          <w:lang w:val="en-US"/>
        </w:rPr>
      </w:pPr>
    </w:p>
    <w:p w14:paraId="1824C0E9" w14:textId="2C00D2C3" w:rsidR="005E4A45" w:rsidRPr="00F02BC6" w:rsidRDefault="005E4A45" w:rsidP="005E4A45">
      <w:pPr>
        <w:tabs>
          <w:tab w:val="left" w:pos="6649"/>
        </w:tabs>
        <w:rPr>
          <w:color w:val="000000"/>
          <w:lang w:val="en-US"/>
        </w:rPr>
        <w:sectPr w:rsidR="005E4A45" w:rsidRPr="00F02BC6" w:rsidSect="005E4A45">
          <w:footerReference w:type="even" r:id="rId10"/>
          <w:footerReference w:type="default" r:id="rId11"/>
          <w:pgSz w:w="12240" w:h="15840"/>
          <w:pgMar w:top="1440" w:right="1440" w:bottom="1440" w:left="1440" w:header="709" w:footer="709" w:gutter="0"/>
          <w:cols w:space="708"/>
          <w:docGrid w:linePitch="360"/>
        </w:sectPr>
      </w:pPr>
      <w:r w:rsidRPr="00F02BC6">
        <w:rPr>
          <w:color w:val="000000"/>
          <w:lang w:val="en-US"/>
        </w:rPr>
        <w:tab/>
      </w:r>
    </w:p>
    <w:p w14:paraId="2D3E846F" w14:textId="77777777" w:rsidR="008630EB" w:rsidRPr="00F02BC6" w:rsidRDefault="008630EB" w:rsidP="0052166C">
      <w:pPr>
        <w:tabs>
          <w:tab w:val="left" w:pos="6649"/>
        </w:tabs>
        <w:rPr>
          <w:b/>
          <w:bCs/>
          <w:color w:val="000000"/>
          <w:lang w:val="en-US"/>
        </w:rPr>
      </w:pPr>
    </w:p>
    <w:p w14:paraId="7E8CCEFF" w14:textId="77777777" w:rsidR="008630EB" w:rsidRPr="00F02BC6" w:rsidRDefault="008630EB" w:rsidP="0052166C">
      <w:pPr>
        <w:tabs>
          <w:tab w:val="left" w:pos="6649"/>
        </w:tabs>
        <w:rPr>
          <w:b/>
          <w:bCs/>
          <w:color w:val="000000"/>
          <w:lang w:val="en-US"/>
        </w:rPr>
      </w:pPr>
    </w:p>
    <w:p w14:paraId="17C03941" w14:textId="77777777" w:rsidR="008630EB" w:rsidRPr="00F02BC6" w:rsidRDefault="008630EB" w:rsidP="0052166C">
      <w:pPr>
        <w:tabs>
          <w:tab w:val="left" w:pos="6649"/>
        </w:tabs>
        <w:rPr>
          <w:b/>
          <w:bCs/>
          <w:color w:val="000000"/>
          <w:lang w:val="en-US"/>
        </w:rPr>
      </w:pPr>
    </w:p>
    <w:p w14:paraId="5FA2BF25" w14:textId="77777777" w:rsidR="008630EB" w:rsidRPr="00F02BC6" w:rsidRDefault="008630EB" w:rsidP="0052166C">
      <w:pPr>
        <w:tabs>
          <w:tab w:val="left" w:pos="6649"/>
        </w:tabs>
        <w:rPr>
          <w:b/>
          <w:bCs/>
          <w:color w:val="000000"/>
          <w:lang w:val="en-US"/>
        </w:rPr>
      </w:pPr>
    </w:p>
    <w:p w14:paraId="6C4FAFA7" w14:textId="77777777" w:rsidR="008630EB" w:rsidRPr="00F02BC6" w:rsidRDefault="008630EB" w:rsidP="0052166C">
      <w:pPr>
        <w:tabs>
          <w:tab w:val="left" w:pos="6649"/>
        </w:tabs>
        <w:rPr>
          <w:b/>
          <w:bCs/>
          <w:color w:val="000000"/>
          <w:lang w:val="en-US"/>
        </w:rPr>
      </w:pPr>
    </w:p>
    <w:p w14:paraId="26625641" w14:textId="018BD3F9" w:rsidR="0052166C" w:rsidRPr="00F02BC6" w:rsidRDefault="0052166C" w:rsidP="0052166C">
      <w:pPr>
        <w:tabs>
          <w:tab w:val="left" w:pos="6649"/>
        </w:tabs>
        <w:rPr>
          <w:b/>
          <w:bCs/>
          <w:color w:val="000000"/>
          <w:lang w:val="en-US"/>
        </w:rPr>
      </w:pPr>
      <w:r w:rsidRPr="00F02BC6">
        <w:rPr>
          <w:b/>
          <w:bCs/>
          <w:color w:val="000000"/>
          <w:lang w:val="en-US"/>
        </w:rPr>
        <w:t>Table S2a: Confidence in the Evidence from reviews of quantitative research ratings of studies included in the meta-analysis using GRADE</w:t>
      </w:r>
    </w:p>
    <w:tbl>
      <w:tblPr>
        <w:tblStyle w:val="TableGrid"/>
        <w:tblW w:w="14357" w:type="dxa"/>
        <w:tblLook w:val="04A0" w:firstRow="1" w:lastRow="0" w:firstColumn="1" w:lastColumn="0" w:noHBand="0" w:noVBand="1"/>
      </w:tblPr>
      <w:tblGrid>
        <w:gridCol w:w="1586"/>
        <w:gridCol w:w="1739"/>
        <w:gridCol w:w="1238"/>
        <w:gridCol w:w="1386"/>
        <w:gridCol w:w="1417"/>
        <w:gridCol w:w="1276"/>
        <w:gridCol w:w="1276"/>
        <w:gridCol w:w="1559"/>
        <w:gridCol w:w="1689"/>
        <w:gridCol w:w="1191"/>
      </w:tblGrid>
      <w:tr w:rsidR="008630EB" w:rsidRPr="00F02BC6" w14:paraId="6D6F9642" w14:textId="77777777" w:rsidTr="008630EB">
        <w:tc>
          <w:tcPr>
            <w:tcW w:w="1586" w:type="dxa"/>
          </w:tcPr>
          <w:p w14:paraId="2593B1A3" w14:textId="20A6BDE4" w:rsidR="0052166C" w:rsidRPr="00F02BC6" w:rsidRDefault="006271D8" w:rsidP="00AF55AC">
            <w:pPr>
              <w:tabs>
                <w:tab w:val="left" w:pos="6649"/>
              </w:tabs>
              <w:rPr>
                <w:b/>
                <w:bCs/>
                <w:color w:val="000000"/>
                <w:sz w:val="20"/>
                <w:szCs w:val="20"/>
                <w:lang w:val="en-US"/>
              </w:rPr>
            </w:pPr>
            <w:r w:rsidRPr="00F02BC6">
              <w:rPr>
                <w:b/>
                <w:bCs/>
                <w:color w:val="000000"/>
                <w:sz w:val="20"/>
                <w:szCs w:val="20"/>
                <w:lang w:val="en-US"/>
              </w:rPr>
              <w:t>No of studies</w:t>
            </w:r>
          </w:p>
        </w:tc>
        <w:tc>
          <w:tcPr>
            <w:tcW w:w="1739" w:type="dxa"/>
          </w:tcPr>
          <w:p w14:paraId="2E1292A2" w14:textId="77777777" w:rsidR="0052166C" w:rsidRPr="00F02BC6" w:rsidRDefault="0052166C" w:rsidP="00AF55AC">
            <w:pPr>
              <w:tabs>
                <w:tab w:val="left" w:pos="6649"/>
              </w:tabs>
              <w:rPr>
                <w:b/>
                <w:bCs/>
                <w:color w:val="000000"/>
                <w:sz w:val="20"/>
                <w:szCs w:val="20"/>
                <w:lang w:val="en-US"/>
              </w:rPr>
            </w:pPr>
            <w:r w:rsidRPr="00F02BC6">
              <w:rPr>
                <w:b/>
                <w:bCs/>
                <w:color w:val="000000"/>
                <w:sz w:val="20"/>
                <w:szCs w:val="20"/>
                <w:lang w:val="en-US"/>
              </w:rPr>
              <w:t>Exposure</w:t>
            </w:r>
          </w:p>
        </w:tc>
        <w:tc>
          <w:tcPr>
            <w:tcW w:w="1238" w:type="dxa"/>
          </w:tcPr>
          <w:p w14:paraId="19901138" w14:textId="77777777" w:rsidR="0052166C" w:rsidRPr="00F02BC6" w:rsidRDefault="0052166C" w:rsidP="00AF55AC">
            <w:pPr>
              <w:tabs>
                <w:tab w:val="left" w:pos="6649"/>
              </w:tabs>
              <w:rPr>
                <w:b/>
                <w:bCs/>
                <w:color w:val="000000"/>
                <w:sz w:val="20"/>
                <w:szCs w:val="20"/>
                <w:lang w:val="en-US"/>
              </w:rPr>
            </w:pPr>
            <w:r w:rsidRPr="00F02BC6">
              <w:rPr>
                <w:b/>
                <w:bCs/>
                <w:color w:val="000000"/>
                <w:sz w:val="20"/>
                <w:szCs w:val="20"/>
                <w:lang w:val="en-US"/>
              </w:rPr>
              <w:t>Outcome</w:t>
            </w:r>
          </w:p>
        </w:tc>
        <w:tc>
          <w:tcPr>
            <w:tcW w:w="1386" w:type="dxa"/>
          </w:tcPr>
          <w:p w14:paraId="46F145F1" w14:textId="77777777" w:rsidR="0052166C" w:rsidRPr="00F02BC6" w:rsidRDefault="0052166C" w:rsidP="00AF55AC">
            <w:pPr>
              <w:tabs>
                <w:tab w:val="left" w:pos="6649"/>
              </w:tabs>
              <w:rPr>
                <w:b/>
                <w:bCs/>
                <w:color w:val="000000"/>
                <w:sz w:val="20"/>
                <w:szCs w:val="20"/>
                <w:lang w:val="en-US"/>
              </w:rPr>
            </w:pPr>
            <w:r w:rsidRPr="00F02BC6">
              <w:rPr>
                <w:b/>
                <w:bCs/>
                <w:color w:val="000000"/>
                <w:sz w:val="20"/>
                <w:szCs w:val="20"/>
                <w:lang w:val="en-US"/>
              </w:rPr>
              <w:t>Limitations</w:t>
            </w:r>
          </w:p>
        </w:tc>
        <w:tc>
          <w:tcPr>
            <w:tcW w:w="1417" w:type="dxa"/>
          </w:tcPr>
          <w:p w14:paraId="31151C06" w14:textId="77777777" w:rsidR="0052166C" w:rsidRPr="00F02BC6" w:rsidRDefault="0052166C" w:rsidP="00AF55AC">
            <w:pPr>
              <w:tabs>
                <w:tab w:val="left" w:pos="6649"/>
              </w:tabs>
              <w:rPr>
                <w:b/>
                <w:bCs/>
                <w:color w:val="000000"/>
                <w:sz w:val="20"/>
                <w:szCs w:val="20"/>
                <w:lang w:val="en-US"/>
              </w:rPr>
            </w:pPr>
            <w:r w:rsidRPr="00F02BC6">
              <w:rPr>
                <w:b/>
                <w:bCs/>
                <w:color w:val="000000"/>
                <w:sz w:val="20"/>
                <w:szCs w:val="20"/>
                <w:lang w:val="en-US"/>
              </w:rPr>
              <w:t>Inconsistency</w:t>
            </w:r>
          </w:p>
        </w:tc>
        <w:tc>
          <w:tcPr>
            <w:tcW w:w="1276" w:type="dxa"/>
          </w:tcPr>
          <w:p w14:paraId="11E0D41F" w14:textId="77777777" w:rsidR="0052166C" w:rsidRPr="00F02BC6" w:rsidRDefault="0052166C" w:rsidP="00AF55AC">
            <w:pPr>
              <w:tabs>
                <w:tab w:val="left" w:pos="6649"/>
              </w:tabs>
              <w:rPr>
                <w:b/>
                <w:bCs/>
                <w:color w:val="000000"/>
                <w:sz w:val="20"/>
                <w:szCs w:val="20"/>
                <w:lang w:val="en-US"/>
              </w:rPr>
            </w:pPr>
            <w:r w:rsidRPr="00F02BC6">
              <w:rPr>
                <w:b/>
                <w:bCs/>
                <w:color w:val="000000"/>
                <w:sz w:val="20"/>
                <w:szCs w:val="20"/>
                <w:lang w:val="en-US"/>
              </w:rPr>
              <w:t>Indirectness</w:t>
            </w:r>
          </w:p>
        </w:tc>
        <w:tc>
          <w:tcPr>
            <w:tcW w:w="1276" w:type="dxa"/>
          </w:tcPr>
          <w:p w14:paraId="793656BD" w14:textId="77777777" w:rsidR="0052166C" w:rsidRPr="00F02BC6" w:rsidRDefault="0052166C" w:rsidP="00AF55AC">
            <w:pPr>
              <w:tabs>
                <w:tab w:val="left" w:pos="6649"/>
              </w:tabs>
              <w:rPr>
                <w:b/>
                <w:bCs/>
                <w:color w:val="000000"/>
                <w:sz w:val="20"/>
                <w:szCs w:val="20"/>
                <w:lang w:val="en-US"/>
              </w:rPr>
            </w:pPr>
            <w:r w:rsidRPr="00F02BC6">
              <w:rPr>
                <w:b/>
                <w:bCs/>
                <w:color w:val="000000"/>
                <w:sz w:val="20"/>
                <w:szCs w:val="20"/>
                <w:lang w:val="en-US"/>
              </w:rPr>
              <w:t xml:space="preserve">Imprecision </w:t>
            </w:r>
          </w:p>
        </w:tc>
        <w:tc>
          <w:tcPr>
            <w:tcW w:w="1559" w:type="dxa"/>
          </w:tcPr>
          <w:p w14:paraId="34AA9AAE" w14:textId="77777777" w:rsidR="0052166C" w:rsidRPr="00F02BC6" w:rsidRDefault="0052166C" w:rsidP="00AF55AC">
            <w:pPr>
              <w:tabs>
                <w:tab w:val="left" w:pos="6649"/>
              </w:tabs>
              <w:rPr>
                <w:b/>
                <w:bCs/>
                <w:color w:val="000000"/>
                <w:sz w:val="20"/>
                <w:szCs w:val="20"/>
                <w:lang w:val="en-US"/>
              </w:rPr>
            </w:pPr>
            <w:r w:rsidRPr="00F02BC6">
              <w:rPr>
                <w:b/>
                <w:bCs/>
                <w:color w:val="000000"/>
                <w:sz w:val="20"/>
                <w:szCs w:val="20"/>
                <w:lang w:val="en-US"/>
              </w:rPr>
              <w:t>Publication bias</w:t>
            </w:r>
          </w:p>
        </w:tc>
        <w:tc>
          <w:tcPr>
            <w:tcW w:w="1689" w:type="dxa"/>
          </w:tcPr>
          <w:p w14:paraId="0FFCCF2B" w14:textId="77777777" w:rsidR="0052166C" w:rsidRPr="00F02BC6" w:rsidRDefault="0052166C" w:rsidP="00AF55AC">
            <w:pPr>
              <w:tabs>
                <w:tab w:val="left" w:pos="6649"/>
              </w:tabs>
              <w:rPr>
                <w:b/>
                <w:bCs/>
                <w:color w:val="000000"/>
                <w:sz w:val="20"/>
                <w:szCs w:val="20"/>
                <w:lang w:val="en-US"/>
              </w:rPr>
            </w:pPr>
            <w:r w:rsidRPr="00F02BC6">
              <w:rPr>
                <w:b/>
                <w:bCs/>
                <w:color w:val="000000"/>
                <w:sz w:val="20"/>
                <w:szCs w:val="20"/>
                <w:lang w:val="en-US"/>
              </w:rPr>
              <w:t>Estimate of effect of result</w:t>
            </w:r>
          </w:p>
        </w:tc>
        <w:tc>
          <w:tcPr>
            <w:tcW w:w="1191" w:type="dxa"/>
          </w:tcPr>
          <w:p w14:paraId="70A462CF" w14:textId="77777777" w:rsidR="0052166C" w:rsidRPr="00F02BC6" w:rsidRDefault="0052166C" w:rsidP="00AF55AC">
            <w:pPr>
              <w:tabs>
                <w:tab w:val="left" w:pos="6649"/>
              </w:tabs>
              <w:rPr>
                <w:b/>
                <w:bCs/>
                <w:color w:val="000000"/>
                <w:sz w:val="20"/>
                <w:szCs w:val="20"/>
                <w:lang w:val="en-US"/>
              </w:rPr>
            </w:pPr>
            <w:r w:rsidRPr="00F02BC6">
              <w:rPr>
                <w:b/>
                <w:bCs/>
                <w:color w:val="000000"/>
                <w:sz w:val="20"/>
                <w:szCs w:val="20"/>
                <w:lang w:val="en-US"/>
              </w:rPr>
              <w:t>Confidence in evidence</w:t>
            </w:r>
          </w:p>
        </w:tc>
      </w:tr>
      <w:tr w:rsidR="008630EB" w:rsidRPr="00F02BC6" w14:paraId="579A899B" w14:textId="77777777" w:rsidTr="008630EB">
        <w:tc>
          <w:tcPr>
            <w:tcW w:w="1586" w:type="dxa"/>
          </w:tcPr>
          <w:p w14:paraId="6CE453F1" w14:textId="78A6840A" w:rsidR="0052166C" w:rsidRPr="00F02BC6" w:rsidRDefault="00A5356C" w:rsidP="00AF55AC">
            <w:pPr>
              <w:tabs>
                <w:tab w:val="left" w:pos="6649"/>
              </w:tabs>
              <w:rPr>
                <w:color w:val="000000"/>
                <w:sz w:val="20"/>
                <w:szCs w:val="20"/>
                <w:lang w:val="en-US"/>
              </w:rPr>
            </w:pPr>
            <w:r w:rsidRPr="00F02BC6">
              <w:rPr>
                <w:color w:val="000000"/>
                <w:sz w:val="20"/>
                <w:szCs w:val="20"/>
                <w:lang w:val="en-US"/>
              </w:rPr>
              <w:t>3 cohort studies</w:t>
            </w:r>
          </w:p>
        </w:tc>
        <w:tc>
          <w:tcPr>
            <w:tcW w:w="1739" w:type="dxa"/>
          </w:tcPr>
          <w:p w14:paraId="0E752908" w14:textId="13500A68" w:rsidR="0052166C" w:rsidRPr="00F02BC6" w:rsidRDefault="006E46B2" w:rsidP="00AF55AC">
            <w:pPr>
              <w:tabs>
                <w:tab w:val="left" w:pos="6649"/>
              </w:tabs>
              <w:rPr>
                <w:color w:val="000000"/>
                <w:sz w:val="20"/>
                <w:szCs w:val="20"/>
                <w:lang w:val="en-US"/>
              </w:rPr>
            </w:pPr>
            <w:r w:rsidRPr="00F02BC6">
              <w:rPr>
                <w:color w:val="000000"/>
                <w:sz w:val="20"/>
                <w:szCs w:val="20"/>
                <w:lang w:val="en-US"/>
              </w:rPr>
              <w:t>A</w:t>
            </w:r>
            <w:r w:rsidR="00895905" w:rsidRPr="00F02BC6">
              <w:rPr>
                <w:color w:val="000000"/>
                <w:sz w:val="20"/>
                <w:szCs w:val="20"/>
                <w:lang w:val="en-US"/>
              </w:rPr>
              <w:t xml:space="preserve">dherence </w:t>
            </w:r>
            <w:r w:rsidRPr="00F02BC6">
              <w:rPr>
                <w:color w:val="000000"/>
                <w:sz w:val="20"/>
                <w:szCs w:val="20"/>
                <w:lang w:val="en-US"/>
              </w:rPr>
              <w:t xml:space="preserve">rate </w:t>
            </w:r>
            <w:r w:rsidR="00895905" w:rsidRPr="00F02BC6">
              <w:rPr>
                <w:color w:val="000000"/>
                <w:sz w:val="20"/>
                <w:szCs w:val="20"/>
                <w:lang w:val="en-US"/>
              </w:rPr>
              <w:t>(MPR: 0.75-1.00)</w:t>
            </w:r>
          </w:p>
        </w:tc>
        <w:tc>
          <w:tcPr>
            <w:tcW w:w="1238" w:type="dxa"/>
          </w:tcPr>
          <w:p w14:paraId="3FB3E1B6" w14:textId="67A5DCBE" w:rsidR="0052166C" w:rsidRPr="00F02BC6" w:rsidRDefault="0016152F" w:rsidP="00AF55AC">
            <w:pPr>
              <w:tabs>
                <w:tab w:val="left" w:pos="6649"/>
              </w:tabs>
              <w:rPr>
                <w:color w:val="000000"/>
                <w:sz w:val="20"/>
                <w:szCs w:val="20"/>
                <w:lang w:val="en-US"/>
              </w:rPr>
            </w:pPr>
            <w:r w:rsidRPr="00F02BC6">
              <w:rPr>
                <w:color w:val="000000"/>
                <w:sz w:val="20"/>
                <w:szCs w:val="20"/>
                <w:lang w:val="en-US"/>
              </w:rPr>
              <w:t>Asthma exacerbation</w:t>
            </w:r>
          </w:p>
        </w:tc>
        <w:tc>
          <w:tcPr>
            <w:tcW w:w="1386" w:type="dxa"/>
          </w:tcPr>
          <w:p w14:paraId="72E6D9BB" w14:textId="2FE34BF5" w:rsidR="0052166C" w:rsidRPr="00F02BC6" w:rsidRDefault="00557BCE" w:rsidP="00AF55AC">
            <w:pPr>
              <w:tabs>
                <w:tab w:val="left" w:pos="6649"/>
              </w:tabs>
              <w:rPr>
                <w:color w:val="000000"/>
                <w:sz w:val="20"/>
                <w:szCs w:val="20"/>
                <w:lang w:val="en-US"/>
              </w:rPr>
            </w:pPr>
            <w:r w:rsidRPr="00F02BC6">
              <w:rPr>
                <w:color w:val="000000"/>
                <w:sz w:val="20"/>
                <w:szCs w:val="20"/>
                <w:lang w:val="en-US"/>
              </w:rPr>
              <w:t>Concerns unlikely to alter outcome</w:t>
            </w:r>
          </w:p>
        </w:tc>
        <w:tc>
          <w:tcPr>
            <w:tcW w:w="1417" w:type="dxa"/>
          </w:tcPr>
          <w:p w14:paraId="1D3BDA3D" w14:textId="54C74500" w:rsidR="0052166C" w:rsidRPr="00F02BC6" w:rsidRDefault="000F414A" w:rsidP="00AF55AC">
            <w:pPr>
              <w:tabs>
                <w:tab w:val="left" w:pos="6649"/>
              </w:tabs>
              <w:rPr>
                <w:color w:val="000000"/>
                <w:sz w:val="20"/>
                <w:szCs w:val="20"/>
                <w:lang w:val="en-US"/>
              </w:rPr>
            </w:pPr>
            <w:r w:rsidRPr="00F02BC6">
              <w:rPr>
                <w:color w:val="000000"/>
                <w:sz w:val="20"/>
                <w:szCs w:val="20"/>
                <w:lang w:val="en-US"/>
              </w:rPr>
              <w:t>Not serious</w:t>
            </w:r>
          </w:p>
        </w:tc>
        <w:tc>
          <w:tcPr>
            <w:tcW w:w="1276" w:type="dxa"/>
          </w:tcPr>
          <w:p w14:paraId="1C302104" w14:textId="5418284F" w:rsidR="0052166C" w:rsidRPr="00F02BC6" w:rsidRDefault="000F414A" w:rsidP="00AF55AC">
            <w:pPr>
              <w:tabs>
                <w:tab w:val="left" w:pos="6649"/>
              </w:tabs>
              <w:rPr>
                <w:color w:val="000000"/>
                <w:sz w:val="20"/>
                <w:szCs w:val="20"/>
                <w:lang w:val="en-US"/>
              </w:rPr>
            </w:pPr>
            <w:r w:rsidRPr="00F02BC6">
              <w:rPr>
                <w:color w:val="000000"/>
                <w:sz w:val="20"/>
                <w:szCs w:val="20"/>
                <w:lang w:val="en-US"/>
              </w:rPr>
              <w:t>Not serious</w:t>
            </w:r>
          </w:p>
        </w:tc>
        <w:tc>
          <w:tcPr>
            <w:tcW w:w="1276" w:type="dxa"/>
          </w:tcPr>
          <w:p w14:paraId="7D6F5B89" w14:textId="58B0E9E1" w:rsidR="0052166C" w:rsidRPr="00F02BC6" w:rsidRDefault="000F414A" w:rsidP="00AF55AC">
            <w:pPr>
              <w:tabs>
                <w:tab w:val="left" w:pos="6649"/>
              </w:tabs>
              <w:rPr>
                <w:color w:val="000000"/>
                <w:sz w:val="20"/>
                <w:szCs w:val="20"/>
                <w:lang w:val="en-US"/>
              </w:rPr>
            </w:pPr>
            <w:r w:rsidRPr="00F02BC6">
              <w:rPr>
                <w:color w:val="000000"/>
                <w:sz w:val="20"/>
                <w:szCs w:val="20"/>
                <w:lang w:val="en-US"/>
              </w:rPr>
              <w:t>Not serious</w:t>
            </w:r>
          </w:p>
        </w:tc>
        <w:tc>
          <w:tcPr>
            <w:tcW w:w="1559" w:type="dxa"/>
          </w:tcPr>
          <w:p w14:paraId="341782BE" w14:textId="5A4108A9" w:rsidR="0052166C" w:rsidRPr="00F02BC6" w:rsidRDefault="000F414A" w:rsidP="00AF55AC">
            <w:pPr>
              <w:tabs>
                <w:tab w:val="left" w:pos="6649"/>
              </w:tabs>
              <w:rPr>
                <w:color w:val="000000"/>
                <w:sz w:val="20"/>
                <w:szCs w:val="20"/>
                <w:lang w:val="en-US"/>
              </w:rPr>
            </w:pPr>
            <w:r w:rsidRPr="00F02BC6">
              <w:rPr>
                <w:color w:val="000000"/>
                <w:sz w:val="20"/>
                <w:szCs w:val="20"/>
                <w:lang w:val="en-US"/>
              </w:rPr>
              <w:t>Probably serious</w:t>
            </w:r>
          </w:p>
        </w:tc>
        <w:tc>
          <w:tcPr>
            <w:tcW w:w="1689" w:type="dxa"/>
          </w:tcPr>
          <w:p w14:paraId="04FF8320" w14:textId="11A18821" w:rsidR="0052166C" w:rsidRPr="00F02BC6" w:rsidRDefault="00A5356C" w:rsidP="00AF55AC">
            <w:pPr>
              <w:tabs>
                <w:tab w:val="left" w:pos="6649"/>
              </w:tabs>
              <w:rPr>
                <w:color w:val="000000"/>
                <w:sz w:val="20"/>
                <w:szCs w:val="20"/>
                <w:lang w:val="en-US"/>
              </w:rPr>
            </w:pPr>
            <w:r w:rsidRPr="00F02BC6">
              <w:rPr>
                <w:color w:val="000000"/>
                <w:sz w:val="20"/>
                <w:szCs w:val="20"/>
                <w:lang w:val="en-US"/>
              </w:rPr>
              <w:t xml:space="preserve">Pooled effect was </w:t>
            </w:r>
            <w:r w:rsidR="00FA2495" w:rsidRPr="00F02BC6">
              <w:rPr>
                <w:color w:val="000000"/>
                <w:sz w:val="20"/>
                <w:szCs w:val="20"/>
                <w:lang w:val="en-US"/>
              </w:rPr>
              <w:t>OR: 0.</w:t>
            </w:r>
            <w:r w:rsidRPr="00F02BC6">
              <w:rPr>
                <w:color w:val="000000"/>
                <w:sz w:val="20"/>
                <w:szCs w:val="20"/>
                <w:lang w:val="en-US"/>
              </w:rPr>
              <w:t>56</w:t>
            </w:r>
            <w:r w:rsidR="00FA2495" w:rsidRPr="00F02BC6">
              <w:rPr>
                <w:color w:val="000000"/>
                <w:sz w:val="20"/>
                <w:szCs w:val="20"/>
                <w:lang w:val="en-US"/>
              </w:rPr>
              <w:t>, 95%CI: 0.4</w:t>
            </w:r>
            <w:r w:rsidRPr="00F02BC6">
              <w:rPr>
                <w:color w:val="000000"/>
                <w:sz w:val="20"/>
                <w:szCs w:val="20"/>
                <w:lang w:val="en-US"/>
              </w:rPr>
              <w:t>1</w:t>
            </w:r>
            <w:r w:rsidR="00FA2495" w:rsidRPr="00F02BC6">
              <w:rPr>
                <w:color w:val="000000"/>
                <w:sz w:val="20"/>
                <w:szCs w:val="20"/>
                <w:lang w:val="en-US"/>
              </w:rPr>
              <w:t>-0</w:t>
            </w:r>
            <w:r w:rsidRPr="00F02BC6">
              <w:rPr>
                <w:color w:val="000000"/>
                <w:sz w:val="20"/>
                <w:szCs w:val="20"/>
                <w:lang w:val="en-US"/>
              </w:rPr>
              <w:t>.77</w:t>
            </w:r>
          </w:p>
        </w:tc>
        <w:tc>
          <w:tcPr>
            <w:tcW w:w="1191" w:type="dxa"/>
          </w:tcPr>
          <w:p w14:paraId="59561CC5" w14:textId="178A85F1" w:rsidR="0052166C" w:rsidRPr="00F02BC6" w:rsidRDefault="000F414A" w:rsidP="00AF55AC">
            <w:pPr>
              <w:tabs>
                <w:tab w:val="left" w:pos="6649"/>
              </w:tabs>
              <w:rPr>
                <w:color w:val="000000"/>
                <w:sz w:val="20"/>
                <w:szCs w:val="20"/>
                <w:lang w:val="en-US"/>
              </w:rPr>
            </w:pPr>
            <w:r w:rsidRPr="00F02BC6">
              <w:rPr>
                <w:color w:val="000000"/>
                <w:sz w:val="20"/>
                <w:szCs w:val="20"/>
                <w:lang w:val="en-US"/>
              </w:rPr>
              <w:t>Moderate</w:t>
            </w:r>
          </w:p>
        </w:tc>
      </w:tr>
      <w:tr w:rsidR="008630EB" w:rsidRPr="00F02BC6" w14:paraId="21FD91C5" w14:textId="77777777" w:rsidTr="008630EB">
        <w:tc>
          <w:tcPr>
            <w:tcW w:w="1586" w:type="dxa"/>
          </w:tcPr>
          <w:p w14:paraId="5E9DE98E" w14:textId="5DB32799" w:rsidR="0052166C" w:rsidRPr="00F02BC6" w:rsidRDefault="00A5356C" w:rsidP="00AF55AC">
            <w:pPr>
              <w:tabs>
                <w:tab w:val="left" w:pos="6649"/>
              </w:tabs>
              <w:rPr>
                <w:color w:val="000000"/>
                <w:sz w:val="20"/>
                <w:szCs w:val="20"/>
                <w:lang w:val="en-US"/>
              </w:rPr>
            </w:pPr>
            <w:r w:rsidRPr="00F02BC6">
              <w:rPr>
                <w:color w:val="000000"/>
                <w:sz w:val="20"/>
                <w:szCs w:val="20"/>
                <w:lang w:val="en-US"/>
              </w:rPr>
              <w:t>4 cohort studies</w:t>
            </w:r>
          </w:p>
        </w:tc>
        <w:tc>
          <w:tcPr>
            <w:tcW w:w="1739" w:type="dxa"/>
          </w:tcPr>
          <w:p w14:paraId="6B15DC27" w14:textId="2CD322C6" w:rsidR="0052166C" w:rsidRPr="00F02BC6" w:rsidRDefault="00A5356C" w:rsidP="00AF55AC">
            <w:pPr>
              <w:tabs>
                <w:tab w:val="left" w:pos="6649"/>
              </w:tabs>
              <w:rPr>
                <w:color w:val="000000"/>
                <w:sz w:val="20"/>
                <w:szCs w:val="20"/>
                <w:lang w:val="en-US"/>
              </w:rPr>
            </w:pPr>
            <w:r w:rsidRPr="00F02BC6">
              <w:rPr>
                <w:color w:val="000000"/>
                <w:sz w:val="20"/>
                <w:szCs w:val="20"/>
                <w:lang w:val="en-US"/>
              </w:rPr>
              <w:t>Average MPR (mean/Median/75</w:t>
            </w:r>
            <w:r w:rsidRPr="00F02BC6">
              <w:rPr>
                <w:color w:val="000000"/>
                <w:sz w:val="20"/>
                <w:szCs w:val="20"/>
                <w:vertAlign w:val="superscript"/>
                <w:lang w:val="en-US"/>
              </w:rPr>
              <w:t>th</w:t>
            </w:r>
            <w:r w:rsidRPr="00F02BC6">
              <w:rPr>
                <w:color w:val="000000"/>
                <w:sz w:val="20"/>
                <w:szCs w:val="20"/>
                <w:lang w:val="en-US"/>
              </w:rPr>
              <w:t xml:space="preserve"> percentile)</w:t>
            </w:r>
          </w:p>
        </w:tc>
        <w:tc>
          <w:tcPr>
            <w:tcW w:w="1238" w:type="dxa"/>
          </w:tcPr>
          <w:p w14:paraId="40ABAFC4" w14:textId="16DF74FB" w:rsidR="0052166C" w:rsidRPr="00F02BC6" w:rsidRDefault="0016152F" w:rsidP="00AF55AC">
            <w:pPr>
              <w:tabs>
                <w:tab w:val="left" w:pos="6649"/>
              </w:tabs>
              <w:rPr>
                <w:color w:val="000000"/>
                <w:sz w:val="20"/>
                <w:szCs w:val="20"/>
                <w:lang w:val="en-US"/>
              </w:rPr>
            </w:pPr>
            <w:r w:rsidRPr="00F02BC6">
              <w:rPr>
                <w:color w:val="000000"/>
                <w:sz w:val="20"/>
                <w:szCs w:val="20"/>
                <w:lang w:val="en-US"/>
              </w:rPr>
              <w:t>Asthma exacerbation</w:t>
            </w:r>
          </w:p>
        </w:tc>
        <w:tc>
          <w:tcPr>
            <w:tcW w:w="1386" w:type="dxa"/>
          </w:tcPr>
          <w:p w14:paraId="1582C5C0" w14:textId="5E0B6C2B" w:rsidR="0052166C" w:rsidRPr="00F02BC6" w:rsidRDefault="00557BCE" w:rsidP="00AF55AC">
            <w:pPr>
              <w:tabs>
                <w:tab w:val="left" w:pos="6649"/>
              </w:tabs>
              <w:rPr>
                <w:color w:val="000000"/>
                <w:sz w:val="20"/>
                <w:szCs w:val="20"/>
                <w:lang w:val="en-US"/>
              </w:rPr>
            </w:pPr>
            <w:r w:rsidRPr="00F02BC6">
              <w:rPr>
                <w:color w:val="000000"/>
                <w:sz w:val="20"/>
                <w:szCs w:val="20"/>
                <w:lang w:val="en-US"/>
              </w:rPr>
              <w:t>Concerns unlikely to alter outcome</w:t>
            </w:r>
          </w:p>
        </w:tc>
        <w:tc>
          <w:tcPr>
            <w:tcW w:w="1417" w:type="dxa"/>
          </w:tcPr>
          <w:p w14:paraId="54E91E88" w14:textId="37708A95" w:rsidR="0052166C" w:rsidRPr="00F02BC6" w:rsidRDefault="000F414A" w:rsidP="00AF55AC">
            <w:pPr>
              <w:tabs>
                <w:tab w:val="left" w:pos="6649"/>
              </w:tabs>
              <w:rPr>
                <w:color w:val="000000"/>
                <w:sz w:val="20"/>
                <w:szCs w:val="20"/>
                <w:lang w:val="en-US"/>
              </w:rPr>
            </w:pPr>
            <w:r w:rsidRPr="00F02BC6">
              <w:rPr>
                <w:color w:val="000000"/>
                <w:sz w:val="20"/>
                <w:szCs w:val="20"/>
                <w:lang w:val="en-US"/>
              </w:rPr>
              <w:t>Not serious</w:t>
            </w:r>
          </w:p>
        </w:tc>
        <w:tc>
          <w:tcPr>
            <w:tcW w:w="1276" w:type="dxa"/>
          </w:tcPr>
          <w:p w14:paraId="0E4521B3" w14:textId="546918FD" w:rsidR="0052166C" w:rsidRPr="00F02BC6" w:rsidRDefault="000F414A" w:rsidP="00AF55AC">
            <w:pPr>
              <w:tabs>
                <w:tab w:val="left" w:pos="6649"/>
              </w:tabs>
              <w:rPr>
                <w:color w:val="000000"/>
                <w:sz w:val="20"/>
                <w:szCs w:val="20"/>
                <w:lang w:val="en-US"/>
              </w:rPr>
            </w:pPr>
            <w:r w:rsidRPr="00F02BC6">
              <w:rPr>
                <w:color w:val="000000"/>
                <w:sz w:val="20"/>
                <w:szCs w:val="20"/>
                <w:lang w:val="en-US"/>
              </w:rPr>
              <w:t>Not serious</w:t>
            </w:r>
          </w:p>
        </w:tc>
        <w:tc>
          <w:tcPr>
            <w:tcW w:w="1276" w:type="dxa"/>
          </w:tcPr>
          <w:p w14:paraId="0D2A7EC9" w14:textId="779FEE39" w:rsidR="0052166C" w:rsidRPr="00F02BC6" w:rsidRDefault="000F414A" w:rsidP="00AF55AC">
            <w:pPr>
              <w:tabs>
                <w:tab w:val="left" w:pos="6649"/>
              </w:tabs>
              <w:rPr>
                <w:color w:val="000000"/>
                <w:sz w:val="20"/>
                <w:szCs w:val="20"/>
                <w:lang w:val="en-US"/>
              </w:rPr>
            </w:pPr>
            <w:r w:rsidRPr="00F02BC6">
              <w:rPr>
                <w:color w:val="000000"/>
                <w:sz w:val="20"/>
                <w:szCs w:val="20"/>
                <w:lang w:val="en-US"/>
              </w:rPr>
              <w:t>Not serious</w:t>
            </w:r>
          </w:p>
        </w:tc>
        <w:tc>
          <w:tcPr>
            <w:tcW w:w="1559" w:type="dxa"/>
          </w:tcPr>
          <w:p w14:paraId="324EA5AF" w14:textId="4284BC9A" w:rsidR="0052166C" w:rsidRPr="00F02BC6" w:rsidRDefault="000F414A" w:rsidP="00AF55AC">
            <w:pPr>
              <w:tabs>
                <w:tab w:val="left" w:pos="6649"/>
              </w:tabs>
              <w:rPr>
                <w:color w:val="000000"/>
                <w:sz w:val="20"/>
                <w:szCs w:val="20"/>
                <w:lang w:val="en-US"/>
              </w:rPr>
            </w:pPr>
            <w:r w:rsidRPr="00F02BC6">
              <w:rPr>
                <w:color w:val="000000"/>
                <w:sz w:val="20"/>
                <w:szCs w:val="20"/>
                <w:lang w:val="en-US"/>
              </w:rPr>
              <w:t>Not serious</w:t>
            </w:r>
          </w:p>
        </w:tc>
        <w:tc>
          <w:tcPr>
            <w:tcW w:w="1689" w:type="dxa"/>
          </w:tcPr>
          <w:p w14:paraId="0E36FB0D" w14:textId="05A7CA06" w:rsidR="0052166C" w:rsidRPr="00F02BC6" w:rsidRDefault="00A5356C" w:rsidP="00AF55AC">
            <w:pPr>
              <w:tabs>
                <w:tab w:val="left" w:pos="6649"/>
              </w:tabs>
              <w:rPr>
                <w:color w:val="000000"/>
                <w:sz w:val="20"/>
                <w:szCs w:val="20"/>
                <w:lang w:val="en-US"/>
              </w:rPr>
            </w:pPr>
            <w:r w:rsidRPr="00F02BC6">
              <w:rPr>
                <w:color w:val="000000"/>
                <w:sz w:val="20"/>
                <w:szCs w:val="20"/>
                <w:lang w:val="en-US"/>
              </w:rPr>
              <w:t xml:space="preserve">Pooled estimate: </w:t>
            </w:r>
            <w:r w:rsidR="00FA2495" w:rsidRPr="00F02BC6">
              <w:rPr>
                <w:color w:val="000000"/>
                <w:sz w:val="20"/>
                <w:szCs w:val="20"/>
                <w:lang w:val="en-US"/>
              </w:rPr>
              <w:t xml:space="preserve">OR: </w:t>
            </w:r>
            <w:r w:rsidRPr="00F02BC6">
              <w:rPr>
                <w:color w:val="000000"/>
                <w:sz w:val="20"/>
                <w:szCs w:val="20"/>
                <w:lang w:val="en-US"/>
              </w:rPr>
              <w:t>1.01</w:t>
            </w:r>
            <w:r w:rsidR="000C180B" w:rsidRPr="00F02BC6">
              <w:rPr>
                <w:color w:val="000000"/>
                <w:sz w:val="20"/>
                <w:szCs w:val="20"/>
                <w:lang w:val="en-US"/>
              </w:rPr>
              <w:t>, 95%</w:t>
            </w:r>
            <w:r w:rsidRPr="00F02BC6">
              <w:rPr>
                <w:color w:val="000000"/>
                <w:sz w:val="20"/>
                <w:szCs w:val="20"/>
                <w:lang w:val="en-US"/>
              </w:rPr>
              <w:t xml:space="preserve"> </w:t>
            </w:r>
            <w:r w:rsidR="000C180B" w:rsidRPr="00F02BC6">
              <w:rPr>
                <w:color w:val="000000"/>
                <w:sz w:val="20"/>
                <w:szCs w:val="20"/>
                <w:lang w:val="en-US"/>
              </w:rPr>
              <w:t>CI:</w:t>
            </w:r>
            <w:r w:rsidRPr="00F02BC6">
              <w:rPr>
                <w:color w:val="000000"/>
                <w:sz w:val="20"/>
                <w:szCs w:val="20"/>
                <w:lang w:val="en-US"/>
              </w:rPr>
              <w:t>0.78-1.31</w:t>
            </w:r>
          </w:p>
        </w:tc>
        <w:tc>
          <w:tcPr>
            <w:tcW w:w="1191" w:type="dxa"/>
          </w:tcPr>
          <w:p w14:paraId="6E49D858" w14:textId="1618E7C0" w:rsidR="0052166C" w:rsidRPr="00F02BC6" w:rsidRDefault="000F414A" w:rsidP="00AF55AC">
            <w:pPr>
              <w:tabs>
                <w:tab w:val="left" w:pos="6649"/>
              </w:tabs>
              <w:rPr>
                <w:color w:val="000000"/>
                <w:sz w:val="20"/>
                <w:szCs w:val="20"/>
                <w:lang w:val="en-US"/>
              </w:rPr>
            </w:pPr>
            <w:r w:rsidRPr="00F02BC6">
              <w:rPr>
                <w:color w:val="000000"/>
                <w:sz w:val="20"/>
                <w:szCs w:val="20"/>
                <w:lang w:val="en-US"/>
              </w:rPr>
              <w:t>Moderate</w:t>
            </w:r>
          </w:p>
        </w:tc>
      </w:tr>
      <w:tr w:rsidR="008630EB" w:rsidRPr="00F02BC6" w14:paraId="2A522EC1" w14:textId="77777777" w:rsidTr="008630EB">
        <w:tc>
          <w:tcPr>
            <w:tcW w:w="1586" w:type="dxa"/>
          </w:tcPr>
          <w:p w14:paraId="17CDF854" w14:textId="74357157" w:rsidR="0052166C" w:rsidRPr="00F02BC6" w:rsidRDefault="00A5356C" w:rsidP="00AF55AC">
            <w:pPr>
              <w:tabs>
                <w:tab w:val="left" w:pos="6649"/>
              </w:tabs>
              <w:rPr>
                <w:color w:val="000000"/>
                <w:sz w:val="20"/>
                <w:szCs w:val="20"/>
                <w:lang w:val="en-US"/>
              </w:rPr>
            </w:pPr>
            <w:r w:rsidRPr="00F02BC6">
              <w:rPr>
                <w:color w:val="000000"/>
                <w:sz w:val="20"/>
                <w:szCs w:val="20"/>
                <w:lang w:val="en-US"/>
              </w:rPr>
              <w:t>3 cohort studies</w:t>
            </w:r>
          </w:p>
        </w:tc>
        <w:tc>
          <w:tcPr>
            <w:tcW w:w="1739" w:type="dxa"/>
          </w:tcPr>
          <w:p w14:paraId="53BC661D" w14:textId="335169D1" w:rsidR="0052166C" w:rsidRPr="00F02BC6" w:rsidRDefault="00A5356C" w:rsidP="00AF55AC">
            <w:pPr>
              <w:tabs>
                <w:tab w:val="left" w:pos="6649"/>
              </w:tabs>
              <w:rPr>
                <w:color w:val="000000"/>
                <w:sz w:val="20"/>
                <w:szCs w:val="20"/>
                <w:lang w:val="en-US"/>
              </w:rPr>
            </w:pPr>
            <w:r w:rsidRPr="00F02BC6">
              <w:rPr>
                <w:color w:val="000000"/>
                <w:sz w:val="20"/>
                <w:szCs w:val="20"/>
                <w:lang w:val="en-US"/>
              </w:rPr>
              <w:t>Adherence rates (MPR &gt;=0.50)</w:t>
            </w:r>
          </w:p>
        </w:tc>
        <w:tc>
          <w:tcPr>
            <w:tcW w:w="1238" w:type="dxa"/>
          </w:tcPr>
          <w:p w14:paraId="7DA637D4" w14:textId="15978B84" w:rsidR="0052166C" w:rsidRPr="00F02BC6" w:rsidRDefault="0016152F" w:rsidP="00AF55AC">
            <w:pPr>
              <w:tabs>
                <w:tab w:val="left" w:pos="6649"/>
              </w:tabs>
              <w:rPr>
                <w:color w:val="000000"/>
                <w:sz w:val="20"/>
                <w:szCs w:val="20"/>
                <w:lang w:val="en-US"/>
              </w:rPr>
            </w:pPr>
            <w:r w:rsidRPr="00F02BC6">
              <w:rPr>
                <w:color w:val="000000"/>
                <w:sz w:val="20"/>
                <w:szCs w:val="20"/>
                <w:lang w:val="en-US"/>
              </w:rPr>
              <w:t>Asthma exacerbation</w:t>
            </w:r>
          </w:p>
        </w:tc>
        <w:tc>
          <w:tcPr>
            <w:tcW w:w="1386" w:type="dxa"/>
          </w:tcPr>
          <w:p w14:paraId="6CB8C34A" w14:textId="77419219" w:rsidR="0052166C" w:rsidRPr="00F02BC6" w:rsidRDefault="00557BCE" w:rsidP="00AF55AC">
            <w:pPr>
              <w:tabs>
                <w:tab w:val="left" w:pos="6649"/>
              </w:tabs>
              <w:rPr>
                <w:color w:val="000000"/>
                <w:sz w:val="20"/>
                <w:szCs w:val="20"/>
                <w:lang w:val="en-US"/>
              </w:rPr>
            </w:pPr>
            <w:r w:rsidRPr="00F02BC6">
              <w:rPr>
                <w:color w:val="000000"/>
                <w:sz w:val="20"/>
                <w:szCs w:val="20"/>
                <w:lang w:val="en-US"/>
              </w:rPr>
              <w:t>Concerns unlikely to alter outcome</w:t>
            </w:r>
          </w:p>
        </w:tc>
        <w:tc>
          <w:tcPr>
            <w:tcW w:w="1417" w:type="dxa"/>
          </w:tcPr>
          <w:p w14:paraId="0728D0B8" w14:textId="4D91CE81" w:rsidR="0052166C" w:rsidRPr="00F02BC6" w:rsidRDefault="000F414A" w:rsidP="00AF55AC">
            <w:pPr>
              <w:tabs>
                <w:tab w:val="left" w:pos="6649"/>
              </w:tabs>
              <w:rPr>
                <w:color w:val="000000"/>
                <w:sz w:val="20"/>
                <w:szCs w:val="20"/>
                <w:lang w:val="en-US"/>
              </w:rPr>
            </w:pPr>
            <w:r w:rsidRPr="00F02BC6">
              <w:rPr>
                <w:color w:val="000000"/>
                <w:sz w:val="20"/>
                <w:szCs w:val="20"/>
                <w:lang w:val="en-US"/>
              </w:rPr>
              <w:t>serious</w:t>
            </w:r>
          </w:p>
        </w:tc>
        <w:tc>
          <w:tcPr>
            <w:tcW w:w="1276" w:type="dxa"/>
          </w:tcPr>
          <w:p w14:paraId="43DBC66F" w14:textId="7684627A" w:rsidR="0052166C" w:rsidRPr="00F02BC6" w:rsidRDefault="000F414A" w:rsidP="00AF55AC">
            <w:pPr>
              <w:tabs>
                <w:tab w:val="left" w:pos="6649"/>
              </w:tabs>
              <w:rPr>
                <w:color w:val="000000"/>
                <w:sz w:val="20"/>
                <w:szCs w:val="20"/>
                <w:lang w:val="en-US"/>
              </w:rPr>
            </w:pPr>
            <w:r w:rsidRPr="00F02BC6">
              <w:rPr>
                <w:color w:val="000000"/>
                <w:sz w:val="20"/>
                <w:szCs w:val="20"/>
                <w:lang w:val="en-US"/>
              </w:rPr>
              <w:t>Not serious</w:t>
            </w:r>
          </w:p>
        </w:tc>
        <w:tc>
          <w:tcPr>
            <w:tcW w:w="1276" w:type="dxa"/>
          </w:tcPr>
          <w:p w14:paraId="615874E0" w14:textId="4C71901A" w:rsidR="0052166C" w:rsidRPr="00F02BC6" w:rsidRDefault="000F414A" w:rsidP="00AF55AC">
            <w:pPr>
              <w:tabs>
                <w:tab w:val="left" w:pos="6649"/>
              </w:tabs>
              <w:rPr>
                <w:color w:val="000000"/>
                <w:sz w:val="20"/>
                <w:szCs w:val="20"/>
                <w:lang w:val="en-US"/>
              </w:rPr>
            </w:pPr>
            <w:r w:rsidRPr="00F02BC6">
              <w:rPr>
                <w:color w:val="000000"/>
                <w:sz w:val="20"/>
                <w:szCs w:val="20"/>
                <w:lang w:val="en-US"/>
              </w:rPr>
              <w:t>Not serious</w:t>
            </w:r>
          </w:p>
        </w:tc>
        <w:tc>
          <w:tcPr>
            <w:tcW w:w="1559" w:type="dxa"/>
          </w:tcPr>
          <w:p w14:paraId="1988AC70" w14:textId="65E2D33C" w:rsidR="0052166C" w:rsidRPr="00F02BC6" w:rsidRDefault="000F414A" w:rsidP="00AF55AC">
            <w:pPr>
              <w:tabs>
                <w:tab w:val="left" w:pos="6649"/>
              </w:tabs>
              <w:rPr>
                <w:color w:val="000000"/>
                <w:sz w:val="20"/>
                <w:szCs w:val="20"/>
                <w:lang w:val="en-US"/>
              </w:rPr>
            </w:pPr>
            <w:r w:rsidRPr="00F02BC6">
              <w:rPr>
                <w:color w:val="000000"/>
                <w:sz w:val="20"/>
                <w:szCs w:val="20"/>
                <w:lang w:val="en-US"/>
              </w:rPr>
              <w:t>Not serious</w:t>
            </w:r>
          </w:p>
        </w:tc>
        <w:tc>
          <w:tcPr>
            <w:tcW w:w="1689" w:type="dxa"/>
          </w:tcPr>
          <w:p w14:paraId="2B4C1038" w14:textId="2912EBCB" w:rsidR="0052166C" w:rsidRPr="00F02BC6" w:rsidRDefault="00A5356C" w:rsidP="00AF55AC">
            <w:pPr>
              <w:tabs>
                <w:tab w:val="left" w:pos="6649"/>
              </w:tabs>
              <w:rPr>
                <w:color w:val="000000"/>
                <w:sz w:val="20"/>
                <w:szCs w:val="20"/>
                <w:lang w:val="en-US"/>
              </w:rPr>
            </w:pPr>
            <w:r w:rsidRPr="00F02BC6">
              <w:rPr>
                <w:color w:val="000000"/>
                <w:sz w:val="20"/>
                <w:szCs w:val="20"/>
                <w:lang w:val="en-US"/>
              </w:rPr>
              <w:t>Pooled estimate-</w:t>
            </w:r>
            <w:r w:rsidR="000C180B" w:rsidRPr="00F02BC6">
              <w:rPr>
                <w:color w:val="000000"/>
                <w:sz w:val="20"/>
                <w:szCs w:val="20"/>
                <w:lang w:val="en-US"/>
              </w:rPr>
              <w:t>OR: 0</w:t>
            </w:r>
            <w:r w:rsidRPr="00F02BC6">
              <w:rPr>
                <w:color w:val="000000"/>
                <w:sz w:val="20"/>
                <w:szCs w:val="20"/>
                <w:lang w:val="en-US"/>
              </w:rPr>
              <w:t>.71</w:t>
            </w:r>
            <w:r w:rsidR="000C180B" w:rsidRPr="00F02BC6">
              <w:rPr>
                <w:color w:val="000000"/>
                <w:sz w:val="20"/>
                <w:szCs w:val="20"/>
                <w:lang w:val="en-US"/>
              </w:rPr>
              <w:t>, 95%</w:t>
            </w:r>
            <w:r w:rsidRPr="00F02BC6">
              <w:rPr>
                <w:color w:val="000000"/>
                <w:sz w:val="20"/>
                <w:szCs w:val="20"/>
                <w:lang w:val="en-US"/>
              </w:rPr>
              <w:t xml:space="preserve"> </w:t>
            </w:r>
            <w:r w:rsidR="000C180B" w:rsidRPr="00F02BC6">
              <w:rPr>
                <w:color w:val="000000"/>
                <w:sz w:val="20"/>
                <w:szCs w:val="20"/>
                <w:lang w:val="en-US"/>
              </w:rPr>
              <w:t>CI:0.54-0.</w:t>
            </w:r>
            <w:r w:rsidRPr="00F02BC6">
              <w:rPr>
                <w:color w:val="000000"/>
                <w:sz w:val="20"/>
                <w:szCs w:val="20"/>
                <w:lang w:val="en-US"/>
              </w:rPr>
              <w:t>94</w:t>
            </w:r>
          </w:p>
        </w:tc>
        <w:tc>
          <w:tcPr>
            <w:tcW w:w="1191" w:type="dxa"/>
          </w:tcPr>
          <w:p w14:paraId="2016EB6B" w14:textId="43A40C44" w:rsidR="0052166C" w:rsidRPr="00F02BC6" w:rsidRDefault="000F414A" w:rsidP="00AF55AC">
            <w:pPr>
              <w:tabs>
                <w:tab w:val="left" w:pos="6649"/>
              </w:tabs>
              <w:rPr>
                <w:color w:val="000000"/>
                <w:sz w:val="20"/>
                <w:szCs w:val="20"/>
                <w:lang w:val="en-US"/>
              </w:rPr>
            </w:pPr>
            <w:r w:rsidRPr="00F02BC6">
              <w:rPr>
                <w:color w:val="000000"/>
                <w:sz w:val="20"/>
                <w:szCs w:val="20"/>
                <w:lang w:val="en-US"/>
              </w:rPr>
              <w:t>Moderate</w:t>
            </w:r>
          </w:p>
        </w:tc>
      </w:tr>
    </w:tbl>
    <w:p w14:paraId="7AA54B8C" w14:textId="23F282AE" w:rsidR="0052166C" w:rsidRPr="00F02BC6" w:rsidRDefault="0016152F" w:rsidP="00051352">
      <w:pPr>
        <w:rPr>
          <w:bCs/>
          <w:color w:val="000000"/>
          <w:sz w:val="20"/>
          <w:szCs w:val="20"/>
          <w:lang w:val="en-US"/>
        </w:rPr>
      </w:pPr>
      <w:r w:rsidRPr="00F02BC6">
        <w:rPr>
          <w:bCs/>
          <w:color w:val="000000"/>
          <w:sz w:val="20"/>
          <w:szCs w:val="20"/>
          <w:lang w:val="en-US"/>
        </w:rPr>
        <w:t>OR=odds ratio, 95%CI: 95% confidence interval, MPR=Medication possession ratio</w:t>
      </w:r>
    </w:p>
    <w:p w14:paraId="483E0740" w14:textId="77777777" w:rsidR="0052166C" w:rsidRPr="00F02BC6" w:rsidRDefault="0052166C" w:rsidP="00051352">
      <w:pPr>
        <w:rPr>
          <w:b/>
          <w:color w:val="000000"/>
          <w:lang w:val="en-US"/>
        </w:rPr>
      </w:pPr>
    </w:p>
    <w:p w14:paraId="0393F344" w14:textId="77777777" w:rsidR="0052166C" w:rsidRPr="00F02BC6" w:rsidRDefault="0052166C" w:rsidP="00051352">
      <w:pPr>
        <w:rPr>
          <w:b/>
          <w:color w:val="000000"/>
          <w:lang w:val="en-US"/>
        </w:rPr>
      </w:pPr>
    </w:p>
    <w:p w14:paraId="2CED4AFB" w14:textId="783F8C7D" w:rsidR="0052166C" w:rsidRPr="00F02BC6" w:rsidRDefault="0052166C" w:rsidP="00051352">
      <w:pPr>
        <w:rPr>
          <w:b/>
          <w:color w:val="000000"/>
          <w:lang w:val="en-US"/>
        </w:rPr>
      </w:pPr>
    </w:p>
    <w:p w14:paraId="38FD8ACD" w14:textId="71C2A9D2" w:rsidR="00A5356C" w:rsidRPr="00F02BC6" w:rsidRDefault="00A5356C" w:rsidP="00051352">
      <w:pPr>
        <w:rPr>
          <w:b/>
          <w:color w:val="000000"/>
          <w:lang w:val="en-US"/>
        </w:rPr>
      </w:pPr>
    </w:p>
    <w:p w14:paraId="53F9C4D7" w14:textId="30014725" w:rsidR="00A5356C" w:rsidRPr="00F02BC6" w:rsidRDefault="00A5356C" w:rsidP="00051352">
      <w:pPr>
        <w:rPr>
          <w:b/>
          <w:color w:val="000000"/>
          <w:lang w:val="en-US"/>
        </w:rPr>
      </w:pPr>
    </w:p>
    <w:p w14:paraId="3C132484" w14:textId="456CC022" w:rsidR="00A5356C" w:rsidRPr="00F02BC6" w:rsidRDefault="00A5356C" w:rsidP="00051352">
      <w:pPr>
        <w:rPr>
          <w:b/>
          <w:color w:val="000000"/>
          <w:lang w:val="en-US"/>
        </w:rPr>
      </w:pPr>
    </w:p>
    <w:p w14:paraId="7813AC91" w14:textId="25D03D2D" w:rsidR="00A5356C" w:rsidRPr="00F02BC6" w:rsidRDefault="00A5356C" w:rsidP="00051352">
      <w:pPr>
        <w:rPr>
          <w:b/>
          <w:color w:val="000000"/>
          <w:lang w:val="en-US"/>
        </w:rPr>
      </w:pPr>
    </w:p>
    <w:p w14:paraId="40C79C9F" w14:textId="44D05F38" w:rsidR="00A5356C" w:rsidRPr="00F02BC6" w:rsidRDefault="00A5356C" w:rsidP="00051352">
      <w:pPr>
        <w:rPr>
          <w:b/>
          <w:color w:val="000000"/>
          <w:lang w:val="en-US"/>
        </w:rPr>
      </w:pPr>
    </w:p>
    <w:p w14:paraId="08E1D0EC" w14:textId="5A189E96" w:rsidR="00A5356C" w:rsidRPr="00F02BC6" w:rsidRDefault="00A5356C" w:rsidP="00051352">
      <w:pPr>
        <w:rPr>
          <w:b/>
          <w:color w:val="000000"/>
          <w:lang w:val="en-US"/>
        </w:rPr>
      </w:pPr>
    </w:p>
    <w:p w14:paraId="7D88CAD0" w14:textId="03D9841A" w:rsidR="00A5356C" w:rsidRPr="00F02BC6" w:rsidRDefault="00A5356C" w:rsidP="00051352">
      <w:pPr>
        <w:rPr>
          <w:b/>
          <w:color w:val="000000"/>
          <w:lang w:val="en-US"/>
        </w:rPr>
      </w:pPr>
    </w:p>
    <w:p w14:paraId="4AAD9AB5" w14:textId="0114F39D" w:rsidR="00A5356C" w:rsidRPr="00F02BC6" w:rsidRDefault="00A5356C" w:rsidP="00051352">
      <w:pPr>
        <w:rPr>
          <w:b/>
          <w:color w:val="000000"/>
          <w:lang w:val="en-US"/>
        </w:rPr>
      </w:pPr>
    </w:p>
    <w:p w14:paraId="1BD28A0E" w14:textId="77070184" w:rsidR="00A5356C" w:rsidRPr="00F02BC6" w:rsidRDefault="00A5356C" w:rsidP="00051352">
      <w:pPr>
        <w:rPr>
          <w:b/>
          <w:color w:val="000000"/>
          <w:lang w:val="en-US"/>
        </w:rPr>
      </w:pPr>
    </w:p>
    <w:p w14:paraId="62D226C4" w14:textId="33260E89" w:rsidR="00A5356C" w:rsidRPr="00F02BC6" w:rsidRDefault="00A5356C" w:rsidP="00051352">
      <w:pPr>
        <w:rPr>
          <w:b/>
          <w:color w:val="000000"/>
          <w:lang w:val="en-US"/>
        </w:rPr>
      </w:pPr>
    </w:p>
    <w:p w14:paraId="560875BC" w14:textId="1D999094" w:rsidR="00A5356C" w:rsidRPr="00F02BC6" w:rsidRDefault="00A5356C" w:rsidP="00051352">
      <w:pPr>
        <w:rPr>
          <w:b/>
          <w:color w:val="000000"/>
          <w:lang w:val="en-US"/>
        </w:rPr>
      </w:pPr>
    </w:p>
    <w:p w14:paraId="274C4B18" w14:textId="34E99C94" w:rsidR="00A5356C" w:rsidRPr="00F02BC6" w:rsidRDefault="00A5356C" w:rsidP="00051352">
      <w:pPr>
        <w:rPr>
          <w:b/>
          <w:color w:val="000000"/>
          <w:lang w:val="en-US"/>
        </w:rPr>
      </w:pPr>
    </w:p>
    <w:p w14:paraId="0CE1A5CB" w14:textId="77777777" w:rsidR="008630EB" w:rsidRPr="00F02BC6" w:rsidRDefault="008630EB" w:rsidP="00051352">
      <w:pPr>
        <w:rPr>
          <w:b/>
          <w:color w:val="000000"/>
          <w:lang w:val="en-US"/>
        </w:rPr>
      </w:pPr>
    </w:p>
    <w:p w14:paraId="3F583A65" w14:textId="078D1FE2" w:rsidR="00ED28B6" w:rsidRPr="00F02BC6" w:rsidRDefault="00ED28B6" w:rsidP="00051352">
      <w:pPr>
        <w:rPr>
          <w:b/>
          <w:color w:val="000000"/>
          <w:lang w:val="en-US"/>
        </w:rPr>
      </w:pPr>
      <w:r w:rsidRPr="00F02BC6">
        <w:rPr>
          <w:b/>
          <w:color w:val="000000"/>
          <w:lang w:val="en-US"/>
        </w:rPr>
        <w:t>APPENDIX C: ADHERENCE THRESHOLD AND OUTCOMES</w:t>
      </w:r>
    </w:p>
    <w:p w14:paraId="4C0CD6C0" w14:textId="23975FB0" w:rsidR="00715E4A" w:rsidRPr="00F02BC6" w:rsidRDefault="00715E4A" w:rsidP="00051352">
      <w:pPr>
        <w:rPr>
          <w:b/>
          <w:color w:val="000000"/>
          <w:lang w:val="en-US"/>
        </w:rPr>
      </w:pPr>
    </w:p>
    <w:p w14:paraId="5E22185F" w14:textId="77777777" w:rsidR="00715E4A" w:rsidRPr="00F02BC6" w:rsidRDefault="00715E4A" w:rsidP="00715E4A">
      <w:pPr>
        <w:rPr>
          <w:b/>
          <w:color w:val="000000"/>
          <w:sz w:val="20"/>
          <w:szCs w:val="20"/>
          <w:lang w:val="en-US"/>
        </w:rPr>
      </w:pPr>
    </w:p>
    <w:p w14:paraId="5D0DCD3A" w14:textId="77777777" w:rsidR="00715E4A" w:rsidRPr="00F02BC6" w:rsidRDefault="00715E4A" w:rsidP="00715E4A">
      <w:pPr>
        <w:rPr>
          <w:b/>
          <w:color w:val="000000"/>
          <w:lang w:val="en-US"/>
        </w:rPr>
      </w:pPr>
      <w:r w:rsidRPr="00F02BC6">
        <w:rPr>
          <w:b/>
          <w:color w:val="000000"/>
          <w:lang w:val="en-US"/>
        </w:rPr>
        <w:t>Table S3: Adherence Thresholds and Clinical Outcomes</w:t>
      </w:r>
    </w:p>
    <w:tbl>
      <w:tblPr>
        <w:tblStyle w:val="TableGrid"/>
        <w:tblW w:w="10330" w:type="dxa"/>
        <w:tblLook w:val="04A0" w:firstRow="1" w:lastRow="0" w:firstColumn="1" w:lastColumn="0" w:noHBand="0" w:noVBand="1"/>
      </w:tblPr>
      <w:tblGrid>
        <w:gridCol w:w="1975"/>
        <w:gridCol w:w="1870"/>
        <w:gridCol w:w="1565"/>
        <w:gridCol w:w="3315"/>
        <w:gridCol w:w="1605"/>
      </w:tblGrid>
      <w:tr w:rsidR="00715E4A" w:rsidRPr="00F02BC6" w14:paraId="78D01958" w14:textId="77777777" w:rsidTr="00495804">
        <w:tc>
          <w:tcPr>
            <w:tcW w:w="1975" w:type="dxa"/>
          </w:tcPr>
          <w:p w14:paraId="758711C5" w14:textId="77777777" w:rsidR="00715E4A" w:rsidRPr="00F02BC6" w:rsidRDefault="00715E4A" w:rsidP="00495804">
            <w:pPr>
              <w:rPr>
                <w:b/>
                <w:color w:val="000000"/>
                <w:sz w:val="20"/>
                <w:szCs w:val="20"/>
                <w:lang w:val="en-US"/>
              </w:rPr>
            </w:pPr>
            <w:r w:rsidRPr="00F02BC6">
              <w:rPr>
                <w:b/>
                <w:color w:val="000000"/>
                <w:sz w:val="20"/>
                <w:szCs w:val="20"/>
                <w:lang w:val="en-US"/>
              </w:rPr>
              <w:t>Study</w:t>
            </w:r>
          </w:p>
        </w:tc>
        <w:tc>
          <w:tcPr>
            <w:tcW w:w="1870" w:type="dxa"/>
          </w:tcPr>
          <w:p w14:paraId="59C19B64" w14:textId="77777777" w:rsidR="00715E4A" w:rsidRPr="00F02BC6" w:rsidRDefault="00715E4A" w:rsidP="00495804">
            <w:pPr>
              <w:rPr>
                <w:b/>
                <w:color w:val="000000"/>
                <w:sz w:val="20"/>
                <w:szCs w:val="20"/>
                <w:lang w:val="en-US"/>
              </w:rPr>
            </w:pPr>
            <w:r w:rsidRPr="00F02BC6">
              <w:rPr>
                <w:b/>
                <w:color w:val="000000"/>
                <w:sz w:val="20"/>
                <w:szCs w:val="20"/>
                <w:lang w:val="en-US"/>
              </w:rPr>
              <w:t>Medication adherence rate ± Standard Deviation</w:t>
            </w:r>
          </w:p>
        </w:tc>
        <w:tc>
          <w:tcPr>
            <w:tcW w:w="1565" w:type="dxa"/>
          </w:tcPr>
          <w:p w14:paraId="737329A9" w14:textId="77777777" w:rsidR="00715E4A" w:rsidRPr="00F02BC6" w:rsidRDefault="00715E4A" w:rsidP="00495804">
            <w:pPr>
              <w:jc w:val="center"/>
              <w:rPr>
                <w:b/>
                <w:color w:val="000000"/>
                <w:sz w:val="20"/>
                <w:szCs w:val="20"/>
                <w:lang w:val="en-US"/>
              </w:rPr>
            </w:pPr>
            <w:r w:rsidRPr="00F02BC6">
              <w:rPr>
                <w:b/>
                <w:color w:val="000000"/>
                <w:sz w:val="20"/>
                <w:szCs w:val="20"/>
                <w:lang w:val="en-US"/>
              </w:rPr>
              <w:t>Medication adherence rate cut-off value</w:t>
            </w:r>
          </w:p>
        </w:tc>
        <w:tc>
          <w:tcPr>
            <w:tcW w:w="3315" w:type="dxa"/>
          </w:tcPr>
          <w:p w14:paraId="24122C89" w14:textId="77777777" w:rsidR="00715E4A" w:rsidRPr="00F02BC6" w:rsidRDefault="00715E4A" w:rsidP="00495804">
            <w:pPr>
              <w:rPr>
                <w:b/>
                <w:color w:val="000000"/>
                <w:sz w:val="20"/>
                <w:szCs w:val="20"/>
                <w:lang w:val="en-US"/>
              </w:rPr>
            </w:pPr>
            <w:r w:rsidRPr="00F02BC6">
              <w:rPr>
                <w:b/>
                <w:color w:val="000000"/>
                <w:sz w:val="20"/>
                <w:szCs w:val="20"/>
                <w:lang w:val="en-US"/>
              </w:rPr>
              <w:t>Likelihood to reach the targeted clinical outcome with the medication adherence threshold (</w:t>
            </w:r>
            <w:proofErr w:type="gramStart"/>
            <w:r w:rsidRPr="00F02BC6">
              <w:rPr>
                <w:b/>
                <w:color w:val="000000"/>
                <w:sz w:val="20"/>
                <w:szCs w:val="20"/>
                <w:lang w:val="en-US"/>
              </w:rPr>
              <w:t>OR,</w:t>
            </w:r>
            <w:proofErr w:type="gramEnd"/>
            <w:r w:rsidRPr="00F02BC6">
              <w:rPr>
                <w:b/>
                <w:color w:val="000000"/>
                <w:sz w:val="20"/>
                <w:szCs w:val="20"/>
                <w:lang w:val="en-US"/>
              </w:rPr>
              <w:t xml:space="preserve"> HR, RR and confidence interval [CI])</w:t>
            </w:r>
          </w:p>
        </w:tc>
        <w:tc>
          <w:tcPr>
            <w:tcW w:w="1605" w:type="dxa"/>
          </w:tcPr>
          <w:p w14:paraId="68434C39" w14:textId="77777777" w:rsidR="00715E4A" w:rsidRPr="00F02BC6" w:rsidRDefault="00715E4A" w:rsidP="00495804">
            <w:pPr>
              <w:rPr>
                <w:b/>
                <w:color w:val="000000"/>
                <w:sz w:val="20"/>
                <w:szCs w:val="20"/>
                <w:lang w:val="en-US"/>
              </w:rPr>
            </w:pPr>
            <w:r w:rsidRPr="00F02BC6">
              <w:rPr>
                <w:b/>
                <w:color w:val="000000"/>
                <w:sz w:val="20"/>
                <w:szCs w:val="20"/>
                <w:lang w:val="en-US"/>
              </w:rPr>
              <w:t>Percentage of patients below medication adherence threshold</w:t>
            </w:r>
          </w:p>
        </w:tc>
      </w:tr>
      <w:tr w:rsidR="00715E4A" w:rsidRPr="00F02BC6" w14:paraId="691CAF3C" w14:textId="77777777" w:rsidTr="00495804">
        <w:tc>
          <w:tcPr>
            <w:tcW w:w="1975" w:type="dxa"/>
          </w:tcPr>
          <w:p w14:paraId="626941B9" w14:textId="77777777" w:rsidR="00715E4A" w:rsidRPr="00F02BC6" w:rsidRDefault="00715E4A" w:rsidP="00495804">
            <w:pPr>
              <w:rPr>
                <w:color w:val="000000"/>
                <w:sz w:val="20"/>
                <w:szCs w:val="20"/>
                <w:lang w:val="en-US"/>
              </w:rPr>
            </w:pPr>
            <w:proofErr w:type="spellStart"/>
            <w:r w:rsidRPr="00F02BC6">
              <w:rPr>
                <w:color w:val="000000"/>
                <w:sz w:val="20"/>
                <w:szCs w:val="20"/>
                <w:lang w:val="en-US"/>
              </w:rPr>
              <w:t>Bidwal</w:t>
            </w:r>
            <w:proofErr w:type="spellEnd"/>
            <w:r w:rsidRPr="00F02BC6">
              <w:rPr>
                <w:color w:val="000000"/>
                <w:sz w:val="20"/>
                <w:szCs w:val="20"/>
                <w:lang w:val="en-US"/>
              </w:rPr>
              <w:t xml:space="preserve"> et al (2017)</w:t>
            </w:r>
          </w:p>
        </w:tc>
        <w:tc>
          <w:tcPr>
            <w:tcW w:w="1870" w:type="dxa"/>
          </w:tcPr>
          <w:p w14:paraId="7B0B40AD" w14:textId="77777777" w:rsidR="00715E4A" w:rsidRPr="00F02BC6" w:rsidRDefault="00715E4A" w:rsidP="00495804">
            <w:pPr>
              <w:rPr>
                <w:color w:val="000000"/>
                <w:sz w:val="20"/>
                <w:szCs w:val="20"/>
                <w:lang w:val="en-US"/>
              </w:rPr>
            </w:pPr>
            <w:r w:rsidRPr="00F02BC6">
              <w:rPr>
                <w:color w:val="000000"/>
                <w:sz w:val="20"/>
                <w:szCs w:val="20"/>
                <w:lang w:val="en-US"/>
              </w:rPr>
              <w:t>MPR</w:t>
            </w:r>
          </w:p>
          <w:p w14:paraId="79BD3151" w14:textId="77777777" w:rsidR="00715E4A" w:rsidRPr="00F02BC6" w:rsidRDefault="00715E4A" w:rsidP="00495804">
            <w:pPr>
              <w:rPr>
                <w:color w:val="000000"/>
                <w:sz w:val="20"/>
                <w:szCs w:val="20"/>
                <w:lang w:val="en-US"/>
              </w:rPr>
            </w:pPr>
            <w:r w:rsidRPr="00F02BC6">
              <w:rPr>
                <w:color w:val="000000"/>
                <w:sz w:val="20"/>
                <w:szCs w:val="20"/>
                <w:lang w:val="en-US"/>
              </w:rPr>
              <w:t>0.55. Average MPR in (medium-high) group was 0.66 compared to 0.13 in low adherence group.</w:t>
            </w:r>
          </w:p>
        </w:tc>
        <w:tc>
          <w:tcPr>
            <w:tcW w:w="1565" w:type="dxa"/>
          </w:tcPr>
          <w:p w14:paraId="6A19F605" w14:textId="77777777" w:rsidR="00715E4A" w:rsidRPr="00F02BC6" w:rsidRDefault="00715E4A" w:rsidP="00495804">
            <w:pPr>
              <w:jc w:val="center"/>
              <w:rPr>
                <w:color w:val="000000"/>
                <w:sz w:val="20"/>
                <w:szCs w:val="20"/>
                <w:lang w:val="en-US"/>
              </w:rPr>
            </w:pPr>
            <w:r w:rsidRPr="00F02BC6">
              <w:rPr>
                <w:color w:val="000000"/>
                <w:sz w:val="20"/>
                <w:szCs w:val="20"/>
                <w:lang w:val="en-US"/>
              </w:rPr>
              <w:t>0.80</w:t>
            </w:r>
          </w:p>
        </w:tc>
        <w:tc>
          <w:tcPr>
            <w:tcW w:w="3315" w:type="dxa"/>
          </w:tcPr>
          <w:p w14:paraId="010018EE" w14:textId="77777777" w:rsidR="00715E4A" w:rsidRPr="00F02BC6" w:rsidRDefault="00715E4A" w:rsidP="00495804">
            <w:pPr>
              <w:rPr>
                <w:color w:val="000000"/>
                <w:sz w:val="20"/>
                <w:szCs w:val="20"/>
                <w:lang w:val="en-US"/>
              </w:rPr>
            </w:pPr>
            <w:r w:rsidRPr="00F02BC6">
              <w:rPr>
                <w:color w:val="000000"/>
                <w:sz w:val="20"/>
                <w:szCs w:val="20"/>
                <w:lang w:val="en-US"/>
              </w:rPr>
              <w:t xml:space="preserve">Patients with low adherence (66.1%) had fewer medication refills (2.3 vs. 5.3; </w:t>
            </w:r>
            <w:r w:rsidRPr="00F02BC6">
              <w:rPr>
                <w:i/>
                <w:color w:val="000000"/>
                <w:sz w:val="20"/>
                <w:szCs w:val="20"/>
                <w:lang w:val="en-US"/>
              </w:rPr>
              <w:t>P&lt;0.0001</w:t>
            </w:r>
            <w:r w:rsidRPr="00F02BC6">
              <w:rPr>
                <w:color w:val="000000"/>
                <w:sz w:val="20"/>
                <w:szCs w:val="20"/>
                <w:lang w:val="en-US"/>
              </w:rPr>
              <w:t xml:space="preserve">), fewer primary care provider visit (3.4 vs 5.0; </w:t>
            </w:r>
            <w:r w:rsidRPr="00F02BC6">
              <w:rPr>
                <w:i/>
                <w:color w:val="000000"/>
                <w:sz w:val="20"/>
                <w:szCs w:val="20"/>
                <w:lang w:val="en-US"/>
              </w:rPr>
              <w:t>p</w:t>
            </w:r>
            <w:r w:rsidRPr="00F02BC6">
              <w:rPr>
                <w:color w:val="000000"/>
                <w:sz w:val="20"/>
                <w:szCs w:val="20"/>
                <w:lang w:val="en-US"/>
              </w:rPr>
              <w:t xml:space="preserve">&lt;0.001); and lower asthma control test (ACT) scores (13.1 vs 17.3; </w:t>
            </w:r>
            <w:r w:rsidRPr="00F02BC6">
              <w:rPr>
                <w:i/>
                <w:color w:val="000000"/>
                <w:sz w:val="20"/>
                <w:szCs w:val="20"/>
                <w:lang w:val="en-US"/>
              </w:rPr>
              <w:t>p</w:t>
            </w:r>
            <w:r w:rsidRPr="00F02BC6">
              <w:rPr>
                <w:color w:val="000000"/>
                <w:sz w:val="20"/>
                <w:szCs w:val="20"/>
                <w:lang w:val="en-US"/>
              </w:rPr>
              <w:t xml:space="preserve">&lt;0.001), lower AMR (0.7 vs 0.9; </w:t>
            </w:r>
            <w:r w:rsidRPr="00F02BC6">
              <w:rPr>
                <w:i/>
                <w:color w:val="000000"/>
                <w:sz w:val="20"/>
                <w:szCs w:val="20"/>
                <w:lang w:val="en-US"/>
              </w:rPr>
              <w:t>p</w:t>
            </w:r>
            <w:r w:rsidRPr="00F02BC6">
              <w:rPr>
                <w:color w:val="000000"/>
                <w:sz w:val="20"/>
                <w:szCs w:val="20"/>
                <w:lang w:val="en-US"/>
              </w:rPr>
              <w:t>&lt;0.001).</w:t>
            </w:r>
          </w:p>
        </w:tc>
        <w:tc>
          <w:tcPr>
            <w:tcW w:w="1605" w:type="dxa"/>
          </w:tcPr>
          <w:p w14:paraId="7BC90047" w14:textId="77777777" w:rsidR="00715E4A" w:rsidRPr="00F02BC6" w:rsidRDefault="00715E4A" w:rsidP="00495804">
            <w:pPr>
              <w:rPr>
                <w:color w:val="000000"/>
                <w:sz w:val="20"/>
                <w:szCs w:val="20"/>
                <w:lang w:val="en-US"/>
              </w:rPr>
            </w:pPr>
            <w:r w:rsidRPr="00F02BC6">
              <w:rPr>
                <w:color w:val="000000"/>
                <w:sz w:val="20"/>
                <w:szCs w:val="20"/>
                <w:lang w:val="en-US"/>
              </w:rPr>
              <w:t>66.1%</w:t>
            </w:r>
          </w:p>
        </w:tc>
      </w:tr>
      <w:tr w:rsidR="00715E4A" w:rsidRPr="00F02BC6" w14:paraId="2A714CEF" w14:textId="77777777" w:rsidTr="00495804">
        <w:tc>
          <w:tcPr>
            <w:tcW w:w="1975" w:type="dxa"/>
          </w:tcPr>
          <w:p w14:paraId="0C7B7787" w14:textId="77777777" w:rsidR="00715E4A" w:rsidRPr="00F02BC6" w:rsidRDefault="00715E4A" w:rsidP="00495804">
            <w:pPr>
              <w:rPr>
                <w:color w:val="000000"/>
                <w:sz w:val="20"/>
                <w:szCs w:val="20"/>
                <w:lang w:val="en-US"/>
              </w:rPr>
            </w:pPr>
            <w:proofErr w:type="spellStart"/>
            <w:r w:rsidRPr="00F02BC6">
              <w:rPr>
                <w:color w:val="000000"/>
                <w:sz w:val="20"/>
                <w:szCs w:val="20"/>
                <w:lang w:val="en-US"/>
              </w:rPr>
              <w:t>D’Ancona</w:t>
            </w:r>
            <w:proofErr w:type="spellEnd"/>
            <w:r w:rsidRPr="00F02BC6">
              <w:rPr>
                <w:color w:val="000000"/>
                <w:sz w:val="20"/>
                <w:szCs w:val="20"/>
                <w:lang w:val="en-US"/>
              </w:rPr>
              <w:t xml:space="preserve"> et al (2020)</w:t>
            </w:r>
          </w:p>
        </w:tc>
        <w:tc>
          <w:tcPr>
            <w:tcW w:w="1870" w:type="dxa"/>
          </w:tcPr>
          <w:p w14:paraId="77A52AA4" w14:textId="77777777" w:rsidR="00715E4A" w:rsidRPr="00F02BC6" w:rsidRDefault="00715E4A" w:rsidP="00495804">
            <w:pPr>
              <w:rPr>
                <w:color w:val="000000"/>
                <w:sz w:val="20"/>
                <w:szCs w:val="20"/>
                <w:lang w:val="en-US"/>
              </w:rPr>
            </w:pPr>
            <w:r w:rsidRPr="00F02BC6">
              <w:rPr>
                <w:color w:val="000000"/>
                <w:sz w:val="20"/>
                <w:szCs w:val="20"/>
                <w:lang w:val="en-US"/>
              </w:rPr>
              <w:t>MPR</w:t>
            </w:r>
          </w:p>
          <w:p w14:paraId="1661C30D" w14:textId="77777777" w:rsidR="00715E4A" w:rsidRPr="00F02BC6" w:rsidRDefault="00715E4A" w:rsidP="00495804">
            <w:pPr>
              <w:rPr>
                <w:color w:val="000000"/>
                <w:sz w:val="20"/>
                <w:szCs w:val="20"/>
                <w:lang w:val="en-US"/>
              </w:rPr>
            </w:pPr>
            <w:r w:rsidRPr="00F02BC6">
              <w:rPr>
                <w:color w:val="000000"/>
                <w:sz w:val="20"/>
                <w:szCs w:val="20"/>
                <w:lang w:val="en-US"/>
              </w:rPr>
              <w:t>0.81 ± 0.32</w:t>
            </w:r>
          </w:p>
        </w:tc>
        <w:tc>
          <w:tcPr>
            <w:tcW w:w="1565" w:type="dxa"/>
          </w:tcPr>
          <w:p w14:paraId="3F848BBC" w14:textId="77777777" w:rsidR="00715E4A" w:rsidRPr="00F02BC6" w:rsidRDefault="00715E4A" w:rsidP="00495804">
            <w:pPr>
              <w:jc w:val="center"/>
              <w:rPr>
                <w:color w:val="000000"/>
                <w:sz w:val="20"/>
                <w:szCs w:val="20"/>
                <w:lang w:val="en-US"/>
              </w:rPr>
            </w:pPr>
            <w:r w:rsidRPr="00F02BC6">
              <w:rPr>
                <w:color w:val="000000"/>
                <w:sz w:val="20"/>
                <w:szCs w:val="20"/>
                <w:lang w:val="en-US"/>
              </w:rPr>
              <w:t>0.75</w:t>
            </w:r>
          </w:p>
        </w:tc>
        <w:tc>
          <w:tcPr>
            <w:tcW w:w="3315" w:type="dxa"/>
          </w:tcPr>
          <w:p w14:paraId="5AF1861C" w14:textId="77777777" w:rsidR="00715E4A" w:rsidRPr="00F02BC6" w:rsidRDefault="00715E4A" w:rsidP="00495804">
            <w:pPr>
              <w:rPr>
                <w:color w:val="000000"/>
                <w:sz w:val="20"/>
                <w:szCs w:val="20"/>
                <w:lang w:val="en-US"/>
              </w:rPr>
            </w:pPr>
            <w:r w:rsidRPr="00F02BC6">
              <w:rPr>
                <w:color w:val="000000"/>
                <w:sz w:val="20"/>
                <w:szCs w:val="20"/>
                <w:lang w:val="en-US"/>
              </w:rPr>
              <w:t>Good adherence resulted in reduction in OCS dose [(median percentage OCS reduction 100(IQR 74–100) </w:t>
            </w:r>
            <w:r w:rsidRPr="00F02BC6">
              <w:rPr>
                <w:rStyle w:val="Emphasis"/>
                <w:color w:val="000000"/>
                <w:sz w:val="20"/>
                <w:szCs w:val="20"/>
                <w:bdr w:val="none" w:sz="0" w:space="0" w:color="auto" w:frame="1"/>
                <w:lang w:val="en-US"/>
              </w:rPr>
              <w:t>versus</w:t>
            </w:r>
            <w:r w:rsidRPr="00F02BC6">
              <w:rPr>
                <w:color w:val="000000"/>
                <w:sz w:val="20"/>
                <w:szCs w:val="20"/>
                <w:lang w:val="en-US"/>
              </w:rPr>
              <w:t> 60(IQR 27–100);</w:t>
            </w:r>
            <w:r w:rsidRPr="00F02BC6">
              <w:rPr>
                <w:i/>
                <w:color w:val="000000"/>
                <w:sz w:val="20"/>
                <w:szCs w:val="20"/>
                <w:lang w:val="en-US"/>
              </w:rPr>
              <w:t xml:space="preserve"> p</w:t>
            </w:r>
            <w:r w:rsidRPr="00F02BC6">
              <w:rPr>
                <w:color w:val="000000"/>
                <w:sz w:val="20"/>
                <w:szCs w:val="20"/>
                <w:lang w:val="en-US"/>
              </w:rPr>
              <w:t xml:space="preserve">=0.031)]; reduced exacerbation [(AER change -2.1±3.1 versus 0.3±2.5; </w:t>
            </w:r>
            <w:r w:rsidRPr="00F02BC6">
              <w:rPr>
                <w:i/>
                <w:color w:val="000000"/>
                <w:sz w:val="20"/>
                <w:szCs w:val="20"/>
                <w:lang w:val="en-US"/>
              </w:rPr>
              <w:t>p=</w:t>
            </w:r>
            <w:r w:rsidRPr="00F02BC6">
              <w:rPr>
                <w:color w:val="000000"/>
                <w:sz w:val="20"/>
                <w:szCs w:val="20"/>
                <w:lang w:val="en-US"/>
              </w:rPr>
              <w:t>0.011); and (adjusted OR 3.19; 95%CI 1.02–9.94;</w:t>
            </w:r>
            <w:r w:rsidRPr="00F02BC6">
              <w:rPr>
                <w:i/>
                <w:color w:val="000000"/>
                <w:sz w:val="20"/>
                <w:szCs w:val="20"/>
                <w:lang w:val="en-US"/>
              </w:rPr>
              <w:t xml:space="preserve"> p</w:t>
            </w:r>
            <w:r w:rsidRPr="00F02BC6">
              <w:rPr>
                <w:color w:val="000000"/>
                <w:sz w:val="20"/>
                <w:szCs w:val="20"/>
                <w:lang w:val="en-US"/>
              </w:rPr>
              <w:t>=0.045) for likelihood of stopping maintenance OCS.</w:t>
            </w:r>
          </w:p>
        </w:tc>
        <w:tc>
          <w:tcPr>
            <w:tcW w:w="1605" w:type="dxa"/>
          </w:tcPr>
          <w:p w14:paraId="7EB2BFB4" w14:textId="77777777" w:rsidR="00715E4A" w:rsidRPr="00F02BC6" w:rsidRDefault="00715E4A" w:rsidP="00495804">
            <w:pPr>
              <w:rPr>
                <w:color w:val="000000"/>
                <w:sz w:val="20"/>
                <w:szCs w:val="20"/>
                <w:lang w:val="en-US"/>
              </w:rPr>
            </w:pPr>
            <w:r w:rsidRPr="00F02BC6">
              <w:rPr>
                <w:color w:val="000000"/>
                <w:sz w:val="20"/>
                <w:szCs w:val="20"/>
                <w:lang w:val="en-US"/>
              </w:rPr>
              <w:t>18%</w:t>
            </w:r>
          </w:p>
        </w:tc>
      </w:tr>
      <w:tr w:rsidR="00715E4A" w:rsidRPr="00F02BC6" w14:paraId="3BF4389F" w14:textId="77777777" w:rsidTr="00495804">
        <w:tc>
          <w:tcPr>
            <w:tcW w:w="1975" w:type="dxa"/>
          </w:tcPr>
          <w:p w14:paraId="57A14012" w14:textId="77777777" w:rsidR="00715E4A" w:rsidRPr="00F02BC6" w:rsidRDefault="00715E4A" w:rsidP="00495804">
            <w:pPr>
              <w:rPr>
                <w:color w:val="000000"/>
                <w:sz w:val="20"/>
                <w:szCs w:val="20"/>
                <w:lang w:val="en-US"/>
              </w:rPr>
            </w:pPr>
            <w:proofErr w:type="spellStart"/>
            <w:r w:rsidRPr="00F02BC6">
              <w:rPr>
                <w:color w:val="000000"/>
                <w:sz w:val="20"/>
                <w:szCs w:val="20"/>
                <w:lang w:val="en-US"/>
              </w:rPr>
              <w:t>Ismaila</w:t>
            </w:r>
            <w:proofErr w:type="spellEnd"/>
            <w:r w:rsidRPr="00F02BC6">
              <w:rPr>
                <w:color w:val="000000"/>
                <w:sz w:val="20"/>
                <w:szCs w:val="20"/>
                <w:lang w:val="en-US"/>
              </w:rPr>
              <w:t xml:space="preserve"> et al (2014)</w:t>
            </w:r>
          </w:p>
        </w:tc>
        <w:tc>
          <w:tcPr>
            <w:tcW w:w="1870" w:type="dxa"/>
          </w:tcPr>
          <w:p w14:paraId="6023C4CF" w14:textId="77777777" w:rsidR="00715E4A" w:rsidRPr="00F02BC6" w:rsidRDefault="00715E4A" w:rsidP="00495804">
            <w:pPr>
              <w:rPr>
                <w:color w:val="000000"/>
                <w:sz w:val="20"/>
                <w:szCs w:val="20"/>
                <w:lang w:val="en-US"/>
              </w:rPr>
            </w:pPr>
            <w:r w:rsidRPr="00F02BC6">
              <w:rPr>
                <w:color w:val="000000"/>
                <w:sz w:val="20"/>
                <w:szCs w:val="20"/>
                <w:lang w:val="en-US"/>
              </w:rPr>
              <w:t>MPR</w:t>
            </w:r>
          </w:p>
        </w:tc>
        <w:tc>
          <w:tcPr>
            <w:tcW w:w="1565" w:type="dxa"/>
          </w:tcPr>
          <w:p w14:paraId="574223F9" w14:textId="77777777" w:rsidR="00715E4A" w:rsidRPr="00F02BC6" w:rsidRDefault="00715E4A" w:rsidP="00495804">
            <w:pPr>
              <w:jc w:val="center"/>
              <w:rPr>
                <w:color w:val="000000"/>
                <w:sz w:val="20"/>
                <w:szCs w:val="20"/>
                <w:lang w:val="en-US"/>
              </w:rPr>
            </w:pPr>
            <w:r w:rsidRPr="00F02BC6">
              <w:rPr>
                <w:color w:val="000000"/>
                <w:sz w:val="20"/>
                <w:szCs w:val="20"/>
                <w:lang w:val="en-US"/>
              </w:rPr>
              <w:t>0.80</w:t>
            </w:r>
          </w:p>
        </w:tc>
        <w:tc>
          <w:tcPr>
            <w:tcW w:w="3315" w:type="dxa"/>
          </w:tcPr>
          <w:p w14:paraId="1F6ADB14" w14:textId="77777777" w:rsidR="00715E4A" w:rsidRPr="00F02BC6" w:rsidRDefault="00715E4A" w:rsidP="00495804">
            <w:pPr>
              <w:rPr>
                <w:color w:val="000000"/>
                <w:sz w:val="20"/>
                <w:szCs w:val="20"/>
                <w:lang w:val="en-US"/>
              </w:rPr>
            </w:pPr>
            <w:r w:rsidRPr="00F02BC6">
              <w:rPr>
                <w:color w:val="000000"/>
                <w:sz w:val="20"/>
                <w:szCs w:val="20"/>
                <w:lang w:val="en-US"/>
              </w:rPr>
              <w:t xml:space="preserve">Patients achieving adherence at 0.80 recorded reduced adjusted odds of exacerbations (OR=0.48; 95% CI: 0.44–0.54) and lower rate of healthcare utilization [ER visits: 0.48 (0.36-0.64), hospitalizations: 0.49 (0.42-0.57), ICU admissions: 0.62(0.39-0.98).  </w:t>
            </w:r>
          </w:p>
        </w:tc>
        <w:tc>
          <w:tcPr>
            <w:tcW w:w="1605" w:type="dxa"/>
          </w:tcPr>
          <w:p w14:paraId="61635D03" w14:textId="77777777" w:rsidR="00715E4A" w:rsidRPr="00F02BC6" w:rsidRDefault="00715E4A" w:rsidP="00495804">
            <w:pPr>
              <w:rPr>
                <w:color w:val="000000"/>
                <w:sz w:val="20"/>
                <w:szCs w:val="20"/>
                <w:lang w:val="en-US"/>
              </w:rPr>
            </w:pPr>
            <w:r w:rsidRPr="00F02BC6">
              <w:rPr>
                <w:color w:val="000000"/>
                <w:sz w:val="20"/>
                <w:szCs w:val="20"/>
                <w:lang w:val="en-US"/>
              </w:rPr>
              <w:t>57.3%</w:t>
            </w:r>
          </w:p>
        </w:tc>
      </w:tr>
      <w:tr w:rsidR="00715E4A" w:rsidRPr="00F02BC6" w14:paraId="6E142B53" w14:textId="77777777" w:rsidTr="00495804">
        <w:tc>
          <w:tcPr>
            <w:tcW w:w="1975" w:type="dxa"/>
          </w:tcPr>
          <w:p w14:paraId="232D0142" w14:textId="77777777" w:rsidR="00715E4A" w:rsidRPr="00F02BC6" w:rsidRDefault="00715E4A" w:rsidP="00495804">
            <w:pPr>
              <w:rPr>
                <w:color w:val="000000"/>
                <w:sz w:val="20"/>
                <w:szCs w:val="20"/>
                <w:lang w:val="en-US"/>
              </w:rPr>
            </w:pPr>
            <w:r w:rsidRPr="00F02BC6">
              <w:rPr>
                <w:color w:val="000000"/>
                <w:sz w:val="20"/>
                <w:szCs w:val="20"/>
                <w:lang w:val="en-US"/>
              </w:rPr>
              <w:t>Martin et al (2013)</w:t>
            </w:r>
          </w:p>
        </w:tc>
        <w:tc>
          <w:tcPr>
            <w:tcW w:w="1870" w:type="dxa"/>
          </w:tcPr>
          <w:p w14:paraId="1095FE1F" w14:textId="77777777" w:rsidR="00715E4A" w:rsidRPr="00F02BC6" w:rsidRDefault="00715E4A" w:rsidP="00495804">
            <w:pPr>
              <w:rPr>
                <w:color w:val="000000"/>
                <w:sz w:val="20"/>
                <w:szCs w:val="20"/>
                <w:lang w:val="en-US"/>
              </w:rPr>
            </w:pPr>
            <w:r w:rsidRPr="00F02BC6">
              <w:rPr>
                <w:color w:val="000000"/>
                <w:sz w:val="20"/>
                <w:szCs w:val="20"/>
                <w:lang w:val="en-US"/>
              </w:rPr>
              <w:t>MPR</w:t>
            </w:r>
          </w:p>
        </w:tc>
        <w:tc>
          <w:tcPr>
            <w:tcW w:w="1565" w:type="dxa"/>
          </w:tcPr>
          <w:p w14:paraId="6542A721" w14:textId="77777777" w:rsidR="00715E4A" w:rsidRPr="00F02BC6" w:rsidRDefault="00715E4A" w:rsidP="00495804">
            <w:pPr>
              <w:jc w:val="center"/>
              <w:rPr>
                <w:color w:val="000000"/>
                <w:sz w:val="20"/>
                <w:szCs w:val="20"/>
                <w:lang w:val="en-US"/>
              </w:rPr>
            </w:pPr>
            <w:r w:rsidRPr="00F02BC6">
              <w:rPr>
                <w:color w:val="000000"/>
                <w:sz w:val="20"/>
                <w:szCs w:val="20"/>
                <w:lang w:val="en-US"/>
              </w:rPr>
              <w:t xml:space="preserve">1.00 </w:t>
            </w:r>
          </w:p>
          <w:p w14:paraId="49127BD9" w14:textId="77777777" w:rsidR="00715E4A" w:rsidRPr="00F02BC6" w:rsidRDefault="00715E4A" w:rsidP="00495804">
            <w:pPr>
              <w:jc w:val="center"/>
              <w:rPr>
                <w:color w:val="000000"/>
                <w:sz w:val="20"/>
                <w:szCs w:val="20"/>
                <w:lang w:val="en-US"/>
              </w:rPr>
            </w:pPr>
          </w:p>
        </w:tc>
        <w:tc>
          <w:tcPr>
            <w:tcW w:w="3315" w:type="dxa"/>
          </w:tcPr>
          <w:p w14:paraId="65260C05" w14:textId="77777777" w:rsidR="00715E4A" w:rsidRPr="00F02BC6" w:rsidRDefault="00715E4A" w:rsidP="00495804">
            <w:pPr>
              <w:rPr>
                <w:color w:val="000000"/>
                <w:sz w:val="20"/>
                <w:szCs w:val="20"/>
                <w:lang w:val="en-US"/>
              </w:rPr>
            </w:pPr>
            <w:r w:rsidRPr="00F02BC6">
              <w:rPr>
                <w:color w:val="000000"/>
                <w:sz w:val="20"/>
                <w:szCs w:val="20"/>
                <w:lang w:val="en-US"/>
              </w:rPr>
              <w:t>Severe exacerbations were more common in patients who achieved an adherence at MPR&gt;100%. Conversely, risk domain asthma control (RDAC) was lower in patients with MPR&gt;100%. Exacerbations were likely to be uncommon among those with MPR≤100%.</w:t>
            </w:r>
          </w:p>
        </w:tc>
        <w:tc>
          <w:tcPr>
            <w:tcW w:w="1605" w:type="dxa"/>
          </w:tcPr>
          <w:p w14:paraId="7FA813FF" w14:textId="77777777" w:rsidR="00715E4A" w:rsidRPr="00F02BC6" w:rsidRDefault="00715E4A" w:rsidP="00495804">
            <w:pPr>
              <w:rPr>
                <w:color w:val="000000"/>
                <w:sz w:val="20"/>
                <w:szCs w:val="20"/>
                <w:lang w:val="en-US"/>
              </w:rPr>
            </w:pPr>
            <w:r w:rsidRPr="00F02BC6">
              <w:rPr>
                <w:color w:val="000000"/>
                <w:sz w:val="20"/>
                <w:szCs w:val="20"/>
                <w:lang w:val="en-US"/>
              </w:rPr>
              <w:t>99.93%</w:t>
            </w:r>
          </w:p>
        </w:tc>
      </w:tr>
      <w:tr w:rsidR="00715E4A" w:rsidRPr="00F02BC6" w14:paraId="7259D851" w14:textId="77777777" w:rsidTr="00495804">
        <w:tc>
          <w:tcPr>
            <w:tcW w:w="1975" w:type="dxa"/>
          </w:tcPr>
          <w:p w14:paraId="16CEFB94" w14:textId="77777777" w:rsidR="00715E4A" w:rsidRPr="00F02BC6" w:rsidRDefault="00715E4A" w:rsidP="00495804">
            <w:pPr>
              <w:rPr>
                <w:color w:val="000000"/>
                <w:sz w:val="20"/>
                <w:szCs w:val="20"/>
                <w:lang w:val="en-US"/>
              </w:rPr>
            </w:pPr>
            <w:proofErr w:type="spellStart"/>
            <w:r w:rsidRPr="00F02BC6">
              <w:rPr>
                <w:color w:val="000000"/>
                <w:sz w:val="20"/>
                <w:szCs w:val="20"/>
                <w:lang w:val="en-US"/>
              </w:rPr>
              <w:t>Papi</w:t>
            </w:r>
            <w:proofErr w:type="spellEnd"/>
            <w:r w:rsidRPr="00F02BC6">
              <w:rPr>
                <w:color w:val="000000"/>
                <w:sz w:val="20"/>
                <w:szCs w:val="20"/>
                <w:lang w:val="en-US"/>
              </w:rPr>
              <w:t xml:space="preserve"> et al (2018)</w:t>
            </w:r>
          </w:p>
        </w:tc>
        <w:tc>
          <w:tcPr>
            <w:tcW w:w="1870" w:type="dxa"/>
          </w:tcPr>
          <w:p w14:paraId="1D9609F3" w14:textId="77777777" w:rsidR="00715E4A" w:rsidRPr="00F02BC6" w:rsidRDefault="00715E4A" w:rsidP="00495804">
            <w:pPr>
              <w:rPr>
                <w:color w:val="000000"/>
                <w:sz w:val="20"/>
                <w:szCs w:val="20"/>
                <w:lang w:val="en-US"/>
              </w:rPr>
            </w:pPr>
            <w:r w:rsidRPr="00F02BC6">
              <w:rPr>
                <w:color w:val="000000"/>
                <w:sz w:val="20"/>
                <w:szCs w:val="20"/>
                <w:lang w:val="en-US"/>
              </w:rPr>
              <w:t>MPR</w:t>
            </w:r>
          </w:p>
        </w:tc>
        <w:tc>
          <w:tcPr>
            <w:tcW w:w="1565" w:type="dxa"/>
          </w:tcPr>
          <w:p w14:paraId="20087710" w14:textId="77777777" w:rsidR="00715E4A" w:rsidRPr="00F02BC6" w:rsidRDefault="00715E4A" w:rsidP="00495804">
            <w:pPr>
              <w:jc w:val="center"/>
              <w:rPr>
                <w:color w:val="000000"/>
                <w:sz w:val="20"/>
                <w:szCs w:val="20"/>
                <w:lang w:val="en-US"/>
              </w:rPr>
            </w:pPr>
            <w:r w:rsidRPr="00F02BC6">
              <w:rPr>
                <w:color w:val="000000"/>
                <w:sz w:val="20"/>
                <w:szCs w:val="20"/>
                <w:lang w:val="en-US"/>
              </w:rPr>
              <w:t>0.80</w:t>
            </w:r>
          </w:p>
        </w:tc>
        <w:tc>
          <w:tcPr>
            <w:tcW w:w="3315" w:type="dxa"/>
          </w:tcPr>
          <w:p w14:paraId="7FCC54BC" w14:textId="77777777" w:rsidR="00715E4A" w:rsidRPr="00F02BC6" w:rsidRDefault="00715E4A" w:rsidP="00495804">
            <w:pPr>
              <w:rPr>
                <w:color w:val="000000"/>
                <w:sz w:val="20"/>
                <w:szCs w:val="20"/>
                <w:lang w:val="en-US"/>
              </w:rPr>
            </w:pPr>
            <w:r w:rsidRPr="00F02BC6">
              <w:rPr>
                <w:color w:val="000000"/>
                <w:sz w:val="20"/>
                <w:szCs w:val="20"/>
                <w:lang w:val="en-US"/>
              </w:rPr>
              <w:t xml:space="preserve">Compared to the non-adherent patients, the study found an increasing proportion of adherent patients in the elevated blood eosinophil group having 2 or more exacerbations (14.0% vs 7.2%, p=0.0003) and uncontrolled asthma (73% vs 60.8%; </w:t>
            </w:r>
            <w:r w:rsidRPr="00F02BC6">
              <w:rPr>
                <w:i/>
                <w:color w:val="000000"/>
                <w:sz w:val="20"/>
                <w:szCs w:val="20"/>
                <w:lang w:val="en-US"/>
              </w:rPr>
              <w:t>p=0.004</w:t>
            </w:r>
            <w:r w:rsidRPr="00F02BC6">
              <w:rPr>
                <w:color w:val="000000"/>
                <w:sz w:val="20"/>
                <w:szCs w:val="20"/>
                <w:lang w:val="en-US"/>
              </w:rPr>
              <w:t xml:space="preserve">). </w:t>
            </w:r>
          </w:p>
        </w:tc>
        <w:tc>
          <w:tcPr>
            <w:tcW w:w="1605" w:type="dxa"/>
          </w:tcPr>
          <w:p w14:paraId="5CDBABC7" w14:textId="77777777" w:rsidR="00715E4A" w:rsidRPr="00F02BC6" w:rsidRDefault="00715E4A" w:rsidP="00495804">
            <w:pPr>
              <w:rPr>
                <w:color w:val="000000"/>
                <w:sz w:val="20"/>
                <w:szCs w:val="20"/>
                <w:lang w:val="en-US"/>
              </w:rPr>
            </w:pPr>
            <w:r w:rsidRPr="00F02BC6">
              <w:rPr>
                <w:color w:val="000000"/>
                <w:sz w:val="20"/>
                <w:szCs w:val="20"/>
                <w:lang w:val="en-US"/>
              </w:rPr>
              <w:t>81%</w:t>
            </w:r>
          </w:p>
        </w:tc>
      </w:tr>
      <w:tr w:rsidR="00715E4A" w:rsidRPr="00F02BC6" w14:paraId="2CF05D58" w14:textId="77777777" w:rsidTr="00495804">
        <w:tc>
          <w:tcPr>
            <w:tcW w:w="1975" w:type="dxa"/>
          </w:tcPr>
          <w:p w14:paraId="7BCC9242" w14:textId="77777777" w:rsidR="00715E4A" w:rsidRPr="00F02BC6" w:rsidRDefault="00715E4A" w:rsidP="00495804">
            <w:pPr>
              <w:rPr>
                <w:color w:val="000000"/>
                <w:sz w:val="20"/>
                <w:szCs w:val="20"/>
                <w:lang w:val="en-US"/>
              </w:rPr>
            </w:pPr>
            <w:r w:rsidRPr="00F02BC6">
              <w:rPr>
                <w:color w:val="000000"/>
                <w:sz w:val="20"/>
                <w:szCs w:val="20"/>
                <w:lang w:val="en-US"/>
              </w:rPr>
              <w:t>Stern et al (2006)</w:t>
            </w:r>
          </w:p>
        </w:tc>
        <w:tc>
          <w:tcPr>
            <w:tcW w:w="1870" w:type="dxa"/>
          </w:tcPr>
          <w:p w14:paraId="7213F179" w14:textId="77777777" w:rsidR="00715E4A" w:rsidRPr="00F02BC6" w:rsidRDefault="00715E4A" w:rsidP="00495804">
            <w:pPr>
              <w:rPr>
                <w:color w:val="000000"/>
                <w:sz w:val="20"/>
                <w:szCs w:val="20"/>
                <w:lang w:val="en-US"/>
              </w:rPr>
            </w:pPr>
            <w:r w:rsidRPr="00F02BC6">
              <w:rPr>
                <w:color w:val="000000"/>
                <w:sz w:val="20"/>
                <w:szCs w:val="20"/>
                <w:lang w:val="en-US"/>
              </w:rPr>
              <w:t>MPR</w:t>
            </w:r>
          </w:p>
          <w:p w14:paraId="0223A6C5" w14:textId="77777777" w:rsidR="00715E4A" w:rsidRPr="00F02BC6" w:rsidRDefault="00715E4A" w:rsidP="00495804">
            <w:pPr>
              <w:rPr>
                <w:color w:val="000000"/>
                <w:sz w:val="20"/>
                <w:szCs w:val="20"/>
                <w:lang w:val="en-US"/>
              </w:rPr>
            </w:pPr>
            <w:r w:rsidRPr="00F02BC6">
              <w:rPr>
                <w:color w:val="000000"/>
                <w:sz w:val="20"/>
                <w:szCs w:val="20"/>
                <w:lang w:val="en-US"/>
              </w:rPr>
              <w:t>0.24±0.25</w:t>
            </w:r>
          </w:p>
        </w:tc>
        <w:tc>
          <w:tcPr>
            <w:tcW w:w="1565" w:type="dxa"/>
          </w:tcPr>
          <w:p w14:paraId="2CC19821" w14:textId="77777777" w:rsidR="00715E4A" w:rsidRPr="00F02BC6" w:rsidRDefault="00715E4A" w:rsidP="00495804">
            <w:pPr>
              <w:jc w:val="center"/>
              <w:rPr>
                <w:color w:val="000000"/>
                <w:sz w:val="20"/>
                <w:szCs w:val="20"/>
                <w:lang w:val="en-US"/>
              </w:rPr>
            </w:pPr>
            <w:r w:rsidRPr="00F02BC6">
              <w:rPr>
                <w:color w:val="000000"/>
                <w:sz w:val="20"/>
                <w:szCs w:val="20"/>
                <w:lang w:val="en-US"/>
              </w:rPr>
              <w:t>Median MPR (0.14) or 75</w:t>
            </w:r>
            <w:r w:rsidRPr="00F02BC6">
              <w:rPr>
                <w:color w:val="000000"/>
                <w:sz w:val="20"/>
                <w:szCs w:val="20"/>
                <w:vertAlign w:val="superscript"/>
                <w:lang w:val="en-US"/>
              </w:rPr>
              <w:t>th</w:t>
            </w:r>
            <w:r w:rsidRPr="00F02BC6">
              <w:rPr>
                <w:color w:val="000000"/>
                <w:sz w:val="20"/>
                <w:szCs w:val="20"/>
                <w:lang w:val="en-US"/>
              </w:rPr>
              <w:t xml:space="preserve"> percentile of MPR (0.33) </w:t>
            </w:r>
          </w:p>
        </w:tc>
        <w:tc>
          <w:tcPr>
            <w:tcW w:w="3315" w:type="dxa"/>
          </w:tcPr>
          <w:p w14:paraId="19F5E530" w14:textId="7964A481" w:rsidR="00715E4A" w:rsidRPr="00F02BC6" w:rsidRDefault="00715E4A" w:rsidP="00495804">
            <w:pPr>
              <w:rPr>
                <w:color w:val="000000"/>
                <w:sz w:val="20"/>
                <w:szCs w:val="20"/>
                <w:lang w:val="en-US"/>
              </w:rPr>
            </w:pPr>
            <w:r w:rsidRPr="00F02BC6">
              <w:rPr>
                <w:color w:val="000000"/>
                <w:sz w:val="20"/>
                <w:szCs w:val="20"/>
                <w:lang w:val="en-US"/>
              </w:rPr>
              <w:t>Compared to less compliant patients, more compliant patients were less likely to experience exacerbations (odds ratio, 0.94; 95% confidence interval, 0.91–0.97; P &lt; .001) using Median MPR as threshold. The study further recorded reduced exacerbation for compliant patients when the 75</w:t>
            </w:r>
            <w:r w:rsidRPr="00F02BC6">
              <w:rPr>
                <w:color w:val="000000"/>
                <w:sz w:val="20"/>
                <w:szCs w:val="20"/>
                <w:vertAlign w:val="superscript"/>
                <w:lang w:val="en-US"/>
              </w:rPr>
              <w:t>th</w:t>
            </w:r>
            <w:r w:rsidRPr="00F02BC6">
              <w:rPr>
                <w:color w:val="000000"/>
                <w:sz w:val="20"/>
                <w:szCs w:val="20"/>
                <w:lang w:val="en-US"/>
              </w:rPr>
              <w:t xml:space="preserve"> percentile of MPR values was used as the threshold. (Odds ratio, 0.89; 95% confidence interval, 0.86–0.92; P &lt; .001).</w:t>
            </w:r>
          </w:p>
        </w:tc>
        <w:tc>
          <w:tcPr>
            <w:tcW w:w="1605" w:type="dxa"/>
          </w:tcPr>
          <w:p w14:paraId="09661997" w14:textId="77777777" w:rsidR="00715E4A" w:rsidRPr="00F02BC6" w:rsidRDefault="00715E4A" w:rsidP="00495804">
            <w:pPr>
              <w:rPr>
                <w:color w:val="000000"/>
                <w:sz w:val="20"/>
                <w:szCs w:val="20"/>
                <w:lang w:val="en-US"/>
              </w:rPr>
            </w:pPr>
            <w:r w:rsidRPr="00F02BC6">
              <w:rPr>
                <w:color w:val="000000"/>
                <w:sz w:val="20"/>
                <w:szCs w:val="20"/>
                <w:lang w:val="en-US"/>
              </w:rPr>
              <w:t>49.1% for median MPR, and 74.9% for 75</w:t>
            </w:r>
            <w:r w:rsidRPr="00F02BC6">
              <w:rPr>
                <w:color w:val="000000"/>
                <w:sz w:val="20"/>
                <w:szCs w:val="20"/>
                <w:vertAlign w:val="superscript"/>
                <w:lang w:val="en-US"/>
              </w:rPr>
              <w:t>th</w:t>
            </w:r>
            <w:r w:rsidRPr="00F02BC6">
              <w:rPr>
                <w:color w:val="000000"/>
                <w:sz w:val="20"/>
                <w:szCs w:val="20"/>
                <w:lang w:val="en-US"/>
              </w:rPr>
              <w:t xml:space="preserve"> percentile MPR.</w:t>
            </w:r>
          </w:p>
        </w:tc>
      </w:tr>
      <w:tr w:rsidR="00715E4A" w:rsidRPr="00F02BC6" w14:paraId="6D1348D5" w14:textId="77777777" w:rsidTr="00495804">
        <w:tc>
          <w:tcPr>
            <w:tcW w:w="1975" w:type="dxa"/>
          </w:tcPr>
          <w:p w14:paraId="1C39C83F" w14:textId="77777777" w:rsidR="00715E4A" w:rsidRPr="00F02BC6" w:rsidRDefault="00715E4A" w:rsidP="00495804">
            <w:pPr>
              <w:rPr>
                <w:color w:val="000000"/>
                <w:sz w:val="20"/>
                <w:szCs w:val="20"/>
                <w:lang w:val="en-US"/>
              </w:rPr>
            </w:pPr>
            <w:proofErr w:type="spellStart"/>
            <w:r w:rsidRPr="00F02BC6">
              <w:rPr>
                <w:color w:val="000000"/>
                <w:sz w:val="20"/>
                <w:szCs w:val="20"/>
                <w:lang w:val="en-US"/>
              </w:rPr>
              <w:t>Sicras-Mainar</w:t>
            </w:r>
            <w:proofErr w:type="spellEnd"/>
            <w:r w:rsidRPr="00F02BC6">
              <w:rPr>
                <w:color w:val="000000"/>
                <w:sz w:val="20"/>
                <w:szCs w:val="20"/>
                <w:lang w:val="en-US"/>
              </w:rPr>
              <w:t xml:space="preserve"> et al (2017)</w:t>
            </w:r>
          </w:p>
        </w:tc>
        <w:tc>
          <w:tcPr>
            <w:tcW w:w="1870" w:type="dxa"/>
          </w:tcPr>
          <w:p w14:paraId="6FC3D31A" w14:textId="77777777" w:rsidR="00715E4A" w:rsidRPr="00F02BC6" w:rsidRDefault="00715E4A" w:rsidP="00495804">
            <w:pPr>
              <w:rPr>
                <w:color w:val="000000"/>
                <w:sz w:val="20"/>
                <w:szCs w:val="20"/>
                <w:lang w:val="en-US"/>
              </w:rPr>
            </w:pPr>
            <w:r w:rsidRPr="00F02BC6">
              <w:rPr>
                <w:color w:val="000000"/>
                <w:sz w:val="20"/>
                <w:szCs w:val="20"/>
                <w:lang w:val="en-US"/>
              </w:rPr>
              <w:t>MPR</w:t>
            </w:r>
          </w:p>
        </w:tc>
        <w:tc>
          <w:tcPr>
            <w:tcW w:w="1565" w:type="dxa"/>
          </w:tcPr>
          <w:p w14:paraId="468691D1" w14:textId="77777777" w:rsidR="00715E4A" w:rsidRPr="00F02BC6" w:rsidRDefault="00715E4A" w:rsidP="00495804">
            <w:pPr>
              <w:jc w:val="center"/>
              <w:rPr>
                <w:color w:val="000000"/>
                <w:sz w:val="20"/>
                <w:szCs w:val="20"/>
                <w:lang w:val="en-US"/>
              </w:rPr>
            </w:pPr>
            <w:r w:rsidRPr="00F02BC6">
              <w:rPr>
                <w:color w:val="000000"/>
                <w:sz w:val="20"/>
                <w:szCs w:val="20"/>
                <w:lang w:val="en-US"/>
              </w:rPr>
              <w:t>0.80</w:t>
            </w:r>
          </w:p>
        </w:tc>
        <w:tc>
          <w:tcPr>
            <w:tcW w:w="3315" w:type="dxa"/>
          </w:tcPr>
          <w:p w14:paraId="3394E50E" w14:textId="77777777" w:rsidR="00715E4A" w:rsidRPr="00F02BC6" w:rsidRDefault="00715E4A" w:rsidP="00495804">
            <w:pPr>
              <w:rPr>
                <w:color w:val="000000"/>
                <w:sz w:val="20"/>
                <w:szCs w:val="20"/>
                <w:lang w:val="en-US"/>
              </w:rPr>
            </w:pPr>
            <w:r w:rsidRPr="00F02BC6">
              <w:rPr>
                <w:color w:val="000000"/>
                <w:sz w:val="20"/>
                <w:szCs w:val="20"/>
                <w:lang w:val="en-US"/>
              </w:rPr>
              <w:t xml:space="preserve">63.4% of the non-adherent patients suffered at least one exacerbation. In other words, achieving adherence at MPR&gt;0.8 was associated with reduced risk of asthma exacerbation. </w:t>
            </w:r>
          </w:p>
        </w:tc>
        <w:tc>
          <w:tcPr>
            <w:tcW w:w="1605" w:type="dxa"/>
          </w:tcPr>
          <w:p w14:paraId="722413AA" w14:textId="77777777" w:rsidR="00715E4A" w:rsidRPr="00F02BC6" w:rsidRDefault="00715E4A" w:rsidP="00495804">
            <w:pPr>
              <w:rPr>
                <w:color w:val="000000"/>
                <w:sz w:val="20"/>
                <w:szCs w:val="20"/>
                <w:lang w:val="en-US"/>
              </w:rPr>
            </w:pPr>
            <w:r w:rsidRPr="00F02BC6">
              <w:rPr>
                <w:color w:val="000000"/>
                <w:sz w:val="20"/>
                <w:szCs w:val="20"/>
                <w:lang w:val="en-US"/>
              </w:rPr>
              <w:t>49%</w:t>
            </w:r>
          </w:p>
        </w:tc>
      </w:tr>
      <w:tr w:rsidR="00715E4A" w:rsidRPr="00F02BC6" w14:paraId="783AC8CE" w14:textId="77777777" w:rsidTr="00495804">
        <w:tc>
          <w:tcPr>
            <w:tcW w:w="1975" w:type="dxa"/>
          </w:tcPr>
          <w:p w14:paraId="17DDF8C2" w14:textId="77777777" w:rsidR="00715E4A" w:rsidRPr="00F02BC6" w:rsidRDefault="00715E4A" w:rsidP="00495804">
            <w:pPr>
              <w:rPr>
                <w:color w:val="000000"/>
                <w:sz w:val="20"/>
                <w:szCs w:val="20"/>
                <w:lang w:val="en-US"/>
              </w:rPr>
            </w:pPr>
            <w:r w:rsidRPr="00F02BC6">
              <w:rPr>
                <w:color w:val="000000"/>
                <w:sz w:val="20"/>
                <w:szCs w:val="20"/>
                <w:lang w:val="en-US"/>
              </w:rPr>
              <w:t>Zhang et al (2016)</w:t>
            </w:r>
          </w:p>
        </w:tc>
        <w:tc>
          <w:tcPr>
            <w:tcW w:w="1870" w:type="dxa"/>
          </w:tcPr>
          <w:p w14:paraId="399CFB2D" w14:textId="77777777" w:rsidR="00715E4A" w:rsidRPr="00F02BC6" w:rsidRDefault="00715E4A" w:rsidP="00495804">
            <w:pPr>
              <w:rPr>
                <w:color w:val="000000"/>
                <w:sz w:val="20"/>
                <w:szCs w:val="20"/>
                <w:lang w:val="en-US"/>
              </w:rPr>
            </w:pPr>
            <w:r w:rsidRPr="00F02BC6">
              <w:rPr>
                <w:color w:val="000000"/>
                <w:sz w:val="20"/>
                <w:szCs w:val="20"/>
                <w:lang w:val="en-US"/>
              </w:rPr>
              <w:t>MPR</w:t>
            </w:r>
          </w:p>
        </w:tc>
        <w:tc>
          <w:tcPr>
            <w:tcW w:w="1565" w:type="dxa"/>
          </w:tcPr>
          <w:p w14:paraId="565CB8E0" w14:textId="77777777" w:rsidR="00715E4A" w:rsidRPr="00F02BC6" w:rsidRDefault="00715E4A" w:rsidP="00495804">
            <w:pPr>
              <w:jc w:val="center"/>
              <w:rPr>
                <w:color w:val="000000"/>
                <w:sz w:val="20"/>
                <w:szCs w:val="20"/>
                <w:lang w:val="en-US"/>
              </w:rPr>
            </w:pPr>
            <w:r w:rsidRPr="00F02BC6">
              <w:rPr>
                <w:color w:val="000000"/>
                <w:sz w:val="20"/>
                <w:szCs w:val="20"/>
                <w:lang w:val="en-US"/>
              </w:rPr>
              <w:t>0.80</w:t>
            </w:r>
          </w:p>
        </w:tc>
        <w:tc>
          <w:tcPr>
            <w:tcW w:w="3315" w:type="dxa"/>
          </w:tcPr>
          <w:p w14:paraId="3E2D46D0" w14:textId="77777777" w:rsidR="00715E4A" w:rsidRPr="00F02BC6" w:rsidRDefault="00715E4A" w:rsidP="00495804">
            <w:pPr>
              <w:rPr>
                <w:color w:val="000000"/>
                <w:sz w:val="20"/>
                <w:szCs w:val="20"/>
                <w:lang w:val="en-US"/>
              </w:rPr>
            </w:pPr>
            <w:r w:rsidRPr="00F02BC6">
              <w:rPr>
                <w:color w:val="000000"/>
                <w:sz w:val="20"/>
                <w:szCs w:val="20"/>
                <w:lang w:val="en-US"/>
              </w:rPr>
              <w:t>Non adherent patients experienced increased in disease severity (having more than 2 exacerbations was associated with upward healthcare cost.</w:t>
            </w:r>
          </w:p>
        </w:tc>
        <w:tc>
          <w:tcPr>
            <w:tcW w:w="1605" w:type="dxa"/>
          </w:tcPr>
          <w:p w14:paraId="6A026071" w14:textId="77777777" w:rsidR="00715E4A" w:rsidRPr="00F02BC6" w:rsidRDefault="00715E4A" w:rsidP="00495804">
            <w:pPr>
              <w:rPr>
                <w:color w:val="000000"/>
                <w:sz w:val="20"/>
                <w:szCs w:val="20"/>
                <w:lang w:val="en-US"/>
              </w:rPr>
            </w:pPr>
          </w:p>
        </w:tc>
      </w:tr>
      <w:tr w:rsidR="00715E4A" w:rsidRPr="00F02BC6" w14:paraId="094E9427" w14:textId="77777777" w:rsidTr="00495804">
        <w:tc>
          <w:tcPr>
            <w:tcW w:w="1975" w:type="dxa"/>
          </w:tcPr>
          <w:p w14:paraId="02368D69" w14:textId="77777777" w:rsidR="00715E4A" w:rsidRPr="00F02BC6" w:rsidRDefault="00715E4A" w:rsidP="00495804">
            <w:pPr>
              <w:rPr>
                <w:color w:val="000000"/>
                <w:sz w:val="20"/>
                <w:szCs w:val="20"/>
                <w:lang w:val="en-US"/>
              </w:rPr>
            </w:pPr>
            <w:r w:rsidRPr="00F02BC6">
              <w:rPr>
                <w:color w:val="000000"/>
                <w:sz w:val="20"/>
                <w:szCs w:val="20"/>
                <w:lang w:val="en-US"/>
              </w:rPr>
              <w:t>Kang et al (2018)</w:t>
            </w:r>
          </w:p>
        </w:tc>
        <w:tc>
          <w:tcPr>
            <w:tcW w:w="1870" w:type="dxa"/>
          </w:tcPr>
          <w:p w14:paraId="01DBB151" w14:textId="77777777" w:rsidR="00715E4A" w:rsidRPr="00F02BC6" w:rsidRDefault="00715E4A" w:rsidP="00495804">
            <w:pPr>
              <w:rPr>
                <w:color w:val="000000"/>
                <w:sz w:val="20"/>
                <w:szCs w:val="20"/>
                <w:lang w:val="en-US"/>
              </w:rPr>
            </w:pPr>
            <w:r w:rsidRPr="00F02BC6">
              <w:rPr>
                <w:color w:val="000000"/>
                <w:sz w:val="20"/>
                <w:szCs w:val="20"/>
                <w:lang w:val="en-US"/>
              </w:rPr>
              <w:t xml:space="preserve">MPR </w:t>
            </w:r>
          </w:p>
        </w:tc>
        <w:tc>
          <w:tcPr>
            <w:tcW w:w="1565" w:type="dxa"/>
          </w:tcPr>
          <w:p w14:paraId="642E1E6F" w14:textId="77777777" w:rsidR="00715E4A" w:rsidRPr="00F02BC6" w:rsidRDefault="00715E4A" w:rsidP="00495804">
            <w:pPr>
              <w:jc w:val="center"/>
              <w:rPr>
                <w:color w:val="000000"/>
                <w:sz w:val="20"/>
                <w:szCs w:val="20"/>
                <w:lang w:val="en-US"/>
              </w:rPr>
            </w:pPr>
            <w:r w:rsidRPr="00F02BC6">
              <w:rPr>
                <w:color w:val="000000"/>
                <w:sz w:val="20"/>
                <w:szCs w:val="20"/>
                <w:lang w:val="en-US"/>
              </w:rPr>
              <w:t xml:space="preserve"> 0.50</w:t>
            </w:r>
          </w:p>
        </w:tc>
        <w:tc>
          <w:tcPr>
            <w:tcW w:w="3315" w:type="dxa"/>
          </w:tcPr>
          <w:p w14:paraId="58526707" w14:textId="77777777" w:rsidR="00715E4A" w:rsidRPr="00F02BC6" w:rsidRDefault="00715E4A" w:rsidP="00495804">
            <w:pPr>
              <w:rPr>
                <w:color w:val="000000"/>
                <w:sz w:val="20"/>
                <w:szCs w:val="20"/>
                <w:lang w:val="en-US"/>
              </w:rPr>
            </w:pPr>
            <w:r w:rsidRPr="00F02BC6">
              <w:rPr>
                <w:color w:val="000000"/>
                <w:sz w:val="20"/>
                <w:szCs w:val="20"/>
                <w:lang w:val="en-US"/>
              </w:rPr>
              <w:t>Achieving MPR ≥ 0.5 compared with low MPR (&lt;0.2) was associated with reduced asthma exacerbations in moderate asthma patients with OR: 0.828, 95% CI: (0.707-0.971), severe asthma: OR 0.362, 0.185-0.708.</w:t>
            </w:r>
          </w:p>
        </w:tc>
        <w:tc>
          <w:tcPr>
            <w:tcW w:w="1605" w:type="dxa"/>
          </w:tcPr>
          <w:p w14:paraId="6C476084" w14:textId="77777777" w:rsidR="00715E4A" w:rsidRPr="00F02BC6" w:rsidRDefault="00715E4A" w:rsidP="00495804">
            <w:pPr>
              <w:rPr>
                <w:color w:val="000000"/>
                <w:sz w:val="20"/>
                <w:szCs w:val="20"/>
                <w:lang w:val="en-US"/>
              </w:rPr>
            </w:pPr>
          </w:p>
        </w:tc>
      </w:tr>
      <w:tr w:rsidR="00715E4A" w:rsidRPr="00F02BC6" w14:paraId="498C0044" w14:textId="77777777" w:rsidTr="00495804">
        <w:tc>
          <w:tcPr>
            <w:tcW w:w="1975" w:type="dxa"/>
          </w:tcPr>
          <w:p w14:paraId="26965ABC" w14:textId="77777777" w:rsidR="00715E4A" w:rsidRPr="00F02BC6" w:rsidRDefault="00715E4A" w:rsidP="00495804">
            <w:pPr>
              <w:rPr>
                <w:color w:val="000000"/>
                <w:sz w:val="20"/>
                <w:szCs w:val="20"/>
                <w:lang w:val="en-US"/>
              </w:rPr>
            </w:pPr>
            <w:r w:rsidRPr="00F02BC6">
              <w:rPr>
                <w:color w:val="000000"/>
                <w:sz w:val="20"/>
                <w:szCs w:val="20"/>
                <w:lang w:val="en-US"/>
              </w:rPr>
              <w:t>Guo et al (2012)</w:t>
            </w:r>
          </w:p>
        </w:tc>
        <w:tc>
          <w:tcPr>
            <w:tcW w:w="1870" w:type="dxa"/>
          </w:tcPr>
          <w:p w14:paraId="7123AB78" w14:textId="77777777" w:rsidR="00715E4A" w:rsidRPr="00F02BC6" w:rsidRDefault="00715E4A" w:rsidP="00495804">
            <w:pPr>
              <w:rPr>
                <w:color w:val="000000"/>
                <w:sz w:val="20"/>
                <w:szCs w:val="20"/>
                <w:lang w:val="en-US"/>
              </w:rPr>
            </w:pPr>
            <w:r w:rsidRPr="00F02BC6">
              <w:rPr>
                <w:color w:val="000000"/>
                <w:sz w:val="20"/>
                <w:szCs w:val="20"/>
                <w:lang w:val="en-US"/>
              </w:rPr>
              <w:t xml:space="preserve">Average </w:t>
            </w:r>
            <w:proofErr w:type="gramStart"/>
            <w:r w:rsidRPr="00F02BC6">
              <w:rPr>
                <w:color w:val="000000"/>
                <w:sz w:val="20"/>
                <w:szCs w:val="20"/>
                <w:lang w:val="en-US"/>
              </w:rPr>
              <w:t>MPR :</w:t>
            </w:r>
            <w:proofErr w:type="gramEnd"/>
            <w:r w:rsidRPr="00F02BC6">
              <w:rPr>
                <w:color w:val="000000"/>
                <w:sz w:val="20"/>
                <w:szCs w:val="20"/>
                <w:lang w:val="en-US"/>
              </w:rPr>
              <w:t xml:space="preserve"> 0.23 (mean 0.14) for ICS &amp; LABAs; 0.66(median 0.46) across all medications</w:t>
            </w:r>
          </w:p>
        </w:tc>
        <w:tc>
          <w:tcPr>
            <w:tcW w:w="1565" w:type="dxa"/>
          </w:tcPr>
          <w:p w14:paraId="00761E3F" w14:textId="77777777" w:rsidR="00715E4A" w:rsidRPr="00F02BC6" w:rsidRDefault="00715E4A" w:rsidP="00495804">
            <w:pPr>
              <w:rPr>
                <w:color w:val="000000"/>
                <w:sz w:val="20"/>
                <w:szCs w:val="20"/>
                <w:lang w:val="en-US"/>
              </w:rPr>
            </w:pPr>
            <w:r w:rsidRPr="00F02BC6">
              <w:rPr>
                <w:color w:val="000000"/>
                <w:sz w:val="20"/>
                <w:szCs w:val="20"/>
                <w:lang w:val="en-US"/>
              </w:rPr>
              <w:t>Average: 0.66 (median 0.46) across all medications</w:t>
            </w:r>
          </w:p>
        </w:tc>
        <w:tc>
          <w:tcPr>
            <w:tcW w:w="3315" w:type="dxa"/>
          </w:tcPr>
          <w:p w14:paraId="4E730FE8" w14:textId="77777777" w:rsidR="00715E4A" w:rsidRPr="00F02BC6" w:rsidRDefault="00715E4A" w:rsidP="00495804">
            <w:pPr>
              <w:rPr>
                <w:color w:val="000000"/>
                <w:sz w:val="20"/>
                <w:szCs w:val="20"/>
                <w:lang w:val="en-US"/>
              </w:rPr>
            </w:pPr>
            <w:r w:rsidRPr="00F02BC6">
              <w:rPr>
                <w:color w:val="000000"/>
                <w:sz w:val="20"/>
                <w:szCs w:val="20"/>
                <w:lang w:val="en-US"/>
              </w:rPr>
              <w:t xml:space="preserve">The odds ratios of an asthma related emergency department (ED) visit </w:t>
            </w:r>
            <w:proofErr w:type="gramStart"/>
            <w:r w:rsidRPr="00F02BC6">
              <w:rPr>
                <w:color w:val="000000"/>
                <w:sz w:val="20"/>
                <w:szCs w:val="20"/>
                <w:lang w:val="en-US"/>
              </w:rPr>
              <w:t>was</w:t>
            </w:r>
            <w:proofErr w:type="gramEnd"/>
            <w:r w:rsidRPr="00F02BC6">
              <w:rPr>
                <w:color w:val="000000"/>
                <w:sz w:val="20"/>
                <w:szCs w:val="20"/>
                <w:lang w:val="en-US"/>
              </w:rPr>
              <w:t xml:space="preserve"> 0.81 (0.79-0.84) for a higher ICS-and LABA MPR, but the odds ratio of asthma-related hospitalization or intubation was 1.56(1.50-1.62).</w:t>
            </w:r>
          </w:p>
        </w:tc>
        <w:tc>
          <w:tcPr>
            <w:tcW w:w="1605" w:type="dxa"/>
          </w:tcPr>
          <w:p w14:paraId="2F3619E4" w14:textId="77777777" w:rsidR="00715E4A" w:rsidRPr="00F02BC6" w:rsidRDefault="00715E4A" w:rsidP="00495804">
            <w:pPr>
              <w:rPr>
                <w:color w:val="000000"/>
                <w:sz w:val="20"/>
                <w:szCs w:val="20"/>
                <w:lang w:val="en-US"/>
              </w:rPr>
            </w:pPr>
          </w:p>
        </w:tc>
      </w:tr>
      <w:tr w:rsidR="00715E4A" w:rsidRPr="00F02BC6" w14:paraId="3AFF6F7A" w14:textId="77777777" w:rsidTr="00495804">
        <w:tc>
          <w:tcPr>
            <w:tcW w:w="1975" w:type="dxa"/>
          </w:tcPr>
          <w:p w14:paraId="1AF312A3" w14:textId="77777777" w:rsidR="00715E4A" w:rsidRPr="00F02BC6" w:rsidRDefault="00715E4A" w:rsidP="00495804">
            <w:pPr>
              <w:rPr>
                <w:color w:val="000000"/>
                <w:sz w:val="20"/>
                <w:szCs w:val="20"/>
                <w:lang w:val="en-US"/>
              </w:rPr>
            </w:pPr>
            <w:proofErr w:type="spellStart"/>
            <w:r w:rsidRPr="00F02BC6">
              <w:rPr>
                <w:color w:val="000000"/>
                <w:sz w:val="20"/>
                <w:szCs w:val="20"/>
                <w:lang w:val="en-US"/>
              </w:rPr>
              <w:t>Delea</w:t>
            </w:r>
            <w:proofErr w:type="spellEnd"/>
            <w:r w:rsidRPr="00F02BC6">
              <w:rPr>
                <w:color w:val="000000"/>
                <w:sz w:val="20"/>
                <w:szCs w:val="20"/>
                <w:lang w:val="en-US"/>
              </w:rPr>
              <w:t xml:space="preserve"> et al (2008)</w:t>
            </w:r>
          </w:p>
        </w:tc>
        <w:tc>
          <w:tcPr>
            <w:tcW w:w="1870" w:type="dxa"/>
          </w:tcPr>
          <w:p w14:paraId="7A1EBA33" w14:textId="77777777" w:rsidR="00715E4A" w:rsidRPr="00F02BC6" w:rsidRDefault="00715E4A" w:rsidP="00495804">
            <w:pPr>
              <w:rPr>
                <w:color w:val="000000"/>
                <w:sz w:val="20"/>
                <w:szCs w:val="20"/>
                <w:lang w:val="en-US"/>
              </w:rPr>
            </w:pPr>
            <w:r w:rsidRPr="00F02BC6">
              <w:rPr>
                <w:color w:val="000000"/>
                <w:sz w:val="20"/>
                <w:szCs w:val="20"/>
                <w:lang w:val="en-US"/>
              </w:rPr>
              <w:t>Mean MPR: +0.25</w:t>
            </w:r>
          </w:p>
        </w:tc>
        <w:tc>
          <w:tcPr>
            <w:tcW w:w="1565" w:type="dxa"/>
          </w:tcPr>
          <w:p w14:paraId="07DA1F35" w14:textId="77777777" w:rsidR="00715E4A" w:rsidRPr="00F02BC6" w:rsidRDefault="00715E4A" w:rsidP="00495804">
            <w:pPr>
              <w:rPr>
                <w:color w:val="000000"/>
                <w:sz w:val="20"/>
                <w:szCs w:val="20"/>
                <w:lang w:val="en-US"/>
              </w:rPr>
            </w:pPr>
            <w:r w:rsidRPr="00F02BC6">
              <w:rPr>
                <w:color w:val="000000"/>
                <w:sz w:val="20"/>
                <w:szCs w:val="20"/>
                <w:lang w:val="en-US"/>
              </w:rPr>
              <w:t>Mean MPR: +0.25</w:t>
            </w:r>
          </w:p>
        </w:tc>
        <w:tc>
          <w:tcPr>
            <w:tcW w:w="3315" w:type="dxa"/>
          </w:tcPr>
          <w:p w14:paraId="55EBDE4A" w14:textId="77777777" w:rsidR="00715E4A" w:rsidRPr="00F02BC6" w:rsidRDefault="00715E4A" w:rsidP="00495804">
            <w:pPr>
              <w:rPr>
                <w:color w:val="000000"/>
                <w:sz w:val="20"/>
                <w:szCs w:val="20"/>
                <w:lang w:val="en-US"/>
              </w:rPr>
            </w:pPr>
            <w:r w:rsidRPr="00F02BC6">
              <w:rPr>
                <w:color w:val="000000"/>
                <w:sz w:val="20"/>
                <w:szCs w:val="20"/>
                <w:lang w:val="en-US"/>
              </w:rPr>
              <w:t>OCS initiation and ED visits</w:t>
            </w:r>
            <w:r w:rsidRPr="00F02BC6">
              <w:rPr>
                <w:color w:val="000000"/>
                <w:sz w:val="20"/>
                <w:szCs w:val="20"/>
                <w:lang w:val="en-US"/>
              </w:rPr>
              <w:sym w:font="Wingdings" w:char="F0E0"/>
            </w:r>
            <w:r w:rsidRPr="00F02BC6">
              <w:rPr>
                <w:color w:val="000000"/>
                <w:sz w:val="20"/>
                <w:szCs w:val="20"/>
                <w:lang w:val="en-US"/>
              </w:rPr>
              <w:t>0.97 (0.94, 0.996) for OCS; 0.90 (0.89-0.92) for ED visit or hospitalization.</w:t>
            </w:r>
          </w:p>
        </w:tc>
        <w:tc>
          <w:tcPr>
            <w:tcW w:w="1605" w:type="dxa"/>
          </w:tcPr>
          <w:p w14:paraId="54BB92E6" w14:textId="77777777" w:rsidR="00715E4A" w:rsidRPr="00F02BC6" w:rsidRDefault="00715E4A" w:rsidP="00495804">
            <w:pPr>
              <w:rPr>
                <w:color w:val="000000"/>
                <w:sz w:val="20"/>
                <w:szCs w:val="20"/>
                <w:lang w:val="en-US"/>
              </w:rPr>
            </w:pPr>
          </w:p>
        </w:tc>
      </w:tr>
      <w:tr w:rsidR="00715E4A" w:rsidRPr="00F02BC6" w14:paraId="3D838A35" w14:textId="77777777" w:rsidTr="00495804">
        <w:tc>
          <w:tcPr>
            <w:tcW w:w="1975" w:type="dxa"/>
          </w:tcPr>
          <w:p w14:paraId="746460B3" w14:textId="77777777" w:rsidR="00715E4A" w:rsidRPr="00F02BC6" w:rsidRDefault="00715E4A" w:rsidP="00495804">
            <w:pPr>
              <w:rPr>
                <w:color w:val="000000"/>
                <w:sz w:val="20"/>
                <w:szCs w:val="20"/>
                <w:lang w:val="en-US"/>
              </w:rPr>
            </w:pPr>
            <w:r w:rsidRPr="00F02BC6">
              <w:rPr>
                <w:color w:val="000000"/>
                <w:sz w:val="20"/>
                <w:szCs w:val="20"/>
                <w:lang w:val="en-US"/>
              </w:rPr>
              <w:t>William (2012)</w:t>
            </w:r>
          </w:p>
        </w:tc>
        <w:tc>
          <w:tcPr>
            <w:tcW w:w="1870" w:type="dxa"/>
          </w:tcPr>
          <w:p w14:paraId="49DEBADF" w14:textId="77777777" w:rsidR="00715E4A" w:rsidRPr="00F02BC6" w:rsidRDefault="00715E4A" w:rsidP="00495804">
            <w:pPr>
              <w:rPr>
                <w:color w:val="000000"/>
                <w:sz w:val="20"/>
                <w:szCs w:val="20"/>
                <w:lang w:val="en-US"/>
              </w:rPr>
            </w:pPr>
            <w:r w:rsidRPr="00F02BC6">
              <w:rPr>
                <w:color w:val="000000"/>
                <w:sz w:val="20"/>
                <w:szCs w:val="20"/>
                <w:lang w:val="en-US"/>
              </w:rPr>
              <w:t>MPR: &gt;0.75 versus &lt;0.25</w:t>
            </w:r>
          </w:p>
        </w:tc>
        <w:tc>
          <w:tcPr>
            <w:tcW w:w="1565" w:type="dxa"/>
          </w:tcPr>
          <w:p w14:paraId="00B3E2FE" w14:textId="77777777" w:rsidR="00715E4A" w:rsidRPr="00F02BC6" w:rsidRDefault="00715E4A" w:rsidP="00495804">
            <w:pPr>
              <w:rPr>
                <w:color w:val="000000"/>
                <w:sz w:val="20"/>
                <w:szCs w:val="20"/>
                <w:lang w:val="en-US"/>
              </w:rPr>
            </w:pPr>
            <w:r w:rsidRPr="00F02BC6">
              <w:rPr>
                <w:color w:val="000000"/>
                <w:sz w:val="20"/>
                <w:szCs w:val="20"/>
                <w:lang w:val="en-US"/>
              </w:rPr>
              <w:t>MPR: &gt;0.75 versus &lt;0.25</w:t>
            </w:r>
          </w:p>
        </w:tc>
        <w:tc>
          <w:tcPr>
            <w:tcW w:w="3315" w:type="dxa"/>
          </w:tcPr>
          <w:p w14:paraId="1017E5EB" w14:textId="77777777" w:rsidR="00715E4A" w:rsidRPr="00F02BC6" w:rsidRDefault="00715E4A" w:rsidP="00495804">
            <w:pPr>
              <w:rPr>
                <w:color w:val="000000"/>
                <w:sz w:val="20"/>
                <w:szCs w:val="20"/>
                <w:lang w:val="en-US"/>
              </w:rPr>
            </w:pPr>
            <w:r w:rsidRPr="00F02BC6">
              <w:rPr>
                <w:color w:val="000000"/>
                <w:sz w:val="20"/>
                <w:szCs w:val="20"/>
                <w:lang w:val="en-US"/>
              </w:rPr>
              <w:t>Combined asthma exacerbations (ED/</w:t>
            </w:r>
            <w:proofErr w:type="spellStart"/>
            <w:r w:rsidRPr="00F02BC6">
              <w:rPr>
                <w:color w:val="000000"/>
                <w:sz w:val="20"/>
                <w:szCs w:val="20"/>
                <w:lang w:val="en-US"/>
              </w:rPr>
              <w:t>hosp</w:t>
            </w:r>
            <w:proofErr w:type="spellEnd"/>
            <w:r w:rsidRPr="00F02BC6">
              <w:rPr>
                <w:color w:val="000000"/>
                <w:sz w:val="20"/>
                <w:szCs w:val="20"/>
                <w:lang w:val="en-US"/>
              </w:rPr>
              <w:t>/</w:t>
            </w:r>
            <w:proofErr w:type="gramStart"/>
            <w:r w:rsidRPr="00F02BC6">
              <w:rPr>
                <w:color w:val="000000"/>
                <w:sz w:val="20"/>
                <w:szCs w:val="20"/>
                <w:lang w:val="en-US"/>
              </w:rPr>
              <w:t>OCS )</w:t>
            </w:r>
            <w:proofErr w:type="gramEnd"/>
            <w:r w:rsidRPr="00F02BC6">
              <w:rPr>
                <w:color w:val="000000"/>
                <w:sz w:val="20"/>
                <w:szCs w:val="20"/>
                <w:lang w:val="en-US"/>
              </w:rPr>
              <w:sym w:font="Wingdings" w:char="F0E0"/>
            </w:r>
            <w:r w:rsidRPr="00F02BC6">
              <w:rPr>
                <w:color w:val="000000"/>
                <w:lang w:val="en-US"/>
              </w:rPr>
              <w:t xml:space="preserve"> </w:t>
            </w:r>
            <w:r w:rsidRPr="00F02BC6">
              <w:rPr>
                <w:color w:val="000000"/>
                <w:sz w:val="20"/>
                <w:szCs w:val="20"/>
                <w:lang w:val="en-US"/>
              </w:rPr>
              <w:t>HR: 0.89 (0.81–0.97), equivalent to OR: 0.58</w:t>
            </w:r>
          </w:p>
        </w:tc>
        <w:tc>
          <w:tcPr>
            <w:tcW w:w="1605" w:type="dxa"/>
          </w:tcPr>
          <w:p w14:paraId="7FDC3253" w14:textId="77777777" w:rsidR="00715E4A" w:rsidRPr="00F02BC6" w:rsidRDefault="00715E4A" w:rsidP="00495804">
            <w:pPr>
              <w:rPr>
                <w:color w:val="000000"/>
                <w:sz w:val="20"/>
                <w:szCs w:val="20"/>
                <w:lang w:val="en-US"/>
              </w:rPr>
            </w:pPr>
          </w:p>
        </w:tc>
      </w:tr>
      <w:tr w:rsidR="00715E4A" w:rsidRPr="00F02BC6" w14:paraId="10B91AE5" w14:textId="77777777" w:rsidTr="00495804">
        <w:tc>
          <w:tcPr>
            <w:tcW w:w="1975" w:type="dxa"/>
          </w:tcPr>
          <w:p w14:paraId="7A59F2A2" w14:textId="77777777" w:rsidR="00715E4A" w:rsidRPr="00F02BC6" w:rsidRDefault="00715E4A" w:rsidP="00495804">
            <w:pPr>
              <w:jc w:val="center"/>
              <w:rPr>
                <w:color w:val="000000"/>
                <w:sz w:val="20"/>
                <w:szCs w:val="20"/>
                <w:lang w:val="en-US"/>
              </w:rPr>
            </w:pPr>
            <w:proofErr w:type="spellStart"/>
            <w:r w:rsidRPr="00F02BC6">
              <w:rPr>
                <w:color w:val="000000"/>
                <w:sz w:val="20"/>
                <w:szCs w:val="20"/>
                <w:lang w:val="en-US"/>
              </w:rPr>
              <w:t>Gelzer</w:t>
            </w:r>
            <w:proofErr w:type="spellEnd"/>
            <w:r w:rsidRPr="00F02BC6">
              <w:rPr>
                <w:color w:val="000000"/>
                <w:sz w:val="20"/>
                <w:szCs w:val="20"/>
                <w:lang w:val="en-US"/>
              </w:rPr>
              <w:t xml:space="preserve"> et al (2019)</w:t>
            </w:r>
          </w:p>
        </w:tc>
        <w:tc>
          <w:tcPr>
            <w:tcW w:w="1870" w:type="dxa"/>
          </w:tcPr>
          <w:p w14:paraId="67BE39D2" w14:textId="77777777" w:rsidR="00715E4A" w:rsidRPr="00F02BC6" w:rsidRDefault="00715E4A" w:rsidP="00495804">
            <w:pPr>
              <w:rPr>
                <w:color w:val="000000"/>
                <w:sz w:val="20"/>
                <w:szCs w:val="20"/>
                <w:lang w:val="en-US"/>
              </w:rPr>
            </w:pPr>
            <w:r w:rsidRPr="00F02BC6">
              <w:rPr>
                <w:color w:val="000000"/>
                <w:sz w:val="20"/>
                <w:szCs w:val="20"/>
                <w:lang w:val="en-US"/>
              </w:rPr>
              <w:t>PDC</w:t>
            </w:r>
          </w:p>
          <w:p w14:paraId="07BD08A1" w14:textId="77777777" w:rsidR="00715E4A" w:rsidRPr="00F02BC6" w:rsidRDefault="00715E4A" w:rsidP="00495804">
            <w:pPr>
              <w:rPr>
                <w:color w:val="000000"/>
                <w:sz w:val="20"/>
                <w:szCs w:val="20"/>
                <w:lang w:val="en-US"/>
              </w:rPr>
            </w:pPr>
          </w:p>
        </w:tc>
        <w:tc>
          <w:tcPr>
            <w:tcW w:w="1565" w:type="dxa"/>
          </w:tcPr>
          <w:p w14:paraId="7A00CC12" w14:textId="77777777" w:rsidR="00715E4A" w:rsidRPr="00F02BC6" w:rsidRDefault="00715E4A" w:rsidP="00495804">
            <w:pPr>
              <w:jc w:val="center"/>
              <w:rPr>
                <w:color w:val="000000"/>
                <w:sz w:val="20"/>
                <w:szCs w:val="20"/>
                <w:lang w:val="en-US"/>
              </w:rPr>
            </w:pPr>
            <w:r w:rsidRPr="00F02BC6">
              <w:rPr>
                <w:color w:val="000000"/>
                <w:sz w:val="20"/>
                <w:szCs w:val="20"/>
                <w:lang w:val="en-US"/>
              </w:rPr>
              <w:t>0.68</w:t>
            </w:r>
          </w:p>
        </w:tc>
        <w:tc>
          <w:tcPr>
            <w:tcW w:w="3315" w:type="dxa"/>
          </w:tcPr>
          <w:p w14:paraId="0BA1C89A" w14:textId="77777777" w:rsidR="00715E4A" w:rsidRPr="00F02BC6" w:rsidRDefault="00715E4A" w:rsidP="00495804">
            <w:pPr>
              <w:rPr>
                <w:color w:val="000000"/>
                <w:sz w:val="20"/>
                <w:szCs w:val="20"/>
                <w:lang w:val="en-US"/>
              </w:rPr>
            </w:pPr>
            <w:r w:rsidRPr="00F02BC6">
              <w:rPr>
                <w:color w:val="000000"/>
                <w:sz w:val="20"/>
                <w:szCs w:val="20"/>
                <w:lang w:val="en-US"/>
              </w:rPr>
              <w:t>Resulted in reduction in emergency department (ED) visits.</w:t>
            </w:r>
          </w:p>
        </w:tc>
        <w:tc>
          <w:tcPr>
            <w:tcW w:w="1605" w:type="dxa"/>
          </w:tcPr>
          <w:p w14:paraId="58996B60" w14:textId="77777777" w:rsidR="00715E4A" w:rsidRPr="00F02BC6" w:rsidRDefault="00715E4A" w:rsidP="00495804">
            <w:pPr>
              <w:rPr>
                <w:color w:val="000000"/>
                <w:sz w:val="20"/>
                <w:szCs w:val="20"/>
                <w:lang w:val="en-US"/>
              </w:rPr>
            </w:pPr>
          </w:p>
        </w:tc>
      </w:tr>
      <w:tr w:rsidR="00715E4A" w:rsidRPr="00F02BC6" w14:paraId="49835E35" w14:textId="77777777" w:rsidTr="00495804">
        <w:tc>
          <w:tcPr>
            <w:tcW w:w="1975" w:type="dxa"/>
          </w:tcPr>
          <w:p w14:paraId="28496E94" w14:textId="77777777" w:rsidR="00715E4A" w:rsidRPr="00F02BC6" w:rsidRDefault="00715E4A" w:rsidP="00495804">
            <w:pPr>
              <w:jc w:val="center"/>
              <w:rPr>
                <w:color w:val="000000"/>
                <w:sz w:val="20"/>
                <w:szCs w:val="20"/>
                <w:lang w:val="en-US"/>
              </w:rPr>
            </w:pPr>
            <w:r w:rsidRPr="00F02BC6">
              <w:rPr>
                <w:color w:val="000000"/>
                <w:sz w:val="20"/>
                <w:szCs w:val="20"/>
                <w:lang w:val="en-US"/>
              </w:rPr>
              <w:t>Averell et al (2019)</w:t>
            </w:r>
          </w:p>
        </w:tc>
        <w:tc>
          <w:tcPr>
            <w:tcW w:w="1870" w:type="dxa"/>
          </w:tcPr>
          <w:p w14:paraId="2423DDC3" w14:textId="77777777" w:rsidR="00715E4A" w:rsidRPr="00F02BC6" w:rsidRDefault="00715E4A" w:rsidP="00495804">
            <w:pPr>
              <w:rPr>
                <w:color w:val="000000"/>
                <w:sz w:val="20"/>
                <w:szCs w:val="20"/>
                <w:lang w:val="en-US"/>
              </w:rPr>
            </w:pPr>
            <w:r w:rsidRPr="00F02BC6">
              <w:rPr>
                <w:color w:val="000000"/>
                <w:sz w:val="20"/>
                <w:szCs w:val="20"/>
                <w:lang w:val="en-US"/>
              </w:rPr>
              <w:t>PDC</w:t>
            </w:r>
          </w:p>
          <w:p w14:paraId="0EFF4BF2" w14:textId="77777777" w:rsidR="00715E4A" w:rsidRPr="00F02BC6" w:rsidRDefault="00715E4A" w:rsidP="00495804">
            <w:pPr>
              <w:rPr>
                <w:color w:val="000000"/>
                <w:sz w:val="20"/>
                <w:szCs w:val="20"/>
                <w:lang w:val="en-US"/>
              </w:rPr>
            </w:pPr>
            <w:r w:rsidRPr="00F02BC6">
              <w:rPr>
                <w:color w:val="000000"/>
                <w:sz w:val="20"/>
                <w:szCs w:val="20"/>
                <w:lang w:val="en-US"/>
              </w:rPr>
              <w:t>0.453</w:t>
            </w:r>
            <w:r w:rsidRPr="00F02BC6">
              <w:rPr>
                <w:rFonts w:asciiTheme="minorEastAsia" w:hAnsiTheme="minorEastAsia" w:cstheme="minorEastAsia" w:hint="eastAsia"/>
                <w:color w:val="000000"/>
                <w:sz w:val="20"/>
                <w:szCs w:val="20"/>
                <w:lang w:val="en-US"/>
              </w:rPr>
              <w:t>±</w:t>
            </w:r>
            <w:r w:rsidRPr="00F02BC6">
              <w:rPr>
                <w:color w:val="000000"/>
                <w:sz w:val="20"/>
                <w:szCs w:val="20"/>
                <w:lang w:val="en-US"/>
              </w:rPr>
              <w:t>0.300</w:t>
            </w:r>
          </w:p>
        </w:tc>
        <w:tc>
          <w:tcPr>
            <w:tcW w:w="1565" w:type="dxa"/>
          </w:tcPr>
          <w:p w14:paraId="73114F0A" w14:textId="77777777" w:rsidR="00715E4A" w:rsidRPr="00F02BC6" w:rsidRDefault="00715E4A" w:rsidP="00495804">
            <w:pPr>
              <w:jc w:val="center"/>
              <w:rPr>
                <w:color w:val="000000"/>
                <w:sz w:val="20"/>
                <w:szCs w:val="20"/>
                <w:lang w:val="en-US"/>
              </w:rPr>
            </w:pPr>
            <w:r w:rsidRPr="00F02BC6">
              <w:rPr>
                <w:color w:val="000000"/>
                <w:sz w:val="20"/>
                <w:szCs w:val="20"/>
                <w:lang w:val="en-US"/>
              </w:rPr>
              <w:t>0.5, 0.8</w:t>
            </w:r>
          </w:p>
        </w:tc>
        <w:tc>
          <w:tcPr>
            <w:tcW w:w="3315" w:type="dxa"/>
          </w:tcPr>
          <w:p w14:paraId="7A122173" w14:textId="77777777" w:rsidR="00715E4A" w:rsidRPr="00F02BC6" w:rsidRDefault="00715E4A" w:rsidP="00495804">
            <w:pPr>
              <w:rPr>
                <w:color w:val="000000"/>
                <w:sz w:val="20"/>
                <w:szCs w:val="20"/>
                <w:lang w:val="en-US"/>
              </w:rPr>
            </w:pPr>
            <w:r w:rsidRPr="00F02BC6">
              <w:rPr>
                <w:color w:val="000000"/>
                <w:sz w:val="20"/>
                <w:szCs w:val="20"/>
                <w:lang w:val="en-US"/>
              </w:rPr>
              <w:t>Better adherence and lower risk of discontinuing treatment</w:t>
            </w:r>
          </w:p>
        </w:tc>
        <w:tc>
          <w:tcPr>
            <w:tcW w:w="1605" w:type="dxa"/>
          </w:tcPr>
          <w:p w14:paraId="249A2B7F" w14:textId="77777777" w:rsidR="00715E4A" w:rsidRPr="00F02BC6" w:rsidRDefault="00715E4A" w:rsidP="00495804">
            <w:pPr>
              <w:rPr>
                <w:color w:val="000000"/>
                <w:sz w:val="20"/>
                <w:szCs w:val="20"/>
                <w:lang w:val="en-US"/>
              </w:rPr>
            </w:pPr>
          </w:p>
        </w:tc>
      </w:tr>
      <w:tr w:rsidR="00715E4A" w:rsidRPr="00F02BC6" w14:paraId="56BB78FE" w14:textId="77777777" w:rsidTr="00495804">
        <w:tc>
          <w:tcPr>
            <w:tcW w:w="1975" w:type="dxa"/>
          </w:tcPr>
          <w:p w14:paraId="4FC20480" w14:textId="77777777" w:rsidR="00715E4A" w:rsidRPr="00F02BC6" w:rsidRDefault="00715E4A" w:rsidP="00495804">
            <w:pPr>
              <w:jc w:val="center"/>
              <w:rPr>
                <w:color w:val="000000"/>
                <w:sz w:val="20"/>
                <w:szCs w:val="20"/>
                <w:lang w:val="en-US"/>
              </w:rPr>
            </w:pPr>
            <w:proofErr w:type="spellStart"/>
            <w:r w:rsidRPr="00F02BC6">
              <w:rPr>
                <w:color w:val="000000"/>
                <w:sz w:val="20"/>
                <w:szCs w:val="20"/>
                <w:lang w:val="en-US"/>
              </w:rPr>
              <w:t>Korgaonkar</w:t>
            </w:r>
            <w:proofErr w:type="spellEnd"/>
            <w:r w:rsidRPr="00F02BC6">
              <w:rPr>
                <w:color w:val="000000"/>
                <w:sz w:val="20"/>
                <w:szCs w:val="20"/>
                <w:lang w:val="en-US"/>
              </w:rPr>
              <w:t xml:space="preserve"> et al (2018)</w:t>
            </w:r>
          </w:p>
        </w:tc>
        <w:tc>
          <w:tcPr>
            <w:tcW w:w="1870" w:type="dxa"/>
          </w:tcPr>
          <w:p w14:paraId="613375E5" w14:textId="77777777" w:rsidR="00715E4A" w:rsidRPr="00F02BC6" w:rsidRDefault="00715E4A" w:rsidP="00495804">
            <w:pPr>
              <w:rPr>
                <w:color w:val="000000"/>
                <w:sz w:val="20"/>
                <w:szCs w:val="20"/>
                <w:lang w:val="en-US"/>
              </w:rPr>
            </w:pPr>
            <w:r w:rsidRPr="00F02BC6">
              <w:rPr>
                <w:color w:val="000000"/>
                <w:sz w:val="20"/>
                <w:szCs w:val="20"/>
                <w:lang w:val="en-US"/>
              </w:rPr>
              <w:t>PDC</w:t>
            </w:r>
          </w:p>
        </w:tc>
        <w:tc>
          <w:tcPr>
            <w:tcW w:w="1565" w:type="dxa"/>
          </w:tcPr>
          <w:p w14:paraId="0E3EB267" w14:textId="77777777" w:rsidR="00715E4A" w:rsidRPr="00F02BC6" w:rsidRDefault="00715E4A" w:rsidP="00495804">
            <w:pPr>
              <w:jc w:val="center"/>
              <w:rPr>
                <w:color w:val="000000"/>
                <w:sz w:val="20"/>
                <w:szCs w:val="20"/>
                <w:lang w:val="en-US"/>
              </w:rPr>
            </w:pPr>
            <w:r w:rsidRPr="00F02BC6">
              <w:rPr>
                <w:color w:val="000000"/>
                <w:sz w:val="20"/>
                <w:szCs w:val="20"/>
                <w:lang w:val="en-US"/>
              </w:rPr>
              <w:t>0.80</w:t>
            </w:r>
          </w:p>
        </w:tc>
        <w:tc>
          <w:tcPr>
            <w:tcW w:w="3315" w:type="dxa"/>
          </w:tcPr>
          <w:p w14:paraId="164ED597" w14:textId="77777777" w:rsidR="00715E4A" w:rsidRPr="00F02BC6" w:rsidRDefault="00715E4A" w:rsidP="00495804">
            <w:pPr>
              <w:rPr>
                <w:color w:val="000000"/>
                <w:sz w:val="20"/>
                <w:szCs w:val="20"/>
                <w:lang w:val="en-US"/>
              </w:rPr>
            </w:pPr>
            <w:r w:rsidRPr="00F02BC6">
              <w:rPr>
                <w:color w:val="000000"/>
                <w:sz w:val="20"/>
                <w:szCs w:val="20"/>
                <w:lang w:val="en-US"/>
              </w:rPr>
              <w:t xml:space="preserve">Asthma patients with depression had had a greater risk of asthma-related ED visits (Risk Ratio [RR] 1.33, 95% Confidence Interval [CI]: 1.20 – 1.46, p </w:t>
            </w:r>
            <w:proofErr w:type="gramStart"/>
            <w:r w:rsidRPr="00F02BC6">
              <w:rPr>
                <w:color w:val="000000"/>
                <w:sz w:val="20"/>
                <w:szCs w:val="20"/>
                <w:lang w:val="en-US"/>
              </w:rPr>
              <w:t>&lt;  0.001</w:t>
            </w:r>
            <w:proofErr w:type="gramEnd"/>
            <w:r w:rsidRPr="00F02BC6">
              <w:rPr>
                <w:color w:val="000000"/>
                <w:sz w:val="20"/>
                <w:szCs w:val="20"/>
                <w:lang w:val="en-US"/>
              </w:rPr>
              <w:t>) and asthma related hospitalizations (RR 2.79, 95% CI: 1.75 – 4.44, p &lt;  0.001) as compared to those without depression</w:t>
            </w:r>
          </w:p>
        </w:tc>
        <w:tc>
          <w:tcPr>
            <w:tcW w:w="1605" w:type="dxa"/>
          </w:tcPr>
          <w:p w14:paraId="6964AFDC" w14:textId="77777777" w:rsidR="00715E4A" w:rsidRPr="00F02BC6" w:rsidRDefault="00715E4A" w:rsidP="00495804">
            <w:pPr>
              <w:rPr>
                <w:color w:val="000000"/>
                <w:sz w:val="20"/>
                <w:szCs w:val="20"/>
                <w:lang w:val="en-US"/>
              </w:rPr>
            </w:pPr>
          </w:p>
        </w:tc>
      </w:tr>
      <w:tr w:rsidR="00715E4A" w:rsidRPr="00F02BC6" w14:paraId="1910D703" w14:textId="77777777" w:rsidTr="00495804">
        <w:tc>
          <w:tcPr>
            <w:tcW w:w="1975" w:type="dxa"/>
          </w:tcPr>
          <w:p w14:paraId="711D7B97" w14:textId="77777777" w:rsidR="00715E4A" w:rsidRPr="00F02BC6" w:rsidRDefault="00715E4A" w:rsidP="00495804">
            <w:pPr>
              <w:jc w:val="center"/>
              <w:rPr>
                <w:color w:val="000000"/>
                <w:sz w:val="20"/>
                <w:szCs w:val="20"/>
                <w:lang w:val="en-US"/>
              </w:rPr>
            </w:pPr>
            <w:proofErr w:type="spellStart"/>
            <w:r w:rsidRPr="00F02BC6">
              <w:rPr>
                <w:color w:val="000000"/>
                <w:sz w:val="20"/>
                <w:szCs w:val="20"/>
                <w:lang w:val="en-US"/>
              </w:rPr>
              <w:t>Makhinova</w:t>
            </w:r>
            <w:proofErr w:type="spellEnd"/>
            <w:r w:rsidRPr="00F02BC6">
              <w:rPr>
                <w:color w:val="000000"/>
                <w:sz w:val="20"/>
                <w:szCs w:val="20"/>
                <w:lang w:val="en-US"/>
              </w:rPr>
              <w:t xml:space="preserve"> et al (2015)</w:t>
            </w:r>
          </w:p>
        </w:tc>
        <w:tc>
          <w:tcPr>
            <w:tcW w:w="1870" w:type="dxa"/>
          </w:tcPr>
          <w:p w14:paraId="131B4F76" w14:textId="77777777" w:rsidR="00715E4A" w:rsidRPr="00F02BC6" w:rsidRDefault="00715E4A" w:rsidP="00495804">
            <w:pPr>
              <w:rPr>
                <w:color w:val="000000"/>
                <w:sz w:val="20"/>
                <w:szCs w:val="20"/>
                <w:lang w:val="en-US"/>
              </w:rPr>
            </w:pPr>
            <w:r w:rsidRPr="00F02BC6">
              <w:rPr>
                <w:color w:val="000000"/>
                <w:sz w:val="20"/>
                <w:szCs w:val="20"/>
                <w:lang w:val="en-US"/>
              </w:rPr>
              <w:t>PDC</w:t>
            </w:r>
          </w:p>
          <w:p w14:paraId="19C4223C" w14:textId="77777777" w:rsidR="00715E4A" w:rsidRPr="00F02BC6" w:rsidRDefault="00715E4A" w:rsidP="00495804">
            <w:pPr>
              <w:rPr>
                <w:color w:val="000000"/>
                <w:sz w:val="20"/>
                <w:szCs w:val="20"/>
                <w:lang w:val="en-US"/>
              </w:rPr>
            </w:pPr>
            <w:r w:rsidRPr="00F02BC6">
              <w:rPr>
                <w:color w:val="000000"/>
                <w:sz w:val="20"/>
                <w:szCs w:val="20"/>
                <w:lang w:val="en-US"/>
              </w:rPr>
              <w:t>0.322 ± 0.197</w:t>
            </w:r>
          </w:p>
        </w:tc>
        <w:tc>
          <w:tcPr>
            <w:tcW w:w="1565" w:type="dxa"/>
          </w:tcPr>
          <w:p w14:paraId="14620C66" w14:textId="77777777" w:rsidR="00715E4A" w:rsidRPr="00F02BC6" w:rsidRDefault="00715E4A" w:rsidP="00495804">
            <w:pPr>
              <w:jc w:val="center"/>
              <w:rPr>
                <w:color w:val="000000"/>
                <w:sz w:val="20"/>
                <w:szCs w:val="20"/>
                <w:lang w:val="en-US"/>
              </w:rPr>
            </w:pPr>
            <w:r w:rsidRPr="00F02BC6">
              <w:rPr>
                <w:color w:val="000000"/>
                <w:sz w:val="20"/>
                <w:szCs w:val="20"/>
                <w:lang w:val="en-US"/>
              </w:rPr>
              <w:t>0.50</w:t>
            </w:r>
          </w:p>
        </w:tc>
        <w:tc>
          <w:tcPr>
            <w:tcW w:w="3315" w:type="dxa"/>
          </w:tcPr>
          <w:p w14:paraId="10826C2A" w14:textId="77777777" w:rsidR="00715E4A" w:rsidRPr="00F02BC6" w:rsidRDefault="00715E4A" w:rsidP="00495804">
            <w:pPr>
              <w:rPr>
                <w:color w:val="000000"/>
                <w:sz w:val="20"/>
                <w:szCs w:val="20"/>
                <w:lang w:val="en-US"/>
              </w:rPr>
            </w:pPr>
            <w:r w:rsidRPr="00F02BC6">
              <w:rPr>
                <w:color w:val="000000"/>
                <w:sz w:val="20"/>
                <w:szCs w:val="20"/>
                <w:lang w:val="en-US"/>
              </w:rPr>
              <w:t>Excessive SABA use was associated with patients who were adherent to controller therapy. Excessive SABA use was also associated with increased risk of asthma exacerbation.</w:t>
            </w:r>
          </w:p>
        </w:tc>
        <w:tc>
          <w:tcPr>
            <w:tcW w:w="1605" w:type="dxa"/>
          </w:tcPr>
          <w:p w14:paraId="767C4931" w14:textId="77777777" w:rsidR="00715E4A" w:rsidRPr="00F02BC6" w:rsidRDefault="00715E4A" w:rsidP="00495804">
            <w:pPr>
              <w:rPr>
                <w:color w:val="000000"/>
                <w:sz w:val="20"/>
                <w:szCs w:val="20"/>
                <w:lang w:val="en-US"/>
              </w:rPr>
            </w:pPr>
          </w:p>
        </w:tc>
      </w:tr>
      <w:tr w:rsidR="00715E4A" w:rsidRPr="00F02BC6" w14:paraId="0E7F7727" w14:textId="77777777" w:rsidTr="00495804">
        <w:tc>
          <w:tcPr>
            <w:tcW w:w="1975" w:type="dxa"/>
          </w:tcPr>
          <w:p w14:paraId="36154B75" w14:textId="77777777" w:rsidR="00715E4A" w:rsidRPr="00F02BC6" w:rsidRDefault="00715E4A" w:rsidP="00495804">
            <w:pPr>
              <w:jc w:val="center"/>
              <w:rPr>
                <w:color w:val="000000"/>
                <w:sz w:val="20"/>
                <w:szCs w:val="20"/>
                <w:lang w:val="en-US"/>
              </w:rPr>
            </w:pPr>
            <w:r w:rsidRPr="00F02BC6">
              <w:rPr>
                <w:color w:val="000000"/>
                <w:sz w:val="20"/>
                <w:szCs w:val="20"/>
                <w:lang w:val="en-US"/>
              </w:rPr>
              <w:t>Wu et al (2015)</w:t>
            </w:r>
          </w:p>
        </w:tc>
        <w:tc>
          <w:tcPr>
            <w:tcW w:w="1870" w:type="dxa"/>
          </w:tcPr>
          <w:p w14:paraId="69FC9846" w14:textId="77777777" w:rsidR="00715E4A" w:rsidRPr="00F02BC6" w:rsidRDefault="00715E4A" w:rsidP="00495804">
            <w:pPr>
              <w:rPr>
                <w:color w:val="000000"/>
                <w:sz w:val="20"/>
                <w:szCs w:val="20"/>
                <w:lang w:val="en-US"/>
              </w:rPr>
            </w:pPr>
            <w:r w:rsidRPr="00F02BC6">
              <w:rPr>
                <w:color w:val="000000"/>
                <w:sz w:val="20"/>
                <w:szCs w:val="20"/>
                <w:lang w:val="en-US"/>
              </w:rPr>
              <w:t>PDC</w:t>
            </w:r>
          </w:p>
          <w:p w14:paraId="1A6AAE4B" w14:textId="77777777" w:rsidR="00715E4A" w:rsidRPr="00F02BC6" w:rsidRDefault="00715E4A" w:rsidP="00495804">
            <w:pPr>
              <w:rPr>
                <w:color w:val="000000"/>
                <w:sz w:val="20"/>
                <w:szCs w:val="20"/>
                <w:lang w:val="en-US"/>
              </w:rPr>
            </w:pPr>
            <w:r w:rsidRPr="00F02BC6">
              <w:rPr>
                <w:color w:val="000000"/>
                <w:sz w:val="20"/>
                <w:szCs w:val="20"/>
                <w:lang w:val="en-US"/>
              </w:rPr>
              <w:t>Mean PDC for ICS=0.19, mean PDC for LTRA= 0.30; mean PDC for ICS/LABA =0.25.</w:t>
            </w:r>
          </w:p>
        </w:tc>
        <w:tc>
          <w:tcPr>
            <w:tcW w:w="1565" w:type="dxa"/>
          </w:tcPr>
          <w:p w14:paraId="09AD2633" w14:textId="77777777" w:rsidR="00715E4A" w:rsidRPr="00F02BC6" w:rsidRDefault="00715E4A" w:rsidP="00495804">
            <w:pPr>
              <w:jc w:val="center"/>
              <w:rPr>
                <w:color w:val="000000"/>
                <w:sz w:val="20"/>
                <w:szCs w:val="20"/>
                <w:lang w:val="en-US"/>
              </w:rPr>
            </w:pPr>
            <w:r w:rsidRPr="00F02BC6">
              <w:rPr>
                <w:color w:val="000000"/>
                <w:sz w:val="20"/>
                <w:szCs w:val="20"/>
                <w:lang w:val="en-US"/>
              </w:rPr>
              <w:t>0.75</w:t>
            </w:r>
          </w:p>
        </w:tc>
        <w:tc>
          <w:tcPr>
            <w:tcW w:w="3315" w:type="dxa"/>
          </w:tcPr>
          <w:p w14:paraId="529F39C9" w14:textId="77777777" w:rsidR="00715E4A" w:rsidRPr="00F02BC6" w:rsidRDefault="00715E4A" w:rsidP="00495804">
            <w:pPr>
              <w:rPr>
                <w:color w:val="000000"/>
                <w:sz w:val="20"/>
                <w:szCs w:val="20"/>
                <w:lang w:val="en-US"/>
              </w:rPr>
            </w:pPr>
            <w:r w:rsidRPr="00F02BC6">
              <w:rPr>
                <w:color w:val="000000"/>
                <w:sz w:val="20"/>
                <w:szCs w:val="20"/>
                <w:lang w:val="en-US"/>
              </w:rPr>
              <w:t>Evidence of asthma patients’ adherence to their prescribed controller medications was poor.</w:t>
            </w:r>
          </w:p>
          <w:p w14:paraId="4178A3E5" w14:textId="77777777" w:rsidR="00715E4A" w:rsidRPr="00F02BC6" w:rsidRDefault="00715E4A" w:rsidP="00495804">
            <w:pPr>
              <w:rPr>
                <w:color w:val="000000"/>
                <w:sz w:val="20"/>
                <w:szCs w:val="20"/>
                <w:lang w:val="en-US"/>
              </w:rPr>
            </w:pPr>
          </w:p>
        </w:tc>
        <w:tc>
          <w:tcPr>
            <w:tcW w:w="1605" w:type="dxa"/>
          </w:tcPr>
          <w:p w14:paraId="4C3453CB" w14:textId="77777777" w:rsidR="00715E4A" w:rsidRPr="00F02BC6" w:rsidRDefault="00715E4A" w:rsidP="00495804">
            <w:pPr>
              <w:rPr>
                <w:color w:val="000000"/>
                <w:sz w:val="20"/>
                <w:szCs w:val="20"/>
                <w:lang w:val="en-US"/>
              </w:rPr>
            </w:pPr>
          </w:p>
        </w:tc>
      </w:tr>
    </w:tbl>
    <w:p w14:paraId="4B0AD5EE" w14:textId="77777777" w:rsidR="00715E4A" w:rsidRPr="00F02BC6" w:rsidRDefault="00715E4A" w:rsidP="00715E4A">
      <w:pPr>
        <w:tabs>
          <w:tab w:val="left" w:pos="1665"/>
        </w:tabs>
        <w:rPr>
          <w:color w:val="000000"/>
          <w:lang w:val="en-US"/>
        </w:rPr>
      </w:pPr>
    </w:p>
    <w:p w14:paraId="013EB7E9" w14:textId="77777777" w:rsidR="00715E4A" w:rsidRPr="00F02BC6" w:rsidRDefault="00715E4A" w:rsidP="00051352">
      <w:pPr>
        <w:rPr>
          <w:b/>
          <w:color w:val="000000"/>
          <w:lang w:val="en-US"/>
        </w:rPr>
      </w:pPr>
    </w:p>
    <w:p w14:paraId="7A932F39" w14:textId="77777777" w:rsidR="00ED28B6" w:rsidRPr="00F02BC6" w:rsidRDefault="00ED28B6" w:rsidP="00051352">
      <w:pPr>
        <w:rPr>
          <w:b/>
          <w:color w:val="000000"/>
          <w:lang w:val="en-US"/>
        </w:rPr>
      </w:pPr>
    </w:p>
    <w:p w14:paraId="215B5D8E" w14:textId="77777777" w:rsidR="00715E4A" w:rsidRPr="00F02BC6" w:rsidRDefault="00715E4A" w:rsidP="00051352">
      <w:pPr>
        <w:rPr>
          <w:b/>
          <w:color w:val="000000"/>
          <w:lang w:val="en-US"/>
        </w:rPr>
      </w:pPr>
    </w:p>
    <w:p w14:paraId="56B0EB7E" w14:textId="2F3232D3" w:rsidR="00ED28B6" w:rsidRPr="00F02BC6" w:rsidRDefault="00ED28B6" w:rsidP="00F805AF">
      <w:pPr>
        <w:rPr>
          <w:b/>
          <w:color w:val="000000"/>
          <w:lang w:val="en-US"/>
        </w:rPr>
      </w:pPr>
      <w:r w:rsidRPr="00F02BC6">
        <w:rPr>
          <w:b/>
          <w:color w:val="000000"/>
          <w:lang w:val="en-US"/>
        </w:rPr>
        <w:t>APPENDIX D: META REGRESSION</w:t>
      </w:r>
    </w:p>
    <w:p w14:paraId="54D6A400" w14:textId="77777777" w:rsidR="00ED28B6" w:rsidRPr="00F02BC6" w:rsidRDefault="00ED28B6" w:rsidP="00F805AF">
      <w:pPr>
        <w:rPr>
          <w:b/>
          <w:color w:val="000000"/>
          <w:lang w:val="en-US"/>
        </w:rPr>
      </w:pPr>
    </w:p>
    <w:p w14:paraId="4A297A6D" w14:textId="77777777" w:rsidR="00ED28B6" w:rsidRPr="00F02BC6" w:rsidRDefault="00ED28B6" w:rsidP="00F805AF">
      <w:pPr>
        <w:rPr>
          <w:b/>
          <w:color w:val="000000"/>
          <w:lang w:val="en-US"/>
        </w:rPr>
      </w:pPr>
    </w:p>
    <w:p w14:paraId="449056CD" w14:textId="495E8537" w:rsidR="00F805AF" w:rsidRPr="00F02BC6" w:rsidRDefault="00F805AF" w:rsidP="00F805AF">
      <w:pPr>
        <w:rPr>
          <w:b/>
          <w:color w:val="000000"/>
          <w:lang w:val="en-US"/>
        </w:rPr>
      </w:pPr>
      <w:r w:rsidRPr="00F02BC6">
        <w:rPr>
          <w:b/>
          <w:color w:val="000000"/>
          <w:lang w:val="en-US"/>
        </w:rPr>
        <w:t>Table S4: Meta-regression analyses (</w:t>
      </w:r>
      <w:r w:rsidRPr="00F02BC6">
        <w:rPr>
          <w:color w:val="000000"/>
          <w:lang w:val="en-US"/>
        </w:rPr>
        <w:t>Dependent variable: log of odds ratio for asthma exacerbation/ED visits</w:t>
      </w:r>
      <w:r w:rsidRPr="00F02BC6">
        <w:rPr>
          <w:b/>
          <w:color w:val="000000"/>
          <w:lang w:val="en-US"/>
        </w:rPr>
        <w:t>)</w:t>
      </w:r>
    </w:p>
    <w:tbl>
      <w:tblPr>
        <w:tblStyle w:val="PlainTable2"/>
        <w:tblW w:w="0" w:type="auto"/>
        <w:jc w:val="center"/>
        <w:tblLook w:val="04A0" w:firstRow="1" w:lastRow="0" w:firstColumn="1" w:lastColumn="0" w:noHBand="0" w:noVBand="1"/>
      </w:tblPr>
      <w:tblGrid>
        <w:gridCol w:w="1969"/>
        <w:gridCol w:w="1145"/>
        <w:gridCol w:w="1564"/>
        <w:gridCol w:w="1000"/>
        <w:gridCol w:w="550"/>
        <w:gridCol w:w="1140"/>
        <w:gridCol w:w="1563"/>
        <w:gridCol w:w="992"/>
        <w:gridCol w:w="18"/>
      </w:tblGrid>
      <w:tr w:rsidR="00F805AF" w:rsidRPr="00F02BC6" w14:paraId="5A840D87" w14:textId="77777777" w:rsidTr="00BD1C5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bottom w:val="nil"/>
              <w:right w:val="nil"/>
            </w:tcBorders>
          </w:tcPr>
          <w:p w14:paraId="705EE0A5" w14:textId="77777777" w:rsidR="00F805AF" w:rsidRPr="00F02BC6" w:rsidRDefault="00F805AF" w:rsidP="002C63D3">
            <w:pPr>
              <w:rPr>
                <w:color w:val="000000"/>
                <w:lang w:val="en-US"/>
              </w:rPr>
            </w:pPr>
            <w:r w:rsidRPr="00F02BC6">
              <w:rPr>
                <w:color w:val="000000"/>
                <w:lang w:val="en-US"/>
              </w:rPr>
              <w:t>Variable</w:t>
            </w:r>
          </w:p>
        </w:tc>
        <w:tc>
          <w:tcPr>
            <w:tcW w:w="3709" w:type="dxa"/>
            <w:gridSpan w:val="3"/>
            <w:tcBorders>
              <w:top w:val="single" w:sz="4" w:space="0" w:color="auto"/>
              <w:left w:val="nil"/>
              <w:bottom w:val="nil"/>
              <w:right w:val="single" w:sz="4" w:space="0" w:color="auto"/>
            </w:tcBorders>
          </w:tcPr>
          <w:p w14:paraId="02DD028C" w14:textId="77777777" w:rsidR="00F805AF" w:rsidRPr="00F02BC6" w:rsidRDefault="00F805AF" w:rsidP="002C63D3">
            <w:pPr>
              <w:jc w:val="center"/>
              <w:cnfStyle w:val="100000000000" w:firstRow="1" w:lastRow="0" w:firstColumn="0" w:lastColumn="0" w:oddVBand="0" w:evenVBand="0" w:oddHBand="0" w:evenHBand="0" w:firstRowFirstColumn="0" w:firstRowLastColumn="0" w:lastRowFirstColumn="0" w:lastRowLastColumn="0"/>
              <w:rPr>
                <w:color w:val="000000"/>
                <w:lang w:val="en-US"/>
              </w:rPr>
            </w:pPr>
            <w:r w:rsidRPr="00F02BC6">
              <w:rPr>
                <w:color w:val="000000"/>
                <w:lang w:val="en-US"/>
              </w:rPr>
              <w:t>Model 1 (univariate)</w:t>
            </w:r>
          </w:p>
        </w:tc>
        <w:tc>
          <w:tcPr>
            <w:tcW w:w="550" w:type="dxa"/>
            <w:tcBorders>
              <w:top w:val="single" w:sz="4" w:space="0" w:color="auto"/>
              <w:left w:val="single" w:sz="4" w:space="0" w:color="auto"/>
              <w:bottom w:val="nil"/>
              <w:right w:val="nil"/>
            </w:tcBorders>
          </w:tcPr>
          <w:p w14:paraId="73B757D9" w14:textId="77777777" w:rsidR="00F805AF" w:rsidRPr="00F02BC6" w:rsidRDefault="00F805AF" w:rsidP="002C63D3">
            <w:pPr>
              <w:cnfStyle w:val="100000000000" w:firstRow="1" w:lastRow="0" w:firstColumn="0" w:lastColumn="0" w:oddVBand="0" w:evenVBand="0" w:oddHBand="0" w:evenHBand="0" w:firstRowFirstColumn="0" w:firstRowLastColumn="0" w:lastRowFirstColumn="0" w:lastRowLastColumn="0"/>
              <w:rPr>
                <w:color w:val="000000"/>
                <w:lang w:val="en-US"/>
              </w:rPr>
            </w:pPr>
          </w:p>
        </w:tc>
        <w:tc>
          <w:tcPr>
            <w:tcW w:w="3713" w:type="dxa"/>
            <w:gridSpan w:val="4"/>
            <w:tcBorders>
              <w:top w:val="single" w:sz="4" w:space="0" w:color="auto"/>
              <w:left w:val="nil"/>
              <w:bottom w:val="nil"/>
            </w:tcBorders>
          </w:tcPr>
          <w:p w14:paraId="5BB2195E" w14:textId="77777777" w:rsidR="00F805AF" w:rsidRPr="00F02BC6" w:rsidRDefault="00F805AF" w:rsidP="002C63D3">
            <w:pPr>
              <w:jc w:val="center"/>
              <w:cnfStyle w:val="100000000000" w:firstRow="1" w:lastRow="0" w:firstColumn="0" w:lastColumn="0" w:oddVBand="0" w:evenVBand="0" w:oddHBand="0" w:evenHBand="0" w:firstRowFirstColumn="0" w:firstRowLastColumn="0" w:lastRowFirstColumn="0" w:lastRowLastColumn="0"/>
              <w:rPr>
                <w:color w:val="000000"/>
                <w:lang w:val="en-US"/>
              </w:rPr>
            </w:pPr>
            <w:r w:rsidRPr="00F02BC6">
              <w:rPr>
                <w:color w:val="000000"/>
                <w:lang w:val="en-US"/>
              </w:rPr>
              <w:t>Model 2 (multivariate)</w:t>
            </w:r>
          </w:p>
        </w:tc>
      </w:tr>
      <w:tr w:rsidR="00F805AF" w:rsidRPr="00F02BC6" w14:paraId="73517472" w14:textId="77777777" w:rsidTr="00BD1C56">
        <w:trPr>
          <w:gridAfter w:val="1"/>
          <w:cnfStyle w:val="000000100000" w:firstRow="0" w:lastRow="0" w:firstColumn="0" w:lastColumn="0" w:oddVBand="0" w:evenVBand="0" w:oddHBand="1" w:evenHBand="0" w:firstRowFirstColumn="0" w:firstRowLastColumn="0" w:lastRowFirstColumn="0" w:lastRowLastColumn="0"/>
          <w:wAfter w:w="18" w:type="dxa"/>
          <w:trHeight w:val="246"/>
          <w:jc w:val="center"/>
        </w:trPr>
        <w:tc>
          <w:tcPr>
            <w:cnfStyle w:val="001000000000" w:firstRow="0" w:lastRow="0" w:firstColumn="1" w:lastColumn="0" w:oddVBand="0" w:evenVBand="0" w:oddHBand="0" w:evenHBand="0" w:firstRowFirstColumn="0" w:firstRowLastColumn="0" w:lastRowFirstColumn="0" w:lastRowLastColumn="0"/>
            <w:tcW w:w="1969" w:type="dxa"/>
            <w:tcBorders>
              <w:top w:val="nil"/>
              <w:bottom w:val="single" w:sz="4" w:space="0" w:color="auto"/>
            </w:tcBorders>
          </w:tcPr>
          <w:p w14:paraId="1707E0D7" w14:textId="77777777" w:rsidR="00F805AF" w:rsidRPr="00F02BC6" w:rsidRDefault="00F805AF" w:rsidP="002C63D3">
            <w:pPr>
              <w:rPr>
                <w:color w:val="000000"/>
                <w:lang w:val="en-US"/>
              </w:rPr>
            </w:pPr>
          </w:p>
        </w:tc>
        <w:tc>
          <w:tcPr>
            <w:tcW w:w="1145" w:type="dxa"/>
            <w:tcBorders>
              <w:top w:val="nil"/>
              <w:bottom w:val="single" w:sz="4" w:space="0" w:color="auto"/>
            </w:tcBorders>
          </w:tcPr>
          <w:p w14:paraId="2449680E"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r w:rsidRPr="00F02BC6">
              <w:rPr>
                <w:color w:val="000000"/>
                <w:lang w:val="en-US"/>
              </w:rPr>
              <w:t>exp(b)</w:t>
            </w:r>
          </w:p>
        </w:tc>
        <w:tc>
          <w:tcPr>
            <w:tcW w:w="1564" w:type="dxa"/>
            <w:tcBorders>
              <w:top w:val="nil"/>
              <w:bottom w:val="single" w:sz="4" w:space="0" w:color="auto"/>
            </w:tcBorders>
          </w:tcPr>
          <w:p w14:paraId="2F29B3A9"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r w:rsidRPr="00F02BC6">
              <w:rPr>
                <w:color w:val="000000"/>
                <w:lang w:val="en-US"/>
              </w:rPr>
              <w:t>95% CI</w:t>
            </w:r>
          </w:p>
        </w:tc>
        <w:tc>
          <w:tcPr>
            <w:tcW w:w="1000" w:type="dxa"/>
            <w:tcBorders>
              <w:top w:val="nil"/>
              <w:bottom w:val="single" w:sz="4" w:space="0" w:color="auto"/>
              <w:right w:val="single" w:sz="4" w:space="0" w:color="auto"/>
            </w:tcBorders>
          </w:tcPr>
          <w:p w14:paraId="6DDE1450"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r w:rsidRPr="00F02BC6">
              <w:rPr>
                <w:i/>
                <w:color w:val="000000"/>
                <w:lang w:val="en-US"/>
              </w:rPr>
              <w:t>p</w:t>
            </w:r>
            <w:r w:rsidRPr="00F02BC6">
              <w:rPr>
                <w:color w:val="000000"/>
                <w:lang w:val="en-US"/>
              </w:rPr>
              <w:t>-value</w:t>
            </w:r>
          </w:p>
        </w:tc>
        <w:tc>
          <w:tcPr>
            <w:tcW w:w="550" w:type="dxa"/>
            <w:tcBorders>
              <w:top w:val="nil"/>
              <w:left w:val="single" w:sz="4" w:space="0" w:color="auto"/>
              <w:bottom w:val="single" w:sz="4" w:space="0" w:color="auto"/>
            </w:tcBorders>
          </w:tcPr>
          <w:p w14:paraId="7BBE2A8F"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p>
        </w:tc>
        <w:tc>
          <w:tcPr>
            <w:tcW w:w="1140" w:type="dxa"/>
            <w:tcBorders>
              <w:top w:val="nil"/>
              <w:bottom w:val="single" w:sz="4" w:space="0" w:color="auto"/>
            </w:tcBorders>
          </w:tcPr>
          <w:p w14:paraId="4973A68F"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r w:rsidRPr="00F02BC6">
              <w:rPr>
                <w:color w:val="000000"/>
                <w:lang w:val="en-US"/>
              </w:rPr>
              <w:t>exp(b)</w:t>
            </w:r>
          </w:p>
        </w:tc>
        <w:tc>
          <w:tcPr>
            <w:tcW w:w="1563" w:type="dxa"/>
            <w:tcBorders>
              <w:top w:val="nil"/>
              <w:bottom w:val="single" w:sz="4" w:space="0" w:color="auto"/>
            </w:tcBorders>
          </w:tcPr>
          <w:p w14:paraId="74C9AA77"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r w:rsidRPr="00F02BC6">
              <w:rPr>
                <w:color w:val="000000"/>
                <w:lang w:val="en-US"/>
              </w:rPr>
              <w:t>95% CI</w:t>
            </w:r>
          </w:p>
        </w:tc>
        <w:tc>
          <w:tcPr>
            <w:tcW w:w="992" w:type="dxa"/>
            <w:tcBorders>
              <w:top w:val="nil"/>
              <w:bottom w:val="single" w:sz="4" w:space="0" w:color="auto"/>
            </w:tcBorders>
          </w:tcPr>
          <w:p w14:paraId="779D945C"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r w:rsidRPr="00F02BC6">
              <w:rPr>
                <w:i/>
                <w:color w:val="000000"/>
                <w:lang w:val="en-US"/>
              </w:rPr>
              <w:t>p</w:t>
            </w:r>
            <w:r w:rsidRPr="00F02BC6">
              <w:rPr>
                <w:color w:val="000000"/>
                <w:lang w:val="en-US"/>
              </w:rPr>
              <w:t>-value</w:t>
            </w:r>
          </w:p>
        </w:tc>
      </w:tr>
      <w:tr w:rsidR="00F805AF" w:rsidRPr="00F02BC6" w14:paraId="472DF6DA" w14:textId="77777777" w:rsidTr="00BD1C56">
        <w:trPr>
          <w:gridAfter w:val="1"/>
          <w:wAfter w:w="18" w:type="dxa"/>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bottom w:val="nil"/>
            </w:tcBorders>
          </w:tcPr>
          <w:p w14:paraId="16ED3054" w14:textId="77777777" w:rsidR="00F805AF" w:rsidRPr="00F02BC6" w:rsidRDefault="00F805AF" w:rsidP="00BD1C56">
            <w:pPr>
              <w:ind w:right="-409"/>
              <w:rPr>
                <w:b w:val="0"/>
                <w:color w:val="000000"/>
                <w:lang w:val="en-US"/>
              </w:rPr>
            </w:pPr>
            <w:r w:rsidRPr="00F02BC6">
              <w:rPr>
                <w:b w:val="0"/>
                <w:color w:val="000000"/>
                <w:lang w:val="en-US"/>
              </w:rPr>
              <w:t>MPR (continuous)</w:t>
            </w:r>
          </w:p>
        </w:tc>
        <w:tc>
          <w:tcPr>
            <w:tcW w:w="1145" w:type="dxa"/>
            <w:tcBorders>
              <w:top w:val="single" w:sz="4" w:space="0" w:color="auto"/>
              <w:bottom w:val="nil"/>
            </w:tcBorders>
          </w:tcPr>
          <w:p w14:paraId="2463C42F"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r w:rsidRPr="00F02BC6">
              <w:rPr>
                <w:color w:val="000000"/>
                <w:lang w:val="en-US"/>
              </w:rPr>
              <w:t>0.85</w:t>
            </w:r>
          </w:p>
          <w:p w14:paraId="226A055C"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p>
        </w:tc>
        <w:tc>
          <w:tcPr>
            <w:tcW w:w="1564" w:type="dxa"/>
            <w:tcBorders>
              <w:top w:val="single" w:sz="4" w:space="0" w:color="auto"/>
              <w:bottom w:val="nil"/>
            </w:tcBorders>
          </w:tcPr>
          <w:p w14:paraId="585C5C6F"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r w:rsidRPr="00F02BC6">
              <w:rPr>
                <w:color w:val="000000"/>
                <w:lang w:val="en-US"/>
              </w:rPr>
              <w:t>0.24 – 3.02</w:t>
            </w:r>
          </w:p>
        </w:tc>
        <w:tc>
          <w:tcPr>
            <w:tcW w:w="1000" w:type="dxa"/>
            <w:tcBorders>
              <w:top w:val="single" w:sz="4" w:space="0" w:color="auto"/>
              <w:bottom w:val="nil"/>
              <w:right w:val="single" w:sz="4" w:space="0" w:color="auto"/>
            </w:tcBorders>
          </w:tcPr>
          <w:p w14:paraId="6A52E923"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r w:rsidRPr="00F02BC6">
              <w:rPr>
                <w:color w:val="000000"/>
                <w:lang w:val="en-US"/>
              </w:rPr>
              <w:t>0.77</w:t>
            </w:r>
          </w:p>
        </w:tc>
        <w:tc>
          <w:tcPr>
            <w:tcW w:w="550" w:type="dxa"/>
            <w:tcBorders>
              <w:top w:val="single" w:sz="4" w:space="0" w:color="auto"/>
              <w:left w:val="single" w:sz="4" w:space="0" w:color="auto"/>
              <w:bottom w:val="nil"/>
            </w:tcBorders>
          </w:tcPr>
          <w:p w14:paraId="09C6C341"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p>
        </w:tc>
        <w:tc>
          <w:tcPr>
            <w:tcW w:w="1140" w:type="dxa"/>
            <w:tcBorders>
              <w:top w:val="single" w:sz="4" w:space="0" w:color="auto"/>
              <w:bottom w:val="nil"/>
            </w:tcBorders>
          </w:tcPr>
          <w:p w14:paraId="293D386E"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r w:rsidRPr="00F02BC6">
              <w:rPr>
                <w:color w:val="000000"/>
                <w:lang w:val="en-US"/>
              </w:rPr>
              <w:t>5.37</w:t>
            </w:r>
          </w:p>
          <w:p w14:paraId="2CAAA70F"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p>
        </w:tc>
        <w:tc>
          <w:tcPr>
            <w:tcW w:w="1563" w:type="dxa"/>
            <w:tcBorders>
              <w:top w:val="single" w:sz="4" w:space="0" w:color="auto"/>
              <w:bottom w:val="nil"/>
            </w:tcBorders>
          </w:tcPr>
          <w:p w14:paraId="29D7AEC9"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r w:rsidRPr="00F02BC6">
              <w:rPr>
                <w:color w:val="000000"/>
                <w:lang w:val="en-US"/>
              </w:rPr>
              <w:t>2.77 -10.38</w:t>
            </w:r>
          </w:p>
          <w:p w14:paraId="525921AC"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p>
        </w:tc>
        <w:tc>
          <w:tcPr>
            <w:tcW w:w="992" w:type="dxa"/>
            <w:tcBorders>
              <w:top w:val="single" w:sz="4" w:space="0" w:color="auto"/>
              <w:bottom w:val="nil"/>
            </w:tcBorders>
          </w:tcPr>
          <w:p w14:paraId="406D965B"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r w:rsidRPr="00F02BC6">
              <w:rPr>
                <w:color w:val="000000"/>
                <w:lang w:val="en-US"/>
              </w:rPr>
              <w:t xml:space="preserve">0.002  </w:t>
            </w:r>
          </w:p>
        </w:tc>
      </w:tr>
      <w:tr w:rsidR="00F805AF" w:rsidRPr="00F02BC6" w14:paraId="36A3408C" w14:textId="77777777" w:rsidTr="00BD1C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9" w:type="dxa"/>
            <w:tcBorders>
              <w:top w:val="nil"/>
              <w:bottom w:val="nil"/>
            </w:tcBorders>
          </w:tcPr>
          <w:p w14:paraId="4963E236" w14:textId="77777777" w:rsidR="00F805AF" w:rsidRPr="00F02BC6" w:rsidRDefault="00F805AF" w:rsidP="002C63D3">
            <w:pPr>
              <w:rPr>
                <w:color w:val="000000"/>
                <w:lang w:val="en-US"/>
              </w:rPr>
            </w:pPr>
          </w:p>
        </w:tc>
        <w:tc>
          <w:tcPr>
            <w:tcW w:w="3709" w:type="dxa"/>
            <w:gridSpan w:val="3"/>
            <w:tcBorders>
              <w:top w:val="nil"/>
              <w:bottom w:val="nil"/>
              <w:right w:val="single" w:sz="4" w:space="0" w:color="auto"/>
            </w:tcBorders>
          </w:tcPr>
          <w:p w14:paraId="17EA035E"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r w:rsidRPr="00F02BC6">
              <w:rPr>
                <w:color w:val="000000"/>
                <w:lang w:val="en-US"/>
              </w:rPr>
              <w:t>Adjusted R</w:t>
            </w:r>
            <w:r w:rsidRPr="00F02BC6">
              <w:rPr>
                <w:color w:val="000000"/>
                <w:vertAlign w:val="superscript"/>
                <w:lang w:val="en-US"/>
              </w:rPr>
              <w:t>2</w:t>
            </w:r>
            <w:r w:rsidRPr="00F02BC6">
              <w:rPr>
                <w:color w:val="000000"/>
                <w:lang w:val="en-US"/>
              </w:rPr>
              <w:t xml:space="preserve"> = 1.35%</w:t>
            </w:r>
          </w:p>
        </w:tc>
        <w:tc>
          <w:tcPr>
            <w:tcW w:w="4263" w:type="dxa"/>
            <w:gridSpan w:val="5"/>
            <w:tcBorders>
              <w:top w:val="nil"/>
              <w:left w:val="single" w:sz="4" w:space="0" w:color="auto"/>
              <w:bottom w:val="nil"/>
            </w:tcBorders>
          </w:tcPr>
          <w:p w14:paraId="078FE726"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p>
        </w:tc>
      </w:tr>
      <w:tr w:rsidR="00F805AF" w:rsidRPr="00F02BC6" w14:paraId="45748D14" w14:textId="77777777" w:rsidTr="00BD1C56">
        <w:trPr>
          <w:gridAfter w:val="1"/>
          <w:wAfter w:w="18" w:type="dxa"/>
          <w:jc w:val="center"/>
        </w:trPr>
        <w:tc>
          <w:tcPr>
            <w:cnfStyle w:val="001000000000" w:firstRow="0" w:lastRow="0" w:firstColumn="1" w:lastColumn="0" w:oddVBand="0" w:evenVBand="0" w:oddHBand="0" w:evenHBand="0" w:firstRowFirstColumn="0" w:firstRowLastColumn="0" w:lastRowFirstColumn="0" w:lastRowLastColumn="0"/>
            <w:tcW w:w="1969" w:type="dxa"/>
            <w:tcBorders>
              <w:top w:val="nil"/>
              <w:bottom w:val="nil"/>
            </w:tcBorders>
          </w:tcPr>
          <w:p w14:paraId="2FF006FD" w14:textId="77777777" w:rsidR="00F805AF" w:rsidRPr="00F02BC6" w:rsidRDefault="00F805AF" w:rsidP="002C63D3">
            <w:pPr>
              <w:rPr>
                <w:b w:val="0"/>
                <w:color w:val="000000"/>
                <w:lang w:val="en-US"/>
              </w:rPr>
            </w:pPr>
            <w:r w:rsidRPr="00F02BC6">
              <w:rPr>
                <w:b w:val="0"/>
                <w:color w:val="000000"/>
                <w:lang w:val="en-US"/>
              </w:rPr>
              <w:t>Age (years)</w:t>
            </w:r>
          </w:p>
        </w:tc>
        <w:tc>
          <w:tcPr>
            <w:tcW w:w="1145" w:type="dxa"/>
            <w:tcBorders>
              <w:top w:val="nil"/>
              <w:bottom w:val="nil"/>
            </w:tcBorders>
          </w:tcPr>
          <w:p w14:paraId="2648E05E" w14:textId="77777777" w:rsidR="00F805AF" w:rsidRPr="00F02BC6" w:rsidRDefault="00F805AF"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0.99          </w:t>
            </w:r>
          </w:p>
        </w:tc>
        <w:tc>
          <w:tcPr>
            <w:tcW w:w="1564" w:type="dxa"/>
            <w:tcBorders>
              <w:top w:val="nil"/>
              <w:bottom w:val="nil"/>
            </w:tcBorders>
          </w:tcPr>
          <w:p w14:paraId="54D4426D" w14:textId="77777777" w:rsidR="00F805AF" w:rsidRPr="00F02BC6" w:rsidRDefault="00F805AF"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 0.98 – 1.00</w:t>
            </w:r>
          </w:p>
        </w:tc>
        <w:tc>
          <w:tcPr>
            <w:tcW w:w="1000" w:type="dxa"/>
            <w:tcBorders>
              <w:top w:val="nil"/>
              <w:bottom w:val="nil"/>
              <w:right w:val="single" w:sz="4" w:space="0" w:color="auto"/>
            </w:tcBorders>
          </w:tcPr>
          <w:p w14:paraId="6E0525FD" w14:textId="77777777" w:rsidR="00F805AF" w:rsidRPr="00F02BC6" w:rsidRDefault="00F805AF"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  0.31</w:t>
            </w:r>
          </w:p>
        </w:tc>
        <w:tc>
          <w:tcPr>
            <w:tcW w:w="550" w:type="dxa"/>
            <w:tcBorders>
              <w:top w:val="nil"/>
              <w:left w:val="single" w:sz="4" w:space="0" w:color="auto"/>
              <w:bottom w:val="nil"/>
            </w:tcBorders>
          </w:tcPr>
          <w:p w14:paraId="568F454F"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p>
        </w:tc>
        <w:tc>
          <w:tcPr>
            <w:tcW w:w="1140" w:type="dxa"/>
            <w:tcBorders>
              <w:top w:val="nil"/>
              <w:bottom w:val="nil"/>
            </w:tcBorders>
          </w:tcPr>
          <w:p w14:paraId="5162BED7"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r w:rsidRPr="00F02BC6">
              <w:rPr>
                <w:color w:val="000000"/>
                <w:lang w:val="en-US"/>
              </w:rPr>
              <w:t>0.99</w:t>
            </w:r>
          </w:p>
        </w:tc>
        <w:tc>
          <w:tcPr>
            <w:tcW w:w="1563" w:type="dxa"/>
            <w:tcBorders>
              <w:top w:val="nil"/>
              <w:bottom w:val="nil"/>
            </w:tcBorders>
          </w:tcPr>
          <w:p w14:paraId="54402176"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r w:rsidRPr="00F02BC6">
              <w:rPr>
                <w:color w:val="000000"/>
                <w:lang w:val="en-US"/>
              </w:rPr>
              <w:t>0.99 – 1.00</w:t>
            </w:r>
          </w:p>
          <w:p w14:paraId="3B50802A"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r w:rsidRPr="00F02BC6">
              <w:rPr>
                <w:color w:val="000000"/>
                <w:lang w:val="en-US"/>
              </w:rPr>
              <w:t xml:space="preserve">   </w:t>
            </w:r>
          </w:p>
        </w:tc>
        <w:tc>
          <w:tcPr>
            <w:tcW w:w="992" w:type="dxa"/>
            <w:tcBorders>
              <w:top w:val="nil"/>
              <w:bottom w:val="nil"/>
            </w:tcBorders>
          </w:tcPr>
          <w:p w14:paraId="1A518C00"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r w:rsidRPr="00F02BC6">
              <w:rPr>
                <w:color w:val="000000"/>
                <w:lang w:val="en-US"/>
              </w:rPr>
              <w:t xml:space="preserve">0.183  </w:t>
            </w:r>
          </w:p>
        </w:tc>
      </w:tr>
      <w:tr w:rsidR="00F805AF" w:rsidRPr="00F02BC6" w14:paraId="025C9B7F" w14:textId="77777777" w:rsidTr="00BD1C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9" w:type="dxa"/>
            <w:tcBorders>
              <w:top w:val="nil"/>
              <w:bottom w:val="nil"/>
            </w:tcBorders>
          </w:tcPr>
          <w:p w14:paraId="23551122" w14:textId="77777777" w:rsidR="00F805AF" w:rsidRPr="00F02BC6" w:rsidRDefault="00F805AF" w:rsidP="002C63D3">
            <w:pPr>
              <w:rPr>
                <w:color w:val="000000"/>
                <w:lang w:val="en-US"/>
              </w:rPr>
            </w:pPr>
          </w:p>
        </w:tc>
        <w:tc>
          <w:tcPr>
            <w:tcW w:w="3709" w:type="dxa"/>
            <w:gridSpan w:val="3"/>
            <w:tcBorders>
              <w:top w:val="nil"/>
              <w:bottom w:val="nil"/>
              <w:right w:val="single" w:sz="4" w:space="0" w:color="auto"/>
            </w:tcBorders>
          </w:tcPr>
          <w:p w14:paraId="117F092A"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r w:rsidRPr="00F02BC6">
              <w:rPr>
                <w:color w:val="000000"/>
                <w:lang w:val="en-US"/>
              </w:rPr>
              <w:t>Adjusted R</w:t>
            </w:r>
            <w:r w:rsidRPr="00F02BC6">
              <w:rPr>
                <w:color w:val="000000"/>
                <w:vertAlign w:val="superscript"/>
                <w:lang w:val="en-US"/>
              </w:rPr>
              <w:t>2</w:t>
            </w:r>
            <w:r w:rsidRPr="00F02BC6">
              <w:rPr>
                <w:color w:val="000000"/>
                <w:lang w:val="en-US"/>
              </w:rPr>
              <w:t xml:space="preserve"> = 15.63%</w:t>
            </w:r>
          </w:p>
        </w:tc>
        <w:tc>
          <w:tcPr>
            <w:tcW w:w="4263" w:type="dxa"/>
            <w:gridSpan w:val="5"/>
            <w:tcBorders>
              <w:top w:val="nil"/>
              <w:left w:val="single" w:sz="4" w:space="0" w:color="auto"/>
              <w:bottom w:val="nil"/>
            </w:tcBorders>
          </w:tcPr>
          <w:p w14:paraId="518F527E"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p>
        </w:tc>
      </w:tr>
      <w:tr w:rsidR="00F805AF" w:rsidRPr="00F02BC6" w14:paraId="60466E4E" w14:textId="77777777" w:rsidTr="00BD1C56">
        <w:trPr>
          <w:gridAfter w:val="1"/>
          <w:wAfter w:w="18" w:type="dxa"/>
          <w:jc w:val="center"/>
        </w:trPr>
        <w:tc>
          <w:tcPr>
            <w:cnfStyle w:val="001000000000" w:firstRow="0" w:lastRow="0" w:firstColumn="1" w:lastColumn="0" w:oddVBand="0" w:evenVBand="0" w:oddHBand="0" w:evenHBand="0" w:firstRowFirstColumn="0" w:firstRowLastColumn="0" w:lastRowFirstColumn="0" w:lastRowLastColumn="0"/>
            <w:tcW w:w="1969" w:type="dxa"/>
            <w:tcBorders>
              <w:top w:val="nil"/>
              <w:bottom w:val="nil"/>
            </w:tcBorders>
          </w:tcPr>
          <w:p w14:paraId="35C603F2" w14:textId="77777777" w:rsidR="00F805AF" w:rsidRPr="00F02BC6" w:rsidRDefault="00F805AF" w:rsidP="002C63D3">
            <w:pPr>
              <w:rPr>
                <w:b w:val="0"/>
                <w:color w:val="000000"/>
                <w:lang w:val="en-US"/>
              </w:rPr>
            </w:pPr>
            <w:r w:rsidRPr="00F02BC6">
              <w:rPr>
                <w:b w:val="0"/>
                <w:color w:val="000000"/>
                <w:lang w:val="en-US"/>
              </w:rPr>
              <w:t>Study Duration (months)</w:t>
            </w:r>
          </w:p>
        </w:tc>
        <w:tc>
          <w:tcPr>
            <w:tcW w:w="1145" w:type="dxa"/>
            <w:tcBorders>
              <w:top w:val="nil"/>
              <w:bottom w:val="nil"/>
            </w:tcBorders>
          </w:tcPr>
          <w:p w14:paraId="08922639" w14:textId="77777777" w:rsidR="00F805AF" w:rsidRPr="00F02BC6" w:rsidRDefault="00F805AF"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1.00             </w:t>
            </w:r>
          </w:p>
        </w:tc>
        <w:tc>
          <w:tcPr>
            <w:tcW w:w="1564" w:type="dxa"/>
            <w:tcBorders>
              <w:top w:val="nil"/>
              <w:bottom w:val="nil"/>
            </w:tcBorders>
          </w:tcPr>
          <w:p w14:paraId="69D111E0" w14:textId="77777777" w:rsidR="00F805AF" w:rsidRPr="00F02BC6" w:rsidRDefault="00F805AF"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 0.99 – 1.01</w:t>
            </w:r>
          </w:p>
        </w:tc>
        <w:tc>
          <w:tcPr>
            <w:tcW w:w="1000" w:type="dxa"/>
            <w:tcBorders>
              <w:top w:val="nil"/>
              <w:bottom w:val="nil"/>
              <w:right w:val="single" w:sz="4" w:space="0" w:color="auto"/>
            </w:tcBorders>
          </w:tcPr>
          <w:p w14:paraId="14A7AEEC"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r w:rsidRPr="00F02BC6">
              <w:rPr>
                <w:color w:val="000000"/>
                <w:lang w:val="en-US"/>
              </w:rPr>
              <w:t>0.77</w:t>
            </w:r>
          </w:p>
        </w:tc>
        <w:tc>
          <w:tcPr>
            <w:tcW w:w="550" w:type="dxa"/>
            <w:tcBorders>
              <w:top w:val="nil"/>
              <w:left w:val="single" w:sz="4" w:space="0" w:color="auto"/>
              <w:bottom w:val="nil"/>
            </w:tcBorders>
          </w:tcPr>
          <w:p w14:paraId="7FEE4077"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p>
        </w:tc>
        <w:tc>
          <w:tcPr>
            <w:tcW w:w="1140" w:type="dxa"/>
            <w:tcBorders>
              <w:top w:val="nil"/>
              <w:bottom w:val="nil"/>
            </w:tcBorders>
          </w:tcPr>
          <w:p w14:paraId="722BFFED"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r w:rsidRPr="00F02BC6">
              <w:rPr>
                <w:color w:val="000000"/>
                <w:bdr w:val="none" w:sz="0" w:space="0" w:color="auto" w:frame="1"/>
                <w:lang w:val="en-US" w:eastAsia="en-CA"/>
              </w:rPr>
              <w:t>1.01</w:t>
            </w:r>
          </w:p>
        </w:tc>
        <w:tc>
          <w:tcPr>
            <w:tcW w:w="1563" w:type="dxa"/>
            <w:tcBorders>
              <w:top w:val="nil"/>
              <w:bottom w:val="nil"/>
            </w:tcBorders>
          </w:tcPr>
          <w:p w14:paraId="1D061A1D"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r w:rsidRPr="00F02BC6">
              <w:rPr>
                <w:color w:val="000000"/>
                <w:lang w:val="en-US"/>
              </w:rPr>
              <w:t>1.01 - 1.01</w:t>
            </w:r>
          </w:p>
          <w:p w14:paraId="0E249D7C"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p>
        </w:tc>
        <w:tc>
          <w:tcPr>
            <w:tcW w:w="992" w:type="dxa"/>
            <w:tcBorders>
              <w:top w:val="nil"/>
              <w:bottom w:val="nil"/>
            </w:tcBorders>
          </w:tcPr>
          <w:p w14:paraId="2DBA5472"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r w:rsidRPr="00F02BC6">
              <w:rPr>
                <w:color w:val="000000"/>
                <w:lang w:val="en-US"/>
              </w:rPr>
              <w:t>0.001</w:t>
            </w:r>
          </w:p>
        </w:tc>
      </w:tr>
      <w:tr w:rsidR="00F805AF" w:rsidRPr="00F02BC6" w14:paraId="7D600768" w14:textId="77777777" w:rsidTr="00BD1C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9" w:type="dxa"/>
            <w:tcBorders>
              <w:top w:val="nil"/>
              <w:bottom w:val="nil"/>
            </w:tcBorders>
          </w:tcPr>
          <w:p w14:paraId="09029ED3" w14:textId="77777777" w:rsidR="00F805AF" w:rsidRPr="00F02BC6" w:rsidRDefault="00F805AF" w:rsidP="002C63D3">
            <w:pPr>
              <w:rPr>
                <w:color w:val="000000"/>
                <w:lang w:val="en-US"/>
              </w:rPr>
            </w:pPr>
          </w:p>
        </w:tc>
        <w:tc>
          <w:tcPr>
            <w:tcW w:w="3709" w:type="dxa"/>
            <w:gridSpan w:val="3"/>
            <w:tcBorders>
              <w:top w:val="nil"/>
              <w:bottom w:val="nil"/>
              <w:right w:val="single" w:sz="4" w:space="0" w:color="auto"/>
            </w:tcBorders>
          </w:tcPr>
          <w:p w14:paraId="4493BB20"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r w:rsidRPr="00F02BC6">
              <w:rPr>
                <w:color w:val="000000"/>
                <w:lang w:val="en-US"/>
              </w:rPr>
              <w:t>Adjusted R</w:t>
            </w:r>
            <w:r w:rsidRPr="00F02BC6">
              <w:rPr>
                <w:color w:val="000000"/>
                <w:vertAlign w:val="superscript"/>
                <w:lang w:val="en-US"/>
              </w:rPr>
              <w:t>2</w:t>
            </w:r>
            <w:r w:rsidRPr="00F02BC6">
              <w:rPr>
                <w:color w:val="000000"/>
                <w:lang w:val="en-US"/>
              </w:rPr>
              <w:t xml:space="preserve"> = 0.8%</w:t>
            </w:r>
          </w:p>
        </w:tc>
        <w:tc>
          <w:tcPr>
            <w:tcW w:w="4263" w:type="dxa"/>
            <w:gridSpan w:val="5"/>
            <w:tcBorders>
              <w:top w:val="nil"/>
              <w:left w:val="single" w:sz="4" w:space="0" w:color="auto"/>
              <w:bottom w:val="nil"/>
            </w:tcBorders>
          </w:tcPr>
          <w:p w14:paraId="727E967C"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p>
        </w:tc>
      </w:tr>
      <w:tr w:rsidR="00F805AF" w:rsidRPr="00F02BC6" w14:paraId="1B076594" w14:textId="77777777" w:rsidTr="00BD1C56">
        <w:trPr>
          <w:jc w:val="center"/>
        </w:trPr>
        <w:tc>
          <w:tcPr>
            <w:cnfStyle w:val="001000000000" w:firstRow="0" w:lastRow="0" w:firstColumn="1" w:lastColumn="0" w:oddVBand="0" w:evenVBand="0" w:oddHBand="0" w:evenHBand="0" w:firstRowFirstColumn="0" w:firstRowLastColumn="0" w:lastRowFirstColumn="0" w:lastRowLastColumn="0"/>
            <w:tcW w:w="5678" w:type="dxa"/>
            <w:gridSpan w:val="4"/>
            <w:tcBorders>
              <w:top w:val="nil"/>
              <w:bottom w:val="nil"/>
              <w:right w:val="single" w:sz="4" w:space="0" w:color="auto"/>
            </w:tcBorders>
          </w:tcPr>
          <w:p w14:paraId="6809246E" w14:textId="77777777" w:rsidR="00F805AF" w:rsidRPr="00F02BC6" w:rsidRDefault="00F805AF" w:rsidP="002C63D3">
            <w:pPr>
              <w:rPr>
                <w:color w:val="000000"/>
                <w:lang w:val="en-US"/>
              </w:rPr>
            </w:pPr>
            <w:r w:rsidRPr="00F02BC6">
              <w:rPr>
                <w:color w:val="000000"/>
                <w:lang w:val="en-US"/>
              </w:rPr>
              <w:t>Country</w:t>
            </w:r>
          </w:p>
        </w:tc>
        <w:tc>
          <w:tcPr>
            <w:tcW w:w="4263" w:type="dxa"/>
            <w:gridSpan w:val="5"/>
            <w:tcBorders>
              <w:top w:val="nil"/>
              <w:left w:val="single" w:sz="4" w:space="0" w:color="auto"/>
              <w:bottom w:val="nil"/>
            </w:tcBorders>
          </w:tcPr>
          <w:p w14:paraId="41C76F58"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b/>
                <w:bCs/>
                <w:color w:val="000000"/>
                <w:lang w:val="en-US"/>
              </w:rPr>
            </w:pPr>
          </w:p>
        </w:tc>
      </w:tr>
      <w:tr w:rsidR="00F805AF" w:rsidRPr="00F02BC6" w14:paraId="526B015F" w14:textId="77777777" w:rsidTr="00BD1C56">
        <w:trPr>
          <w:gridAfter w:val="1"/>
          <w:cnfStyle w:val="000000100000" w:firstRow="0" w:lastRow="0" w:firstColumn="0" w:lastColumn="0" w:oddVBand="0" w:evenVBand="0" w:oddHBand="1" w:evenHBand="0" w:firstRowFirstColumn="0" w:firstRowLastColumn="0" w:lastRowFirstColumn="0" w:lastRowLastColumn="0"/>
          <w:wAfter w:w="18" w:type="dxa"/>
          <w:jc w:val="center"/>
        </w:trPr>
        <w:tc>
          <w:tcPr>
            <w:cnfStyle w:val="001000000000" w:firstRow="0" w:lastRow="0" w:firstColumn="1" w:lastColumn="0" w:oddVBand="0" w:evenVBand="0" w:oddHBand="0" w:evenHBand="0" w:firstRowFirstColumn="0" w:firstRowLastColumn="0" w:lastRowFirstColumn="0" w:lastRowLastColumn="0"/>
            <w:tcW w:w="1969" w:type="dxa"/>
            <w:tcBorders>
              <w:top w:val="nil"/>
              <w:bottom w:val="nil"/>
            </w:tcBorders>
          </w:tcPr>
          <w:p w14:paraId="05D093BE" w14:textId="77777777" w:rsidR="00F805AF" w:rsidRPr="00F02BC6" w:rsidRDefault="00F805AF" w:rsidP="002C63D3">
            <w:pPr>
              <w:rPr>
                <w:b w:val="0"/>
                <w:color w:val="000000"/>
                <w:lang w:val="en-US"/>
              </w:rPr>
            </w:pPr>
            <w:r w:rsidRPr="00F02BC6">
              <w:rPr>
                <w:b w:val="0"/>
                <w:color w:val="000000"/>
                <w:lang w:val="en-US"/>
              </w:rPr>
              <w:t>Canada</w:t>
            </w:r>
          </w:p>
        </w:tc>
        <w:tc>
          <w:tcPr>
            <w:tcW w:w="1145" w:type="dxa"/>
            <w:tcBorders>
              <w:top w:val="nil"/>
              <w:bottom w:val="nil"/>
            </w:tcBorders>
          </w:tcPr>
          <w:p w14:paraId="2DC0A39C"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r w:rsidRPr="00F02BC6">
              <w:rPr>
                <w:color w:val="000000"/>
                <w:lang w:val="en-US"/>
              </w:rPr>
              <w:t>(ref)</w:t>
            </w:r>
          </w:p>
        </w:tc>
        <w:tc>
          <w:tcPr>
            <w:tcW w:w="1564" w:type="dxa"/>
            <w:tcBorders>
              <w:top w:val="nil"/>
              <w:bottom w:val="nil"/>
            </w:tcBorders>
          </w:tcPr>
          <w:p w14:paraId="52516B5E"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p>
        </w:tc>
        <w:tc>
          <w:tcPr>
            <w:tcW w:w="1000" w:type="dxa"/>
            <w:tcBorders>
              <w:top w:val="nil"/>
              <w:bottom w:val="nil"/>
              <w:right w:val="single" w:sz="4" w:space="0" w:color="auto"/>
            </w:tcBorders>
          </w:tcPr>
          <w:p w14:paraId="1890CADE"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p>
        </w:tc>
        <w:tc>
          <w:tcPr>
            <w:tcW w:w="550" w:type="dxa"/>
            <w:tcBorders>
              <w:top w:val="nil"/>
              <w:left w:val="single" w:sz="4" w:space="0" w:color="auto"/>
              <w:bottom w:val="nil"/>
            </w:tcBorders>
          </w:tcPr>
          <w:p w14:paraId="05C378B3"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p>
        </w:tc>
        <w:tc>
          <w:tcPr>
            <w:tcW w:w="1140" w:type="dxa"/>
            <w:tcBorders>
              <w:top w:val="nil"/>
              <w:bottom w:val="nil"/>
            </w:tcBorders>
          </w:tcPr>
          <w:p w14:paraId="36FA1A88"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r w:rsidRPr="00F02BC6">
              <w:rPr>
                <w:color w:val="000000"/>
                <w:lang w:val="en-US"/>
              </w:rPr>
              <w:t>(ref)</w:t>
            </w:r>
          </w:p>
        </w:tc>
        <w:tc>
          <w:tcPr>
            <w:tcW w:w="1563" w:type="dxa"/>
            <w:tcBorders>
              <w:top w:val="nil"/>
              <w:bottom w:val="nil"/>
            </w:tcBorders>
          </w:tcPr>
          <w:p w14:paraId="33D8B364"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p>
        </w:tc>
        <w:tc>
          <w:tcPr>
            <w:tcW w:w="992" w:type="dxa"/>
            <w:tcBorders>
              <w:top w:val="nil"/>
              <w:bottom w:val="nil"/>
            </w:tcBorders>
          </w:tcPr>
          <w:p w14:paraId="1B66D0F5"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p>
        </w:tc>
      </w:tr>
      <w:tr w:rsidR="00F805AF" w:rsidRPr="00F02BC6" w14:paraId="07EE6335" w14:textId="77777777" w:rsidTr="00BD1C56">
        <w:trPr>
          <w:gridAfter w:val="1"/>
          <w:wAfter w:w="18" w:type="dxa"/>
          <w:trHeight w:val="70"/>
          <w:jc w:val="center"/>
        </w:trPr>
        <w:tc>
          <w:tcPr>
            <w:cnfStyle w:val="001000000000" w:firstRow="0" w:lastRow="0" w:firstColumn="1" w:lastColumn="0" w:oddVBand="0" w:evenVBand="0" w:oddHBand="0" w:evenHBand="0" w:firstRowFirstColumn="0" w:firstRowLastColumn="0" w:lastRowFirstColumn="0" w:lastRowLastColumn="0"/>
            <w:tcW w:w="1969" w:type="dxa"/>
            <w:tcBorders>
              <w:top w:val="nil"/>
              <w:bottom w:val="nil"/>
            </w:tcBorders>
          </w:tcPr>
          <w:p w14:paraId="6E208674" w14:textId="77777777" w:rsidR="00F805AF" w:rsidRPr="00F02BC6" w:rsidRDefault="00F805AF" w:rsidP="002C63D3">
            <w:pPr>
              <w:rPr>
                <w:b w:val="0"/>
                <w:color w:val="000000"/>
                <w:lang w:val="en-US"/>
              </w:rPr>
            </w:pPr>
            <w:r w:rsidRPr="00F02BC6">
              <w:rPr>
                <w:b w:val="0"/>
                <w:color w:val="000000"/>
                <w:lang w:val="en-US"/>
              </w:rPr>
              <w:t>South Korea</w:t>
            </w:r>
          </w:p>
        </w:tc>
        <w:tc>
          <w:tcPr>
            <w:tcW w:w="1145" w:type="dxa"/>
            <w:tcBorders>
              <w:top w:val="nil"/>
              <w:bottom w:val="nil"/>
            </w:tcBorders>
          </w:tcPr>
          <w:p w14:paraId="70D31463"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r w:rsidRPr="00F02BC6">
              <w:rPr>
                <w:color w:val="000000"/>
                <w:lang w:val="en-US"/>
              </w:rPr>
              <w:t>1.15</w:t>
            </w:r>
          </w:p>
        </w:tc>
        <w:tc>
          <w:tcPr>
            <w:tcW w:w="1564" w:type="dxa"/>
            <w:tcBorders>
              <w:top w:val="nil"/>
              <w:bottom w:val="nil"/>
            </w:tcBorders>
          </w:tcPr>
          <w:p w14:paraId="6CC20ABB"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r w:rsidRPr="00F02BC6">
              <w:rPr>
                <w:color w:val="000000"/>
                <w:lang w:val="en-US"/>
              </w:rPr>
              <w:t>0.50 - 2.65</w:t>
            </w:r>
          </w:p>
        </w:tc>
        <w:tc>
          <w:tcPr>
            <w:tcW w:w="1000" w:type="dxa"/>
            <w:tcBorders>
              <w:top w:val="nil"/>
              <w:bottom w:val="nil"/>
              <w:right w:val="single" w:sz="4" w:space="0" w:color="auto"/>
            </w:tcBorders>
          </w:tcPr>
          <w:p w14:paraId="6B229002"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r w:rsidRPr="00F02BC6">
              <w:rPr>
                <w:color w:val="000000"/>
                <w:lang w:val="en-US"/>
              </w:rPr>
              <w:t>0.71</w:t>
            </w:r>
          </w:p>
        </w:tc>
        <w:tc>
          <w:tcPr>
            <w:tcW w:w="550" w:type="dxa"/>
            <w:tcBorders>
              <w:top w:val="nil"/>
              <w:left w:val="single" w:sz="4" w:space="0" w:color="auto"/>
              <w:bottom w:val="nil"/>
            </w:tcBorders>
          </w:tcPr>
          <w:p w14:paraId="27FB821B"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p>
        </w:tc>
        <w:tc>
          <w:tcPr>
            <w:tcW w:w="1140" w:type="dxa"/>
            <w:tcBorders>
              <w:top w:val="nil"/>
              <w:bottom w:val="nil"/>
            </w:tcBorders>
          </w:tcPr>
          <w:p w14:paraId="76BB1681"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r w:rsidRPr="00F02BC6">
              <w:rPr>
                <w:color w:val="000000"/>
                <w:lang w:val="en-US"/>
              </w:rPr>
              <w:t>4.85</w:t>
            </w:r>
          </w:p>
        </w:tc>
        <w:tc>
          <w:tcPr>
            <w:tcW w:w="1563" w:type="dxa"/>
            <w:tcBorders>
              <w:top w:val="nil"/>
              <w:bottom w:val="nil"/>
            </w:tcBorders>
          </w:tcPr>
          <w:p w14:paraId="025B44C2"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r w:rsidRPr="00F02BC6">
              <w:rPr>
                <w:color w:val="000000"/>
                <w:lang w:val="en-US"/>
              </w:rPr>
              <w:t>2.30 - 10.23</w:t>
            </w:r>
          </w:p>
          <w:p w14:paraId="02697D8E"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r w:rsidRPr="00F02BC6">
              <w:rPr>
                <w:color w:val="000000"/>
                <w:lang w:val="en-US"/>
              </w:rPr>
              <w:t xml:space="preserve"> </w:t>
            </w:r>
          </w:p>
        </w:tc>
        <w:tc>
          <w:tcPr>
            <w:tcW w:w="992" w:type="dxa"/>
            <w:tcBorders>
              <w:top w:val="nil"/>
              <w:bottom w:val="nil"/>
            </w:tcBorders>
          </w:tcPr>
          <w:p w14:paraId="2402511C"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r w:rsidRPr="00F02BC6">
              <w:rPr>
                <w:color w:val="000000"/>
                <w:lang w:val="en-US"/>
              </w:rPr>
              <w:t>0.004</w:t>
            </w:r>
          </w:p>
        </w:tc>
      </w:tr>
      <w:tr w:rsidR="00F805AF" w:rsidRPr="00F02BC6" w14:paraId="21634BAB" w14:textId="77777777" w:rsidTr="00BD1C56">
        <w:trPr>
          <w:gridAfter w:val="1"/>
          <w:cnfStyle w:val="000000100000" w:firstRow="0" w:lastRow="0" w:firstColumn="0" w:lastColumn="0" w:oddVBand="0" w:evenVBand="0" w:oddHBand="1" w:evenHBand="0" w:firstRowFirstColumn="0" w:firstRowLastColumn="0" w:lastRowFirstColumn="0" w:lastRowLastColumn="0"/>
          <w:wAfter w:w="18" w:type="dxa"/>
          <w:jc w:val="center"/>
        </w:trPr>
        <w:tc>
          <w:tcPr>
            <w:cnfStyle w:val="001000000000" w:firstRow="0" w:lastRow="0" w:firstColumn="1" w:lastColumn="0" w:oddVBand="0" w:evenVBand="0" w:oddHBand="0" w:evenHBand="0" w:firstRowFirstColumn="0" w:firstRowLastColumn="0" w:lastRowFirstColumn="0" w:lastRowLastColumn="0"/>
            <w:tcW w:w="1969" w:type="dxa"/>
            <w:tcBorders>
              <w:top w:val="nil"/>
              <w:bottom w:val="nil"/>
            </w:tcBorders>
          </w:tcPr>
          <w:p w14:paraId="5F609163" w14:textId="77777777" w:rsidR="00F805AF" w:rsidRPr="00F02BC6" w:rsidRDefault="00F805AF" w:rsidP="002C63D3">
            <w:pPr>
              <w:rPr>
                <w:b w:val="0"/>
                <w:color w:val="000000"/>
                <w:lang w:val="en-US"/>
              </w:rPr>
            </w:pPr>
            <w:r w:rsidRPr="00F02BC6">
              <w:rPr>
                <w:b w:val="0"/>
                <w:color w:val="000000"/>
                <w:lang w:val="en-US"/>
              </w:rPr>
              <w:t>USA</w:t>
            </w:r>
          </w:p>
        </w:tc>
        <w:tc>
          <w:tcPr>
            <w:tcW w:w="1145" w:type="dxa"/>
            <w:tcBorders>
              <w:top w:val="nil"/>
              <w:bottom w:val="nil"/>
            </w:tcBorders>
          </w:tcPr>
          <w:p w14:paraId="16B67875"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r w:rsidRPr="00F02BC6">
              <w:rPr>
                <w:color w:val="000000"/>
                <w:lang w:val="en-US"/>
              </w:rPr>
              <w:t>1.62</w:t>
            </w:r>
          </w:p>
        </w:tc>
        <w:tc>
          <w:tcPr>
            <w:tcW w:w="1564" w:type="dxa"/>
            <w:tcBorders>
              <w:top w:val="nil"/>
              <w:bottom w:val="nil"/>
            </w:tcBorders>
          </w:tcPr>
          <w:p w14:paraId="7137CCC9"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r w:rsidRPr="00F02BC6">
              <w:rPr>
                <w:color w:val="000000"/>
                <w:lang w:val="en-US"/>
              </w:rPr>
              <w:t>0.79 – 3.34</w:t>
            </w:r>
          </w:p>
        </w:tc>
        <w:tc>
          <w:tcPr>
            <w:tcW w:w="1000" w:type="dxa"/>
            <w:tcBorders>
              <w:top w:val="nil"/>
              <w:bottom w:val="nil"/>
              <w:right w:val="single" w:sz="4" w:space="0" w:color="auto"/>
            </w:tcBorders>
          </w:tcPr>
          <w:p w14:paraId="04B82246"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r w:rsidRPr="00F02BC6">
              <w:rPr>
                <w:color w:val="000000"/>
                <w:lang w:val="en-US"/>
              </w:rPr>
              <w:t>0.16</w:t>
            </w:r>
          </w:p>
        </w:tc>
        <w:tc>
          <w:tcPr>
            <w:tcW w:w="550" w:type="dxa"/>
            <w:tcBorders>
              <w:top w:val="nil"/>
              <w:left w:val="single" w:sz="4" w:space="0" w:color="auto"/>
              <w:bottom w:val="nil"/>
            </w:tcBorders>
          </w:tcPr>
          <w:p w14:paraId="27079699"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p>
        </w:tc>
        <w:tc>
          <w:tcPr>
            <w:tcW w:w="1140" w:type="dxa"/>
            <w:tcBorders>
              <w:top w:val="nil"/>
              <w:bottom w:val="nil"/>
            </w:tcBorders>
          </w:tcPr>
          <w:p w14:paraId="692923C7"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r w:rsidRPr="00F02BC6">
              <w:rPr>
                <w:color w:val="000000"/>
                <w:lang w:val="en-US"/>
              </w:rPr>
              <w:t>5.15</w:t>
            </w:r>
          </w:p>
        </w:tc>
        <w:tc>
          <w:tcPr>
            <w:tcW w:w="1563" w:type="dxa"/>
            <w:tcBorders>
              <w:top w:val="nil"/>
              <w:bottom w:val="nil"/>
            </w:tcBorders>
          </w:tcPr>
          <w:p w14:paraId="6A4E6BF9"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r w:rsidRPr="00F02BC6">
              <w:rPr>
                <w:color w:val="000000"/>
                <w:lang w:val="en-US"/>
              </w:rPr>
              <w:t>2.93 - 9.06</w:t>
            </w:r>
          </w:p>
        </w:tc>
        <w:tc>
          <w:tcPr>
            <w:tcW w:w="992" w:type="dxa"/>
            <w:tcBorders>
              <w:top w:val="nil"/>
              <w:bottom w:val="nil"/>
            </w:tcBorders>
          </w:tcPr>
          <w:p w14:paraId="5D9111C3"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r w:rsidRPr="00F02BC6">
              <w:rPr>
                <w:color w:val="000000"/>
                <w:lang w:val="en-US"/>
              </w:rPr>
              <w:t xml:space="preserve">0.001   </w:t>
            </w:r>
          </w:p>
        </w:tc>
      </w:tr>
      <w:tr w:rsidR="00F805AF" w:rsidRPr="00F02BC6" w14:paraId="1243C8AA" w14:textId="77777777" w:rsidTr="00BD1C56">
        <w:trPr>
          <w:jc w:val="center"/>
        </w:trPr>
        <w:tc>
          <w:tcPr>
            <w:cnfStyle w:val="001000000000" w:firstRow="0" w:lastRow="0" w:firstColumn="1" w:lastColumn="0" w:oddVBand="0" w:evenVBand="0" w:oddHBand="0" w:evenHBand="0" w:firstRowFirstColumn="0" w:firstRowLastColumn="0" w:lastRowFirstColumn="0" w:lastRowLastColumn="0"/>
            <w:tcW w:w="1969" w:type="dxa"/>
            <w:tcBorders>
              <w:top w:val="nil"/>
              <w:bottom w:val="nil"/>
            </w:tcBorders>
          </w:tcPr>
          <w:p w14:paraId="795AB330" w14:textId="77777777" w:rsidR="00F805AF" w:rsidRPr="00F02BC6" w:rsidRDefault="00F805AF" w:rsidP="002C63D3">
            <w:pPr>
              <w:rPr>
                <w:color w:val="000000"/>
                <w:lang w:val="en-US"/>
              </w:rPr>
            </w:pPr>
          </w:p>
        </w:tc>
        <w:tc>
          <w:tcPr>
            <w:tcW w:w="3709" w:type="dxa"/>
            <w:gridSpan w:val="3"/>
            <w:tcBorders>
              <w:top w:val="nil"/>
              <w:bottom w:val="nil"/>
              <w:right w:val="single" w:sz="4" w:space="0" w:color="auto"/>
            </w:tcBorders>
          </w:tcPr>
          <w:p w14:paraId="27993100"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r w:rsidRPr="00F02BC6">
              <w:rPr>
                <w:color w:val="000000"/>
                <w:lang w:val="en-US"/>
              </w:rPr>
              <w:t>Adjusted R</w:t>
            </w:r>
            <w:r w:rsidRPr="00F02BC6">
              <w:rPr>
                <w:color w:val="000000"/>
                <w:vertAlign w:val="superscript"/>
                <w:lang w:val="en-US"/>
              </w:rPr>
              <w:t>2</w:t>
            </w:r>
            <w:r w:rsidRPr="00F02BC6">
              <w:rPr>
                <w:color w:val="000000"/>
                <w:lang w:val="en-US"/>
              </w:rPr>
              <w:t xml:space="preserve"> = 36.45%</w:t>
            </w:r>
          </w:p>
        </w:tc>
        <w:tc>
          <w:tcPr>
            <w:tcW w:w="4263" w:type="dxa"/>
            <w:gridSpan w:val="5"/>
            <w:tcBorders>
              <w:top w:val="nil"/>
              <w:left w:val="single" w:sz="4" w:space="0" w:color="auto"/>
              <w:bottom w:val="nil"/>
            </w:tcBorders>
          </w:tcPr>
          <w:p w14:paraId="3AF98A84"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p>
        </w:tc>
      </w:tr>
      <w:tr w:rsidR="00F805AF" w:rsidRPr="00F02BC6" w14:paraId="653D61B2" w14:textId="77777777" w:rsidTr="00BD1C56">
        <w:trPr>
          <w:gridAfter w:val="1"/>
          <w:cnfStyle w:val="000000100000" w:firstRow="0" w:lastRow="0" w:firstColumn="0" w:lastColumn="0" w:oddVBand="0" w:evenVBand="0" w:oddHBand="1" w:evenHBand="0" w:firstRowFirstColumn="0" w:firstRowLastColumn="0" w:lastRowFirstColumn="0" w:lastRowLastColumn="0"/>
          <w:wAfter w:w="18" w:type="dxa"/>
          <w:jc w:val="center"/>
        </w:trPr>
        <w:tc>
          <w:tcPr>
            <w:cnfStyle w:val="001000000000" w:firstRow="0" w:lastRow="0" w:firstColumn="1" w:lastColumn="0" w:oddVBand="0" w:evenVBand="0" w:oddHBand="0" w:evenHBand="0" w:firstRowFirstColumn="0" w:firstRowLastColumn="0" w:lastRowFirstColumn="0" w:lastRowLastColumn="0"/>
            <w:tcW w:w="1969" w:type="dxa"/>
            <w:tcBorders>
              <w:top w:val="nil"/>
              <w:bottom w:val="nil"/>
            </w:tcBorders>
          </w:tcPr>
          <w:p w14:paraId="4D75EC03" w14:textId="77777777" w:rsidR="00F805AF" w:rsidRPr="00F02BC6" w:rsidRDefault="00F805AF" w:rsidP="002C63D3">
            <w:pPr>
              <w:rPr>
                <w:color w:val="000000"/>
                <w:lang w:val="en-US"/>
              </w:rPr>
            </w:pPr>
          </w:p>
        </w:tc>
        <w:tc>
          <w:tcPr>
            <w:tcW w:w="1145" w:type="dxa"/>
            <w:tcBorders>
              <w:top w:val="nil"/>
              <w:bottom w:val="nil"/>
            </w:tcBorders>
          </w:tcPr>
          <w:p w14:paraId="3FEC0927"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p>
        </w:tc>
        <w:tc>
          <w:tcPr>
            <w:tcW w:w="1564" w:type="dxa"/>
            <w:tcBorders>
              <w:top w:val="nil"/>
              <w:bottom w:val="nil"/>
            </w:tcBorders>
          </w:tcPr>
          <w:p w14:paraId="5D2803BE"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p>
        </w:tc>
        <w:tc>
          <w:tcPr>
            <w:tcW w:w="1000" w:type="dxa"/>
            <w:tcBorders>
              <w:top w:val="nil"/>
              <w:bottom w:val="nil"/>
              <w:right w:val="single" w:sz="4" w:space="0" w:color="auto"/>
            </w:tcBorders>
          </w:tcPr>
          <w:p w14:paraId="63248369"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p>
        </w:tc>
        <w:tc>
          <w:tcPr>
            <w:tcW w:w="550" w:type="dxa"/>
            <w:tcBorders>
              <w:top w:val="nil"/>
              <w:left w:val="single" w:sz="4" w:space="0" w:color="auto"/>
              <w:bottom w:val="nil"/>
            </w:tcBorders>
          </w:tcPr>
          <w:p w14:paraId="0AD248DC"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p>
        </w:tc>
        <w:tc>
          <w:tcPr>
            <w:tcW w:w="1140" w:type="dxa"/>
            <w:tcBorders>
              <w:top w:val="nil"/>
              <w:bottom w:val="nil"/>
            </w:tcBorders>
          </w:tcPr>
          <w:p w14:paraId="4041E11C"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p>
        </w:tc>
        <w:tc>
          <w:tcPr>
            <w:tcW w:w="1563" w:type="dxa"/>
            <w:tcBorders>
              <w:top w:val="nil"/>
              <w:bottom w:val="nil"/>
            </w:tcBorders>
          </w:tcPr>
          <w:p w14:paraId="3A65CA10"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p>
        </w:tc>
        <w:tc>
          <w:tcPr>
            <w:tcW w:w="992" w:type="dxa"/>
            <w:tcBorders>
              <w:top w:val="nil"/>
              <w:bottom w:val="nil"/>
            </w:tcBorders>
          </w:tcPr>
          <w:p w14:paraId="6E0587F3"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p>
        </w:tc>
      </w:tr>
      <w:tr w:rsidR="00F805AF" w:rsidRPr="00F02BC6" w14:paraId="478AD0F1" w14:textId="77777777" w:rsidTr="00BD1C56">
        <w:trPr>
          <w:gridAfter w:val="1"/>
          <w:wAfter w:w="18" w:type="dxa"/>
          <w:jc w:val="center"/>
        </w:trPr>
        <w:tc>
          <w:tcPr>
            <w:cnfStyle w:val="001000000000" w:firstRow="0" w:lastRow="0" w:firstColumn="1" w:lastColumn="0" w:oddVBand="0" w:evenVBand="0" w:oddHBand="0" w:evenHBand="0" w:firstRowFirstColumn="0" w:firstRowLastColumn="0" w:lastRowFirstColumn="0" w:lastRowLastColumn="0"/>
            <w:tcW w:w="1969" w:type="dxa"/>
            <w:tcBorders>
              <w:top w:val="nil"/>
              <w:bottom w:val="nil"/>
            </w:tcBorders>
          </w:tcPr>
          <w:p w14:paraId="7ED9E392" w14:textId="77777777" w:rsidR="00F805AF" w:rsidRPr="00F02BC6" w:rsidRDefault="00F805AF" w:rsidP="002C63D3">
            <w:pPr>
              <w:rPr>
                <w:color w:val="000000"/>
                <w:lang w:val="en-US"/>
              </w:rPr>
            </w:pPr>
            <w:r w:rsidRPr="00F02BC6">
              <w:rPr>
                <w:color w:val="000000"/>
                <w:lang w:val="en-US"/>
              </w:rPr>
              <w:t>Adjusted R</w:t>
            </w:r>
            <w:r w:rsidRPr="00F02BC6">
              <w:rPr>
                <w:color w:val="000000"/>
                <w:vertAlign w:val="superscript"/>
                <w:lang w:val="en-US"/>
              </w:rPr>
              <w:t>2</w:t>
            </w:r>
          </w:p>
        </w:tc>
        <w:tc>
          <w:tcPr>
            <w:tcW w:w="1145" w:type="dxa"/>
            <w:tcBorders>
              <w:top w:val="nil"/>
              <w:bottom w:val="nil"/>
            </w:tcBorders>
          </w:tcPr>
          <w:p w14:paraId="07FC4630"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p>
        </w:tc>
        <w:tc>
          <w:tcPr>
            <w:tcW w:w="1564" w:type="dxa"/>
            <w:tcBorders>
              <w:top w:val="nil"/>
              <w:bottom w:val="nil"/>
            </w:tcBorders>
          </w:tcPr>
          <w:p w14:paraId="741D5383"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p>
        </w:tc>
        <w:tc>
          <w:tcPr>
            <w:tcW w:w="1000" w:type="dxa"/>
            <w:tcBorders>
              <w:top w:val="nil"/>
              <w:bottom w:val="nil"/>
              <w:right w:val="single" w:sz="4" w:space="0" w:color="auto"/>
            </w:tcBorders>
          </w:tcPr>
          <w:p w14:paraId="2419ABA6"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p>
        </w:tc>
        <w:tc>
          <w:tcPr>
            <w:tcW w:w="550" w:type="dxa"/>
            <w:tcBorders>
              <w:top w:val="nil"/>
              <w:left w:val="single" w:sz="4" w:space="0" w:color="auto"/>
              <w:bottom w:val="nil"/>
            </w:tcBorders>
          </w:tcPr>
          <w:p w14:paraId="07DAB7E1"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p>
        </w:tc>
        <w:tc>
          <w:tcPr>
            <w:tcW w:w="1140" w:type="dxa"/>
            <w:tcBorders>
              <w:top w:val="nil"/>
              <w:bottom w:val="nil"/>
            </w:tcBorders>
          </w:tcPr>
          <w:p w14:paraId="6CCCEB88"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r w:rsidRPr="00F02BC6">
              <w:rPr>
                <w:color w:val="000000"/>
                <w:lang w:val="en-US"/>
              </w:rPr>
              <w:t>99.9%</w:t>
            </w:r>
          </w:p>
        </w:tc>
        <w:tc>
          <w:tcPr>
            <w:tcW w:w="1563" w:type="dxa"/>
            <w:tcBorders>
              <w:top w:val="nil"/>
              <w:bottom w:val="nil"/>
            </w:tcBorders>
          </w:tcPr>
          <w:p w14:paraId="0C74B479"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p>
        </w:tc>
        <w:tc>
          <w:tcPr>
            <w:tcW w:w="992" w:type="dxa"/>
            <w:tcBorders>
              <w:top w:val="nil"/>
              <w:bottom w:val="nil"/>
            </w:tcBorders>
          </w:tcPr>
          <w:p w14:paraId="743C475E" w14:textId="77777777" w:rsidR="00F805AF" w:rsidRPr="00F02BC6" w:rsidRDefault="00F805AF" w:rsidP="002C63D3">
            <w:pPr>
              <w:cnfStyle w:val="000000000000" w:firstRow="0" w:lastRow="0" w:firstColumn="0" w:lastColumn="0" w:oddVBand="0" w:evenVBand="0" w:oddHBand="0" w:evenHBand="0" w:firstRowFirstColumn="0" w:firstRowLastColumn="0" w:lastRowFirstColumn="0" w:lastRowLastColumn="0"/>
              <w:rPr>
                <w:color w:val="000000"/>
                <w:lang w:val="en-US"/>
              </w:rPr>
            </w:pPr>
          </w:p>
        </w:tc>
      </w:tr>
      <w:tr w:rsidR="00F805AF" w:rsidRPr="00F02BC6" w14:paraId="2211ED0C" w14:textId="77777777" w:rsidTr="00BD1C56">
        <w:trPr>
          <w:gridAfter w:val="1"/>
          <w:cnfStyle w:val="000000100000" w:firstRow="0" w:lastRow="0" w:firstColumn="0" w:lastColumn="0" w:oddVBand="0" w:evenVBand="0" w:oddHBand="1" w:evenHBand="0" w:firstRowFirstColumn="0" w:firstRowLastColumn="0" w:lastRowFirstColumn="0" w:lastRowLastColumn="0"/>
          <w:wAfter w:w="18" w:type="dxa"/>
          <w:jc w:val="center"/>
        </w:trPr>
        <w:tc>
          <w:tcPr>
            <w:cnfStyle w:val="001000000000" w:firstRow="0" w:lastRow="0" w:firstColumn="1" w:lastColumn="0" w:oddVBand="0" w:evenVBand="0" w:oddHBand="0" w:evenHBand="0" w:firstRowFirstColumn="0" w:firstRowLastColumn="0" w:lastRowFirstColumn="0" w:lastRowLastColumn="0"/>
            <w:tcW w:w="1969" w:type="dxa"/>
            <w:tcBorders>
              <w:top w:val="nil"/>
              <w:bottom w:val="single" w:sz="4" w:space="0" w:color="auto"/>
            </w:tcBorders>
          </w:tcPr>
          <w:p w14:paraId="337E87B1" w14:textId="77777777" w:rsidR="00F805AF" w:rsidRPr="00F02BC6" w:rsidRDefault="00F805AF" w:rsidP="002C63D3">
            <w:pPr>
              <w:rPr>
                <w:color w:val="000000"/>
                <w:lang w:val="en-US"/>
              </w:rPr>
            </w:pPr>
            <w:r w:rsidRPr="00F02BC6">
              <w:rPr>
                <w:color w:val="000000"/>
                <w:lang w:val="en-US"/>
              </w:rPr>
              <w:t>K</w:t>
            </w:r>
          </w:p>
        </w:tc>
        <w:tc>
          <w:tcPr>
            <w:tcW w:w="1145" w:type="dxa"/>
            <w:tcBorders>
              <w:top w:val="nil"/>
              <w:bottom w:val="single" w:sz="4" w:space="0" w:color="auto"/>
            </w:tcBorders>
          </w:tcPr>
          <w:p w14:paraId="1828587C"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p>
        </w:tc>
        <w:tc>
          <w:tcPr>
            <w:tcW w:w="1564" w:type="dxa"/>
            <w:tcBorders>
              <w:top w:val="nil"/>
              <w:bottom w:val="single" w:sz="4" w:space="0" w:color="auto"/>
            </w:tcBorders>
          </w:tcPr>
          <w:p w14:paraId="5ED755F3"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p>
        </w:tc>
        <w:tc>
          <w:tcPr>
            <w:tcW w:w="1000" w:type="dxa"/>
            <w:tcBorders>
              <w:top w:val="nil"/>
              <w:bottom w:val="single" w:sz="4" w:space="0" w:color="auto"/>
              <w:right w:val="single" w:sz="4" w:space="0" w:color="auto"/>
            </w:tcBorders>
          </w:tcPr>
          <w:p w14:paraId="0609415E"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p>
        </w:tc>
        <w:tc>
          <w:tcPr>
            <w:tcW w:w="550" w:type="dxa"/>
            <w:tcBorders>
              <w:top w:val="nil"/>
              <w:left w:val="single" w:sz="4" w:space="0" w:color="auto"/>
              <w:bottom w:val="single" w:sz="4" w:space="0" w:color="auto"/>
            </w:tcBorders>
          </w:tcPr>
          <w:p w14:paraId="2C1D70D1"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p>
        </w:tc>
        <w:tc>
          <w:tcPr>
            <w:tcW w:w="1140" w:type="dxa"/>
            <w:tcBorders>
              <w:top w:val="nil"/>
              <w:bottom w:val="single" w:sz="4" w:space="0" w:color="auto"/>
            </w:tcBorders>
          </w:tcPr>
          <w:p w14:paraId="007DC836"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r w:rsidRPr="00F02BC6">
              <w:rPr>
                <w:color w:val="000000"/>
                <w:lang w:val="en-US"/>
              </w:rPr>
              <w:t>10</w:t>
            </w:r>
          </w:p>
        </w:tc>
        <w:tc>
          <w:tcPr>
            <w:tcW w:w="1563" w:type="dxa"/>
            <w:tcBorders>
              <w:top w:val="nil"/>
              <w:bottom w:val="single" w:sz="4" w:space="0" w:color="auto"/>
            </w:tcBorders>
          </w:tcPr>
          <w:p w14:paraId="747681A0"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p>
        </w:tc>
        <w:tc>
          <w:tcPr>
            <w:tcW w:w="992" w:type="dxa"/>
            <w:tcBorders>
              <w:top w:val="nil"/>
              <w:bottom w:val="single" w:sz="4" w:space="0" w:color="auto"/>
            </w:tcBorders>
          </w:tcPr>
          <w:p w14:paraId="0157D84F" w14:textId="77777777" w:rsidR="00F805AF" w:rsidRPr="00F02BC6" w:rsidRDefault="00F805AF" w:rsidP="002C63D3">
            <w:pPr>
              <w:cnfStyle w:val="000000100000" w:firstRow="0" w:lastRow="0" w:firstColumn="0" w:lastColumn="0" w:oddVBand="0" w:evenVBand="0" w:oddHBand="1" w:evenHBand="0" w:firstRowFirstColumn="0" w:firstRowLastColumn="0" w:lastRowFirstColumn="0" w:lastRowLastColumn="0"/>
              <w:rPr>
                <w:color w:val="000000"/>
                <w:lang w:val="en-US"/>
              </w:rPr>
            </w:pPr>
          </w:p>
        </w:tc>
      </w:tr>
    </w:tbl>
    <w:p w14:paraId="24BFAE7E" w14:textId="77777777" w:rsidR="00F805AF" w:rsidRPr="00F02BC6" w:rsidRDefault="00F805AF" w:rsidP="00F805AF">
      <w:pPr>
        <w:rPr>
          <w:color w:val="000000"/>
          <w:lang w:val="en-US"/>
        </w:rPr>
      </w:pPr>
      <w:r w:rsidRPr="00F02BC6">
        <w:rPr>
          <w:color w:val="000000"/>
          <w:lang w:val="en-US"/>
        </w:rPr>
        <w:t xml:space="preserve"> </w:t>
      </w:r>
      <w:r w:rsidRPr="00F02BC6">
        <w:rPr>
          <w:i/>
          <w:color w:val="000000"/>
          <w:lang w:val="en-US"/>
        </w:rPr>
        <w:t>K</w:t>
      </w:r>
      <w:r w:rsidRPr="00F02BC6">
        <w:rPr>
          <w:color w:val="000000"/>
          <w:lang w:val="en-US"/>
        </w:rPr>
        <w:t xml:space="preserve"> is the number of studies involved in the meta-analysis</w:t>
      </w:r>
    </w:p>
    <w:p w14:paraId="3E7FB6B0" w14:textId="31E0E2C0" w:rsidR="00F805AF" w:rsidRPr="00F02BC6" w:rsidRDefault="00F805AF" w:rsidP="0067724A">
      <w:pPr>
        <w:tabs>
          <w:tab w:val="left" w:pos="1665"/>
        </w:tabs>
        <w:rPr>
          <w:color w:val="000000"/>
          <w:lang w:val="en-US"/>
        </w:rPr>
      </w:pPr>
    </w:p>
    <w:p w14:paraId="1B67B03A" w14:textId="73E057B1" w:rsidR="003E11C7" w:rsidRPr="00F02BC6" w:rsidRDefault="003E11C7" w:rsidP="0067724A">
      <w:pPr>
        <w:tabs>
          <w:tab w:val="left" w:pos="1665"/>
        </w:tabs>
        <w:rPr>
          <w:color w:val="000000"/>
          <w:lang w:val="en-US"/>
        </w:rPr>
      </w:pPr>
    </w:p>
    <w:p w14:paraId="00910B1B" w14:textId="5763AA34" w:rsidR="003E11C7" w:rsidRPr="00F02BC6" w:rsidRDefault="003E11C7" w:rsidP="0067724A">
      <w:pPr>
        <w:tabs>
          <w:tab w:val="left" w:pos="1665"/>
        </w:tabs>
        <w:rPr>
          <w:color w:val="000000"/>
          <w:lang w:val="en-US"/>
        </w:rPr>
      </w:pPr>
    </w:p>
    <w:p w14:paraId="25856ADB" w14:textId="0A6109F6" w:rsidR="003E11C7" w:rsidRPr="00F02BC6" w:rsidRDefault="003E11C7" w:rsidP="0067724A">
      <w:pPr>
        <w:tabs>
          <w:tab w:val="left" w:pos="1665"/>
        </w:tabs>
        <w:rPr>
          <w:color w:val="000000"/>
          <w:lang w:val="en-US"/>
        </w:rPr>
      </w:pPr>
    </w:p>
    <w:p w14:paraId="47C7D0E6" w14:textId="57A5D9AD" w:rsidR="003E11C7" w:rsidRPr="00F02BC6" w:rsidRDefault="003E11C7" w:rsidP="0067724A">
      <w:pPr>
        <w:tabs>
          <w:tab w:val="left" w:pos="1665"/>
        </w:tabs>
        <w:rPr>
          <w:color w:val="000000"/>
          <w:lang w:val="en-US"/>
        </w:rPr>
      </w:pPr>
    </w:p>
    <w:p w14:paraId="109C9EB0" w14:textId="63807B6F" w:rsidR="003E11C7" w:rsidRPr="00F02BC6" w:rsidRDefault="003E11C7" w:rsidP="0067724A">
      <w:pPr>
        <w:tabs>
          <w:tab w:val="left" w:pos="1665"/>
        </w:tabs>
        <w:rPr>
          <w:color w:val="000000"/>
          <w:lang w:val="en-US"/>
        </w:rPr>
      </w:pPr>
    </w:p>
    <w:p w14:paraId="530C45B0" w14:textId="18DA4E27" w:rsidR="003E11C7" w:rsidRPr="00F02BC6" w:rsidRDefault="003E11C7" w:rsidP="0067724A">
      <w:pPr>
        <w:tabs>
          <w:tab w:val="left" w:pos="1665"/>
        </w:tabs>
        <w:rPr>
          <w:color w:val="000000"/>
          <w:lang w:val="en-US"/>
        </w:rPr>
      </w:pPr>
    </w:p>
    <w:p w14:paraId="09F4E026" w14:textId="1247CB34" w:rsidR="003E11C7" w:rsidRPr="00F02BC6" w:rsidRDefault="003E11C7" w:rsidP="0067724A">
      <w:pPr>
        <w:tabs>
          <w:tab w:val="left" w:pos="1665"/>
        </w:tabs>
        <w:rPr>
          <w:color w:val="000000"/>
          <w:lang w:val="en-US"/>
        </w:rPr>
      </w:pPr>
    </w:p>
    <w:p w14:paraId="674B429C" w14:textId="4D4747C4" w:rsidR="003E11C7" w:rsidRPr="00F02BC6" w:rsidRDefault="003E11C7" w:rsidP="0067724A">
      <w:pPr>
        <w:tabs>
          <w:tab w:val="left" w:pos="1665"/>
        </w:tabs>
        <w:rPr>
          <w:color w:val="000000"/>
          <w:lang w:val="en-US"/>
        </w:rPr>
      </w:pPr>
    </w:p>
    <w:p w14:paraId="42991606" w14:textId="77777777" w:rsidR="003E11C7" w:rsidRPr="00F02BC6" w:rsidRDefault="003E11C7" w:rsidP="0067724A">
      <w:pPr>
        <w:tabs>
          <w:tab w:val="left" w:pos="1665"/>
        </w:tabs>
        <w:rPr>
          <w:color w:val="000000"/>
          <w:lang w:val="en-US"/>
        </w:rPr>
      </w:pPr>
    </w:p>
    <w:p w14:paraId="1676FEBC" w14:textId="77D40162" w:rsidR="002C63D3" w:rsidRPr="00F02BC6" w:rsidRDefault="002C63D3" w:rsidP="002C63D3">
      <w:pPr>
        <w:rPr>
          <w:color w:val="000000"/>
          <w:lang w:val="en-US"/>
        </w:rPr>
      </w:pPr>
      <w:r w:rsidRPr="00F02BC6">
        <w:rPr>
          <w:b/>
          <w:color w:val="000000"/>
          <w:lang w:val="en-US"/>
        </w:rPr>
        <w:t>Table S5: Meta regression analysis</w:t>
      </w:r>
      <w:r w:rsidRPr="00F02BC6">
        <w:rPr>
          <w:color w:val="000000"/>
          <w:lang w:val="en-US"/>
        </w:rPr>
        <w:t xml:space="preserve"> (Dependent variable: log of ORs for asthma exacerbation/ED visits</w:t>
      </w:r>
    </w:p>
    <w:tbl>
      <w:tblPr>
        <w:tblStyle w:val="PlainTable2"/>
        <w:tblW w:w="0" w:type="auto"/>
        <w:tblLook w:val="04A0" w:firstRow="1" w:lastRow="0" w:firstColumn="1" w:lastColumn="0" w:noHBand="0" w:noVBand="1"/>
      </w:tblPr>
      <w:tblGrid>
        <w:gridCol w:w="2122"/>
        <w:gridCol w:w="859"/>
        <w:gridCol w:w="1839"/>
        <w:gridCol w:w="1139"/>
        <w:gridCol w:w="544"/>
        <w:gridCol w:w="1140"/>
        <w:gridCol w:w="1571"/>
        <w:gridCol w:w="991"/>
        <w:gridCol w:w="6"/>
      </w:tblGrid>
      <w:tr w:rsidR="002C63D3" w:rsidRPr="00F02BC6" w14:paraId="43D2220B" w14:textId="77777777" w:rsidTr="00C04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tcBorders>
              <w:top w:val="single" w:sz="4" w:space="0" w:color="auto"/>
              <w:bottom w:val="nil"/>
            </w:tcBorders>
          </w:tcPr>
          <w:p w14:paraId="6E173C79"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000000"/>
                <w:bdr w:val="none" w:sz="0" w:space="0" w:color="auto" w:frame="1"/>
                <w:lang w:val="en-US" w:eastAsia="en-CA"/>
              </w:rPr>
            </w:pPr>
            <w:r w:rsidRPr="00F02BC6">
              <w:rPr>
                <w:color w:val="000000"/>
                <w:bdr w:val="none" w:sz="0" w:space="0" w:color="auto" w:frame="1"/>
                <w:lang w:val="en-US" w:eastAsia="en-CA"/>
              </w:rPr>
              <w:t>Variable</w:t>
            </w:r>
          </w:p>
        </w:tc>
        <w:tc>
          <w:tcPr>
            <w:tcW w:w="3837" w:type="dxa"/>
            <w:gridSpan w:val="3"/>
            <w:tcBorders>
              <w:top w:val="single" w:sz="4" w:space="0" w:color="auto"/>
              <w:bottom w:val="single" w:sz="4" w:space="0" w:color="auto"/>
              <w:right w:val="single" w:sz="4" w:space="0" w:color="auto"/>
            </w:tcBorders>
          </w:tcPr>
          <w:p w14:paraId="0C77E76B"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100000000000" w:firstRow="1"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Model 1 (univariate)</w:t>
            </w:r>
          </w:p>
        </w:tc>
        <w:tc>
          <w:tcPr>
            <w:tcW w:w="544" w:type="dxa"/>
            <w:tcBorders>
              <w:top w:val="single" w:sz="4" w:space="0" w:color="auto"/>
              <w:left w:val="single" w:sz="4" w:space="0" w:color="auto"/>
              <w:bottom w:val="single" w:sz="4" w:space="0" w:color="auto"/>
            </w:tcBorders>
          </w:tcPr>
          <w:p w14:paraId="6EF5B847"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100000000000" w:firstRow="1" w:lastRow="0" w:firstColumn="0" w:lastColumn="0" w:oddVBand="0" w:evenVBand="0" w:oddHBand="0" w:evenHBand="0" w:firstRowFirstColumn="0" w:firstRowLastColumn="0" w:lastRowFirstColumn="0" w:lastRowLastColumn="0"/>
              <w:rPr>
                <w:color w:val="000000"/>
                <w:bdr w:val="none" w:sz="0" w:space="0" w:color="auto" w:frame="1"/>
                <w:lang w:val="en-US" w:eastAsia="en-CA"/>
              </w:rPr>
            </w:pPr>
          </w:p>
        </w:tc>
        <w:tc>
          <w:tcPr>
            <w:tcW w:w="3708" w:type="dxa"/>
            <w:gridSpan w:val="4"/>
            <w:tcBorders>
              <w:top w:val="single" w:sz="4" w:space="0" w:color="auto"/>
              <w:bottom w:val="single" w:sz="4" w:space="0" w:color="auto"/>
            </w:tcBorders>
          </w:tcPr>
          <w:p w14:paraId="63AB75C6"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100000000000" w:firstRow="1"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Model 2 (multivariate)</w:t>
            </w:r>
          </w:p>
        </w:tc>
      </w:tr>
      <w:tr w:rsidR="002C63D3" w:rsidRPr="00F02BC6" w14:paraId="3285F7F1" w14:textId="77777777" w:rsidTr="00C041F4">
        <w:trPr>
          <w:gridAfter w:val="1"/>
          <w:cnfStyle w:val="000000100000" w:firstRow="0" w:lastRow="0" w:firstColumn="0" w:lastColumn="0" w:oddVBand="0" w:evenVBand="0" w:oddHBand="1" w:evenHBand="0" w:firstRowFirstColumn="0" w:firstRowLastColumn="0" w:lastRowFirstColumn="0" w:lastRowLastColumn="0"/>
          <w:wAfter w:w="6" w:type="dxa"/>
          <w:trHeight w:val="278"/>
        </w:trPr>
        <w:tc>
          <w:tcPr>
            <w:cnfStyle w:val="001000000000" w:firstRow="0" w:lastRow="0" w:firstColumn="1" w:lastColumn="0" w:oddVBand="0" w:evenVBand="0" w:oddHBand="0" w:evenHBand="0" w:firstRowFirstColumn="0" w:firstRowLastColumn="0" w:lastRowFirstColumn="0" w:lastRowLastColumn="0"/>
            <w:tcW w:w="2122" w:type="dxa"/>
            <w:vMerge/>
            <w:tcBorders>
              <w:top w:val="nil"/>
              <w:bottom w:val="nil"/>
            </w:tcBorders>
          </w:tcPr>
          <w:p w14:paraId="6F70D629"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000000"/>
                <w:bdr w:val="none" w:sz="0" w:space="0" w:color="auto" w:frame="1"/>
                <w:lang w:val="en-US" w:eastAsia="en-CA"/>
              </w:rPr>
            </w:pPr>
          </w:p>
        </w:tc>
        <w:tc>
          <w:tcPr>
            <w:tcW w:w="859" w:type="dxa"/>
            <w:tcBorders>
              <w:top w:val="single" w:sz="4" w:space="0" w:color="auto"/>
              <w:bottom w:val="nil"/>
            </w:tcBorders>
          </w:tcPr>
          <w:p w14:paraId="56D4DEC0"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exp(b)</w:t>
            </w:r>
          </w:p>
        </w:tc>
        <w:tc>
          <w:tcPr>
            <w:tcW w:w="1839" w:type="dxa"/>
            <w:tcBorders>
              <w:top w:val="single" w:sz="4" w:space="0" w:color="auto"/>
              <w:bottom w:val="nil"/>
            </w:tcBorders>
          </w:tcPr>
          <w:p w14:paraId="3F724F54"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95% CI</w:t>
            </w:r>
          </w:p>
        </w:tc>
        <w:tc>
          <w:tcPr>
            <w:tcW w:w="1139" w:type="dxa"/>
            <w:tcBorders>
              <w:top w:val="single" w:sz="4" w:space="0" w:color="auto"/>
              <w:bottom w:val="nil"/>
              <w:right w:val="single" w:sz="4" w:space="0" w:color="auto"/>
            </w:tcBorders>
          </w:tcPr>
          <w:p w14:paraId="1F5A32B8"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 </w:t>
            </w:r>
            <w:r w:rsidRPr="00F02BC6">
              <w:rPr>
                <w:i/>
                <w:color w:val="000000"/>
                <w:bdr w:val="none" w:sz="0" w:space="0" w:color="auto" w:frame="1"/>
                <w:lang w:val="en-US" w:eastAsia="en-CA"/>
              </w:rPr>
              <w:t>p</w:t>
            </w:r>
            <w:r w:rsidRPr="00F02BC6">
              <w:rPr>
                <w:color w:val="000000"/>
                <w:bdr w:val="none" w:sz="0" w:space="0" w:color="auto" w:frame="1"/>
                <w:lang w:val="en-US" w:eastAsia="en-CA"/>
              </w:rPr>
              <w:t>-value</w:t>
            </w:r>
          </w:p>
        </w:tc>
        <w:tc>
          <w:tcPr>
            <w:tcW w:w="544" w:type="dxa"/>
            <w:tcBorders>
              <w:top w:val="single" w:sz="4" w:space="0" w:color="auto"/>
              <w:left w:val="single" w:sz="4" w:space="0" w:color="auto"/>
              <w:bottom w:val="nil"/>
            </w:tcBorders>
          </w:tcPr>
          <w:p w14:paraId="62587138"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p>
        </w:tc>
        <w:tc>
          <w:tcPr>
            <w:tcW w:w="1140" w:type="dxa"/>
            <w:tcBorders>
              <w:top w:val="single" w:sz="4" w:space="0" w:color="auto"/>
              <w:bottom w:val="nil"/>
            </w:tcBorders>
          </w:tcPr>
          <w:p w14:paraId="75FC49E8"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exp(b)</w:t>
            </w:r>
          </w:p>
        </w:tc>
        <w:tc>
          <w:tcPr>
            <w:tcW w:w="1571" w:type="dxa"/>
            <w:tcBorders>
              <w:top w:val="single" w:sz="4" w:space="0" w:color="auto"/>
              <w:bottom w:val="nil"/>
            </w:tcBorders>
          </w:tcPr>
          <w:p w14:paraId="6AAC3DF1"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95%CI</w:t>
            </w:r>
          </w:p>
        </w:tc>
        <w:tc>
          <w:tcPr>
            <w:tcW w:w="991" w:type="dxa"/>
            <w:tcBorders>
              <w:top w:val="single" w:sz="4" w:space="0" w:color="auto"/>
              <w:bottom w:val="nil"/>
            </w:tcBorders>
          </w:tcPr>
          <w:p w14:paraId="6CD13FB5"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r w:rsidRPr="00F02BC6">
              <w:rPr>
                <w:i/>
                <w:color w:val="000000"/>
                <w:bdr w:val="none" w:sz="0" w:space="0" w:color="auto" w:frame="1"/>
                <w:lang w:val="en-US" w:eastAsia="en-CA"/>
              </w:rPr>
              <w:t>p-</w:t>
            </w:r>
            <w:r w:rsidRPr="00F02BC6">
              <w:rPr>
                <w:color w:val="000000"/>
                <w:bdr w:val="none" w:sz="0" w:space="0" w:color="auto" w:frame="1"/>
                <w:lang w:val="en-US" w:eastAsia="en-CA"/>
              </w:rPr>
              <w:t>value</w:t>
            </w:r>
          </w:p>
        </w:tc>
      </w:tr>
      <w:tr w:rsidR="002C63D3" w:rsidRPr="00F02BC6" w14:paraId="395FD46C" w14:textId="77777777" w:rsidTr="00C041F4">
        <w:trPr>
          <w:gridAfter w:val="1"/>
          <w:wAfter w:w="6" w:type="dxa"/>
        </w:trPr>
        <w:tc>
          <w:tcPr>
            <w:cnfStyle w:val="001000000000" w:firstRow="0" w:lastRow="0" w:firstColumn="1" w:lastColumn="0" w:oddVBand="0" w:evenVBand="0" w:oddHBand="0" w:evenHBand="0" w:firstRowFirstColumn="0" w:firstRowLastColumn="0" w:lastRowFirstColumn="0" w:lastRowLastColumn="0"/>
            <w:tcW w:w="2122" w:type="dxa"/>
            <w:tcBorders>
              <w:top w:val="nil"/>
              <w:bottom w:val="nil"/>
            </w:tcBorders>
          </w:tcPr>
          <w:p w14:paraId="5885B5AF"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b w:val="0"/>
                <w:color w:val="000000"/>
                <w:bdr w:val="none" w:sz="0" w:space="0" w:color="auto" w:frame="1"/>
                <w:lang w:val="en-US" w:eastAsia="en-CA"/>
              </w:rPr>
            </w:pPr>
            <w:r w:rsidRPr="00F02BC6">
              <w:rPr>
                <w:b w:val="0"/>
                <w:color w:val="000000"/>
                <w:bdr w:val="none" w:sz="0" w:space="0" w:color="auto" w:frame="1"/>
                <w:lang w:val="en-US" w:eastAsia="en-CA"/>
              </w:rPr>
              <w:t>MPR (category)</w:t>
            </w:r>
          </w:p>
        </w:tc>
        <w:tc>
          <w:tcPr>
            <w:tcW w:w="859" w:type="dxa"/>
            <w:tcBorders>
              <w:top w:val="nil"/>
              <w:bottom w:val="nil"/>
            </w:tcBorders>
          </w:tcPr>
          <w:p w14:paraId="1C97F250"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p>
        </w:tc>
        <w:tc>
          <w:tcPr>
            <w:tcW w:w="1839" w:type="dxa"/>
            <w:tcBorders>
              <w:top w:val="nil"/>
              <w:bottom w:val="nil"/>
            </w:tcBorders>
          </w:tcPr>
          <w:p w14:paraId="0C37A495"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p>
        </w:tc>
        <w:tc>
          <w:tcPr>
            <w:tcW w:w="1139" w:type="dxa"/>
            <w:tcBorders>
              <w:top w:val="nil"/>
              <w:bottom w:val="nil"/>
              <w:right w:val="single" w:sz="4" w:space="0" w:color="auto"/>
            </w:tcBorders>
          </w:tcPr>
          <w:p w14:paraId="4DB1A079"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p>
        </w:tc>
        <w:tc>
          <w:tcPr>
            <w:tcW w:w="544" w:type="dxa"/>
            <w:tcBorders>
              <w:top w:val="nil"/>
              <w:left w:val="single" w:sz="4" w:space="0" w:color="auto"/>
              <w:bottom w:val="nil"/>
            </w:tcBorders>
          </w:tcPr>
          <w:p w14:paraId="32663293"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p>
        </w:tc>
        <w:tc>
          <w:tcPr>
            <w:tcW w:w="1140" w:type="dxa"/>
            <w:tcBorders>
              <w:top w:val="nil"/>
              <w:bottom w:val="nil"/>
            </w:tcBorders>
          </w:tcPr>
          <w:p w14:paraId="15AF0B78"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p>
        </w:tc>
        <w:tc>
          <w:tcPr>
            <w:tcW w:w="1571" w:type="dxa"/>
            <w:tcBorders>
              <w:top w:val="nil"/>
              <w:bottom w:val="nil"/>
            </w:tcBorders>
          </w:tcPr>
          <w:p w14:paraId="7757BACE"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p>
        </w:tc>
        <w:tc>
          <w:tcPr>
            <w:tcW w:w="991" w:type="dxa"/>
            <w:tcBorders>
              <w:top w:val="nil"/>
              <w:bottom w:val="nil"/>
            </w:tcBorders>
          </w:tcPr>
          <w:p w14:paraId="7BA66439"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p>
        </w:tc>
      </w:tr>
      <w:tr w:rsidR="002C63D3" w:rsidRPr="00F02BC6" w14:paraId="1AC16B78" w14:textId="77777777" w:rsidTr="00C041F4">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122" w:type="dxa"/>
            <w:tcBorders>
              <w:top w:val="nil"/>
              <w:bottom w:val="nil"/>
            </w:tcBorders>
          </w:tcPr>
          <w:p w14:paraId="2C64F480"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000000"/>
                <w:bdr w:val="none" w:sz="0" w:space="0" w:color="auto" w:frame="1"/>
                <w:lang w:val="en-US" w:eastAsia="en-CA"/>
              </w:rPr>
            </w:pPr>
            <w:r w:rsidRPr="00F02BC6">
              <w:rPr>
                <w:color w:val="000000"/>
                <w:bdr w:val="none" w:sz="0" w:space="0" w:color="auto" w:frame="1"/>
                <w:lang w:val="en-US" w:eastAsia="en-CA"/>
              </w:rPr>
              <w:t>≤ 0.33</w:t>
            </w:r>
          </w:p>
        </w:tc>
        <w:tc>
          <w:tcPr>
            <w:tcW w:w="859" w:type="dxa"/>
            <w:tcBorders>
              <w:top w:val="nil"/>
              <w:bottom w:val="nil"/>
            </w:tcBorders>
          </w:tcPr>
          <w:p w14:paraId="38048DFE"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(ref)</w:t>
            </w:r>
          </w:p>
        </w:tc>
        <w:tc>
          <w:tcPr>
            <w:tcW w:w="1839" w:type="dxa"/>
            <w:tcBorders>
              <w:top w:val="nil"/>
              <w:bottom w:val="nil"/>
            </w:tcBorders>
          </w:tcPr>
          <w:p w14:paraId="21C82BA8"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p>
        </w:tc>
        <w:tc>
          <w:tcPr>
            <w:tcW w:w="1139" w:type="dxa"/>
            <w:tcBorders>
              <w:top w:val="nil"/>
              <w:bottom w:val="nil"/>
              <w:right w:val="single" w:sz="4" w:space="0" w:color="auto"/>
            </w:tcBorders>
          </w:tcPr>
          <w:p w14:paraId="173F9277"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p>
        </w:tc>
        <w:tc>
          <w:tcPr>
            <w:tcW w:w="544" w:type="dxa"/>
            <w:tcBorders>
              <w:top w:val="nil"/>
              <w:left w:val="single" w:sz="4" w:space="0" w:color="auto"/>
              <w:bottom w:val="nil"/>
            </w:tcBorders>
          </w:tcPr>
          <w:p w14:paraId="7CE2AF2D"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p>
        </w:tc>
        <w:tc>
          <w:tcPr>
            <w:tcW w:w="1140" w:type="dxa"/>
            <w:tcBorders>
              <w:top w:val="nil"/>
              <w:bottom w:val="nil"/>
            </w:tcBorders>
          </w:tcPr>
          <w:p w14:paraId="1F674A49"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(ref)</w:t>
            </w:r>
          </w:p>
        </w:tc>
        <w:tc>
          <w:tcPr>
            <w:tcW w:w="1571" w:type="dxa"/>
            <w:tcBorders>
              <w:top w:val="nil"/>
              <w:bottom w:val="nil"/>
            </w:tcBorders>
          </w:tcPr>
          <w:p w14:paraId="58998C96"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p>
        </w:tc>
        <w:tc>
          <w:tcPr>
            <w:tcW w:w="991" w:type="dxa"/>
            <w:tcBorders>
              <w:top w:val="nil"/>
              <w:bottom w:val="nil"/>
            </w:tcBorders>
          </w:tcPr>
          <w:p w14:paraId="15B34DEE"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p>
        </w:tc>
      </w:tr>
      <w:tr w:rsidR="002C63D3" w:rsidRPr="00F02BC6" w14:paraId="4BB52233" w14:textId="77777777" w:rsidTr="00C041F4">
        <w:trPr>
          <w:gridAfter w:val="1"/>
          <w:wAfter w:w="6" w:type="dxa"/>
        </w:trPr>
        <w:tc>
          <w:tcPr>
            <w:cnfStyle w:val="001000000000" w:firstRow="0" w:lastRow="0" w:firstColumn="1" w:lastColumn="0" w:oddVBand="0" w:evenVBand="0" w:oddHBand="0" w:evenHBand="0" w:firstRowFirstColumn="0" w:firstRowLastColumn="0" w:lastRowFirstColumn="0" w:lastRowLastColumn="0"/>
            <w:tcW w:w="2122" w:type="dxa"/>
            <w:tcBorders>
              <w:top w:val="nil"/>
              <w:bottom w:val="nil"/>
            </w:tcBorders>
          </w:tcPr>
          <w:p w14:paraId="0944A36D"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000000"/>
                <w:bdr w:val="none" w:sz="0" w:space="0" w:color="auto" w:frame="1"/>
                <w:lang w:val="en-US" w:eastAsia="en-CA"/>
              </w:rPr>
            </w:pPr>
            <w:r w:rsidRPr="00F02BC6">
              <w:rPr>
                <w:color w:val="000000"/>
                <w:bdr w:val="none" w:sz="0" w:space="0" w:color="auto" w:frame="1"/>
                <w:lang w:val="en-US" w:eastAsia="en-CA"/>
              </w:rPr>
              <w:t>≤0.50</w:t>
            </w:r>
          </w:p>
        </w:tc>
        <w:tc>
          <w:tcPr>
            <w:tcW w:w="859" w:type="dxa"/>
            <w:tcBorders>
              <w:top w:val="nil"/>
              <w:bottom w:val="nil"/>
            </w:tcBorders>
          </w:tcPr>
          <w:p w14:paraId="293E555B"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0.74</w:t>
            </w:r>
          </w:p>
        </w:tc>
        <w:tc>
          <w:tcPr>
            <w:tcW w:w="1839" w:type="dxa"/>
            <w:tcBorders>
              <w:top w:val="nil"/>
              <w:bottom w:val="nil"/>
            </w:tcBorders>
          </w:tcPr>
          <w:p w14:paraId="575D45D8"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0.34 – 1.60  </w:t>
            </w:r>
          </w:p>
        </w:tc>
        <w:tc>
          <w:tcPr>
            <w:tcW w:w="1139" w:type="dxa"/>
            <w:tcBorders>
              <w:top w:val="nil"/>
              <w:bottom w:val="nil"/>
              <w:right w:val="single" w:sz="4" w:space="0" w:color="auto"/>
            </w:tcBorders>
          </w:tcPr>
          <w:p w14:paraId="304D5BBE"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  0.38  </w:t>
            </w:r>
          </w:p>
        </w:tc>
        <w:tc>
          <w:tcPr>
            <w:tcW w:w="544" w:type="dxa"/>
            <w:tcBorders>
              <w:top w:val="nil"/>
              <w:left w:val="single" w:sz="4" w:space="0" w:color="auto"/>
              <w:bottom w:val="nil"/>
            </w:tcBorders>
          </w:tcPr>
          <w:p w14:paraId="22C54D8F"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p>
        </w:tc>
        <w:tc>
          <w:tcPr>
            <w:tcW w:w="1140" w:type="dxa"/>
            <w:tcBorders>
              <w:top w:val="nil"/>
              <w:bottom w:val="nil"/>
            </w:tcBorders>
          </w:tcPr>
          <w:p w14:paraId="063D3002"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1.66  </w:t>
            </w:r>
          </w:p>
        </w:tc>
        <w:tc>
          <w:tcPr>
            <w:tcW w:w="1571" w:type="dxa"/>
            <w:tcBorders>
              <w:top w:val="nil"/>
              <w:bottom w:val="nil"/>
            </w:tcBorders>
          </w:tcPr>
          <w:p w14:paraId="74677405"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1.01 - 2.76    </w:t>
            </w:r>
          </w:p>
        </w:tc>
        <w:tc>
          <w:tcPr>
            <w:tcW w:w="991" w:type="dxa"/>
            <w:tcBorders>
              <w:top w:val="nil"/>
              <w:bottom w:val="nil"/>
            </w:tcBorders>
          </w:tcPr>
          <w:p w14:paraId="3FDAE5F8"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0.049  </w:t>
            </w:r>
          </w:p>
        </w:tc>
      </w:tr>
      <w:tr w:rsidR="002C63D3" w:rsidRPr="00F02BC6" w14:paraId="4DC9A932" w14:textId="77777777" w:rsidTr="00C041F4">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122" w:type="dxa"/>
            <w:tcBorders>
              <w:top w:val="nil"/>
              <w:bottom w:val="nil"/>
            </w:tcBorders>
          </w:tcPr>
          <w:p w14:paraId="7EEDE6D3"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000000"/>
                <w:bdr w:val="none" w:sz="0" w:space="0" w:color="auto" w:frame="1"/>
                <w:lang w:val="en-US" w:eastAsia="en-CA"/>
              </w:rPr>
            </w:pPr>
            <w:r w:rsidRPr="00F02BC6">
              <w:rPr>
                <w:color w:val="000000"/>
                <w:bdr w:val="none" w:sz="0" w:space="0" w:color="auto" w:frame="1"/>
                <w:lang w:val="en-US" w:eastAsia="en-CA"/>
              </w:rPr>
              <w:t>≤0.75</w:t>
            </w:r>
          </w:p>
        </w:tc>
        <w:tc>
          <w:tcPr>
            <w:tcW w:w="859" w:type="dxa"/>
            <w:tcBorders>
              <w:top w:val="nil"/>
              <w:bottom w:val="nil"/>
            </w:tcBorders>
          </w:tcPr>
          <w:p w14:paraId="07BD26DD"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1.08 </w:t>
            </w:r>
          </w:p>
        </w:tc>
        <w:tc>
          <w:tcPr>
            <w:tcW w:w="1839" w:type="dxa"/>
            <w:tcBorders>
              <w:top w:val="nil"/>
              <w:bottom w:val="nil"/>
            </w:tcBorders>
          </w:tcPr>
          <w:p w14:paraId="7E88A9A6"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0.57 – 2.05</w:t>
            </w:r>
          </w:p>
        </w:tc>
        <w:tc>
          <w:tcPr>
            <w:tcW w:w="1139" w:type="dxa"/>
            <w:tcBorders>
              <w:top w:val="nil"/>
              <w:bottom w:val="nil"/>
              <w:right w:val="single" w:sz="4" w:space="0" w:color="auto"/>
            </w:tcBorders>
          </w:tcPr>
          <w:p w14:paraId="5BE13C70"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  0.78</w:t>
            </w:r>
          </w:p>
        </w:tc>
        <w:tc>
          <w:tcPr>
            <w:tcW w:w="544" w:type="dxa"/>
            <w:tcBorders>
              <w:top w:val="nil"/>
              <w:left w:val="single" w:sz="4" w:space="0" w:color="auto"/>
              <w:bottom w:val="nil"/>
            </w:tcBorders>
          </w:tcPr>
          <w:p w14:paraId="6AD88DB2"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p>
        </w:tc>
        <w:tc>
          <w:tcPr>
            <w:tcW w:w="1140" w:type="dxa"/>
            <w:tcBorders>
              <w:top w:val="nil"/>
              <w:bottom w:val="nil"/>
            </w:tcBorders>
          </w:tcPr>
          <w:p w14:paraId="10C0CCEB"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2.31 </w:t>
            </w:r>
          </w:p>
        </w:tc>
        <w:tc>
          <w:tcPr>
            <w:tcW w:w="1571" w:type="dxa"/>
            <w:tcBorders>
              <w:top w:val="nil"/>
              <w:bottom w:val="nil"/>
            </w:tcBorders>
          </w:tcPr>
          <w:p w14:paraId="4F821289"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1.62 – 3.29 </w:t>
            </w:r>
          </w:p>
        </w:tc>
        <w:tc>
          <w:tcPr>
            <w:tcW w:w="991" w:type="dxa"/>
            <w:tcBorders>
              <w:top w:val="nil"/>
              <w:bottom w:val="nil"/>
            </w:tcBorders>
          </w:tcPr>
          <w:p w14:paraId="4C0DF054"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0.009   </w:t>
            </w:r>
          </w:p>
        </w:tc>
      </w:tr>
      <w:tr w:rsidR="002C63D3" w:rsidRPr="00F02BC6" w14:paraId="41875319" w14:textId="77777777" w:rsidTr="00C041F4">
        <w:trPr>
          <w:gridAfter w:val="1"/>
          <w:wAfter w:w="6" w:type="dxa"/>
        </w:trPr>
        <w:tc>
          <w:tcPr>
            <w:cnfStyle w:val="001000000000" w:firstRow="0" w:lastRow="0" w:firstColumn="1" w:lastColumn="0" w:oddVBand="0" w:evenVBand="0" w:oddHBand="0" w:evenHBand="0" w:firstRowFirstColumn="0" w:firstRowLastColumn="0" w:lastRowFirstColumn="0" w:lastRowLastColumn="0"/>
            <w:tcW w:w="2122" w:type="dxa"/>
            <w:tcBorders>
              <w:top w:val="nil"/>
              <w:bottom w:val="nil"/>
            </w:tcBorders>
          </w:tcPr>
          <w:p w14:paraId="4C6CC578"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000000"/>
                <w:bdr w:val="none" w:sz="0" w:space="0" w:color="auto" w:frame="1"/>
                <w:lang w:val="en-US" w:eastAsia="en-CA"/>
              </w:rPr>
            </w:pPr>
            <w:r w:rsidRPr="00F02BC6">
              <w:rPr>
                <w:color w:val="000000"/>
                <w:bdr w:val="none" w:sz="0" w:space="0" w:color="auto" w:frame="1"/>
                <w:lang w:val="en-US" w:eastAsia="en-CA"/>
              </w:rPr>
              <w:t>≥0.80</w:t>
            </w:r>
          </w:p>
        </w:tc>
        <w:tc>
          <w:tcPr>
            <w:tcW w:w="859" w:type="dxa"/>
            <w:tcBorders>
              <w:top w:val="nil"/>
              <w:bottom w:val="nil"/>
            </w:tcBorders>
          </w:tcPr>
          <w:p w14:paraId="03E0726D"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0.65</w:t>
            </w:r>
          </w:p>
        </w:tc>
        <w:tc>
          <w:tcPr>
            <w:tcW w:w="1839" w:type="dxa"/>
            <w:tcBorders>
              <w:top w:val="nil"/>
              <w:bottom w:val="nil"/>
            </w:tcBorders>
          </w:tcPr>
          <w:p w14:paraId="54926D4E"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0.27 – 1.59</w:t>
            </w:r>
          </w:p>
        </w:tc>
        <w:tc>
          <w:tcPr>
            <w:tcW w:w="1139" w:type="dxa"/>
            <w:tcBorders>
              <w:top w:val="nil"/>
              <w:bottom w:val="nil"/>
              <w:right w:val="single" w:sz="4" w:space="0" w:color="auto"/>
            </w:tcBorders>
          </w:tcPr>
          <w:p w14:paraId="10781B89"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  0.29</w:t>
            </w:r>
          </w:p>
        </w:tc>
        <w:tc>
          <w:tcPr>
            <w:tcW w:w="544" w:type="dxa"/>
            <w:tcBorders>
              <w:top w:val="nil"/>
              <w:left w:val="single" w:sz="4" w:space="0" w:color="auto"/>
              <w:bottom w:val="nil"/>
            </w:tcBorders>
          </w:tcPr>
          <w:p w14:paraId="6AC51435"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p>
        </w:tc>
        <w:tc>
          <w:tcPr>
            <w:tcW w:w="1140" w:type="dxa"/>
            <w:tcBorders>
              <w:top w:val="nil"/>
              <w:bottom w:val="nil"/>
            </w:tcBorders>
          </w:tcPr>
          <w:p w14:paraId="25A5335C"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0.44 </w:t>
            </w:r>
          </w:p>
        </w:tc>
        <w:tc>
          <w:tcPr>
            <w:tcW w:w="1571" w:type="dxa"/>
            <w:tcBorders>
              <w:top w:val="nil"/>
              <w:bottom w:val="nil"/>
            </w:tcBorders>
          </w:tcPr>
          <w:p w14:paraId="4DB01EDF"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0.32 – 0.61  </w:t>
            </w:r>
          </w:p>
        </w:tc>
        <w:tc>
          <w:tcPr>
            <w:tcW w:w="991" w:type="dxa"/>
            <w:tcBorders>
              <w:top w:val="nil"/>
              <w:bottom w:val="nil"/>
            </w:tcBorders>
          </w:tcPr>
          <w:p w14:paraId="789D31AB"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0.002 </w:t>
            </w:r>
          </w:p>
        </w:tc>
      </w:tr>
      <w:tr w:rsidR="002C63D3" w:rsidRPr="00F02BC6" w14:paraId="2C26D184" w14:textId="77777777" w:rsidTr="00C04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bottom w:val="nil"/>
            </w:tcBorders>
          </w:tcPr>
          <w:p w14:paraId="7F8BC829"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000000"/>
                <w:bdr w:val="none" w:sz="0" w:space="0" w:color="auto" w:frame="1"/>
                <w:lang w:val="en-US" w:eastAsia="en-CA"/>
              </w:rPr>
            </w:pPr>
          </w:p>
        </w:tc>
        <w:tc>
          <w:tcPr>
            <w:tcW w:w="3837" w:type="dxa"/>
            <w:gridSpan w:val="3"/>
            <w:tcBorders>
              <w:top w:val="nil"/>
              <w:bottom w:val="nil"/>
              <w:right w:val="single" w:sz="4" w:space="0" w:color="auto"/>
            </w:tcBorders>
          </w:tcPr>
          <w:p w14:paraId="308AC42E"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Adjusted R</w:t>
            </w:r>
            <w:r w:rsidRPr="00F02BC6">
              <w:rPr>
                <w:color w:val="000000"/>
                <w:bdr w:val="none" w:sz="0" w:space="0" w:color="auto" w:frame="1"/>
                <w:vertAlign w:val="superscript"/>
                <w:lang w:val="en-US" w:eastAsia="en-CA"/>
              </w:rPr>
              <w:t>2</w:t>
            </w:r>
            <w:r w:rsidRPr="00F02BC6">
              <w:rPr>
                <w:color w:val="000000"/>
                <w:bdr w:val="none" w:sz="0" w:space="0" w:color="auto" w:frame="1"/>
                <w:lang w:val="en-US" w:eastAsia="en-CA"/>
              </w:rPr>
              <w:t xml:space="preserve"> = 37.60%</w:t>
            </w:r>
          </w:p>
        </w:tc>
        <w:tc>
          <w:tcPr>
            <w:tcW w:w="4252" w:type="dxa"/>
            <w:gridSpan w:val="5"/>
            <w:tcBorders>
              <w:top w:val="nil"/>
              <w:left w:val="single" w:sz="4" w:space="0" w:color="auto"/>
              <w:bottom w:val="nil"/>
            </w:tcBorders>
          </w:tcPr>
          <w:p w14:paraId="5694F925"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p>
        </w:tc>
      </w:tr>
      <w:tr w:rsidR="002C63D3" w:rsidRPr="00F02BC6" w14:paraId="0DA1866A" w14:textId="77777777" w:rsidTr="00C041F4">
        <w:trPr>
          <w:gridAfter w:val="1"/>
          <w:wAfter w:w="6" w:type="dxa"/>
        </w:trPr>
        <w:tc>
          <w:tcPr>
            <w:cnfStyle w:val="001000000000" w:firstRow="0" w:lastRow="0" w:firstColumn="1" w:lastColumn="0" w:oddVBand="0" w:evenVBand="0" w:oddHBand="0" w:evenHBand="0" w:firstRowFirstColumn="0" w:firstRowLastColumn="0" w:lastRowFirstColumn="0" w:lastRowLastColumn="0"/>
            <w:tcW w:w="2122" w:type="dxa"/>
            <w:tcBorders>
              <w:top w:val="nil"/>
              <w:bottom w:val="nil"/>
            </w:tcBorders>
          </w:tcPr>
          <w:p w14:paraId="68407CF5"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b w:val="0"/>
                <w:color w:val="000000"/>
                <w:bdr w:val="none" w:sz="0" w:space="0" w:color="auto" w:frame="1"/>
                <w:lang w:val="en-US" w:eastAsia="en-CA"/>
              </w:rPr>
            </w:pPr>
            <w:r w:rsidRPr="00F02BC6">
              <w:rPr>
                <w:b w:val="0"/>
                <w:color w:val="000000"/>
                <w:bdr w:val="none" w:sz="0" w:space="0" w:color="auto" w:frame="1"/>
                <w:lang w:val="en-US" w:eastAsia="en-CA"/>
              </w:rPr>
              <w:t>Age (years)</w:t>
            </w:r>
          </w:p>
        </w:tc>
        <w:tc>
          <w:tcPr>
            <w:tcW w:w="859" w:type="dxa"/>
            <w:tcBorders>
              <w:top w:val="nil"/>
              <w:bottom w:val="nil"/>
            </w:tcBorders>
          </w:tcPr>
          <w:p w14:paraId="0D06B233"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0.99          </w:t>
            </w:r>
          </w:p>
        </w:tc>
        <w:tc>
          <w:tcPr>
            <w:tcW w:w="1839" w:type="dxa"/>
            <w:tcBorders>
              <w:top w:val="nil"/>
              <w:bottom w:val="nil"/>
            </w:tcBorders>
          </w:tcPr>
          <w:p w14:paraId="54EF1748"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 0.98 – 1.00</w:t>
            </w:r>
          </w:p>
        </w:tc>
        <w:tc>
          <w:tcPr>
            <w:tcW w:w="1139" w:type="dxa"/>
            <w:tcBorders>
              <w:top w:val="nil"/>
              <w:bottom w:val="nil"/>
              <w:right w:val="single" w:sz="4" w:space="0" w:color="auto"/>
            </w:tcBorders>
          </w:tcPr>
          <w:p w14:paraId="735D0D4E"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  0.31</w:t>
            </w:r>
          </w:p>
        </w:tc>
        <w:tc>
          <w:tcPr>
            <w:tcW w:w="544" w:type="dxa"/>
            <w:tcBorders>
              <w:top w:val="nil"/>
              <w:left w:val="single" w:sz="4" w:space="0" w:color="auto"/>
              <w:bottom w:val="nil"/>
            </w:tcBorders>
          </w:tcPr>
          <w:p w14:paraId="53D4559B"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p>
        </w:tc>
        <w:tc>
          <w:tcPr>
            <w:tcW w:w="1140" w:type="dxa"/>
            <w:tcBorders>
              <w:top w:val="nil"/>
              <w:bottom w:val="nil"/>
            </w:tcBorders>
          </w:tcPr>
          <w:p w14:paraId="13E50749"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 1.00</w:t>
            </w:r>
          </w:p>
        </w:tc>
        <w:tc>
          <w:tcPr>
            <w:tcW w:w="1571" w:type="dxa"/>
            <w:tcBorders>
              <w:top w:val="nil"/>
              <w:bottom w:val="nil"/>
            </w:tcBorders>
          </w:tcPr>
          <w:p w14:paraId="5455252E"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0.99 -1.01</w:t>
            </w:r>
          </w:p>
        </w:tc>
        <w:tc>
          <w:tcPr>
            <w:tcW w:w="991" w:type="dxa"/>
            <w:tcBorders>
              <w:top w:val="nil"/>
              <w:bottom w:val="nil"/>
            </w:tcBorders>
          </w:tcPr>
          <w:p w14:paraId="61802F40"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0.753   </w:t>
            </w:r>
          </w:p>
        </w:tc>
      </w:tr>
      <w:tr w:rsidR="002C63D3" w:rsidRPr="00F02BC6" w14:paraId="41307AEA" w14:textId="77777777" w:rsidTr="00C04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bottom w:val="nil"/>
            </w:tcBorders>
          </w:tcPr>
          <w:p w14:paraId="08AE5406"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000000"/>
                <w:bdr w:val="none" w:sz="0" w:space="0" w:color="auto" w:frame="1"/>
                <w:lang w:val="en-US" w:eastAsia="en-CA"/>
              </w:rPr>
            </w:pPr>
          </w:p>
        </w:tc>
        <w:tc>
          <w:tcPr>
            <w:tcW w:w="3837" w:type="dxa"/>
            <w:gridSpan w:val="3"/>
            <w:tcBorders>
              <w:top w:val="nil"/>
              <w:bottom w:val="nil"/>
              <w:right w:val="single" w:sz="4" w:space="0" w:color="auto"/>
            </w:tcBorders>
          </w:tcPr>
          <w:p w14:paraId="22DA108C"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Adjusted R</w:t>
            </w:r>
            <w:r w:rsidRPr="00F02BC6">
              <w:rPr>
                <w:color w:val="000000"/>
                <w:bdr w:val="none" w:sz="0" w:space="0" w:color="auto" w:frame="1"/>
                <w:vertAlign w:val="superscript"/>
                <w:lang w:val="en-US" w:eastAsia="en-CA"/>
              </w:rPr>
              <w:t>2</w:t>
            </w:r>
            <w:r w:rsidRPr="00F02BC6">
              <w:rPr>
                <w:color w:val="000000"/>
                <w:bdr w:val="none" w:sz="0" w:space="0" w:color="auto" w:frame="1"/>
                <w:lang w:val="en-US" w:eastAsia="en-CA"/>
              </w:rPr>
              <w:t xml:space="preserve"> = 15.63%</w:t>
            </w:r>
          </w:p>
        </w:tc>
        <w:tc>
          <w:tcPr>
            <w:tcW w:w="4252" w:type="dxa"/>
            <w:gridSpan w:val="5"/>
            <w:tcBorders>
              <w:top w:val="nil"/>
              <w:left w:val="single" w:sz="4" w:space="0" w:color="auto"/>
              <w:bottom w:val="nil"/>
            </w:tcBorders>
          </w:tcPr>
          <w:p w14:paraId="22B97E56"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p>
        </w:tc>
      </w:tr>
      <w:tr w:rsidR="002C63D3" w:rsidRPr="00F02BC6" w14:paraId="1C467835" w14:textId="77777777" w:rsidTr="00C041F4">
        <w:trPr>
          <w:gridAfter w:val="1"/>
          <w:wAfter w:w="6" w:type="dxa"/>
        </w:trPr>
        <w:tc>
          <w:tcPr>
            <w:cnfStyle w:val="001000000000" w:firstRow="0" w:lastRow="0" w:firstColumn="1" w:lastColumn="0" w:oddVBand="0" w:evenVBand="0" w:oddHBand="0" w:evenHBand="0" w:firstRowFirstColumn="0" w:firstRowLastColumn="0" w:lastRowFirstColumn="0" w:lastRowLastColumn="0"/>
            <w:tcW w:w="2122" w:type="dxa"/>
            <w:tcBorders>
              <w:top w:val="nil"/>
              <w:bottom w:val="nil"/>
            </w:tcBorders>
          </w:tcPr>
          <w:p w14:paraId="7BE83C65"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b w:val="0"/>
                <w:color w:val="000000"/>
                <w:bdr w:val="none" w:sz="0" w:space="0" w:color="auto" w:frame="1"/>
                <w:lang w:val="en-US" w:eastAsia="en-CA"/>
              </w:rPr>
            </w:pPr>
            <w:r w:rsidRPr="00F02BC6">
              <w:rPr>
                <w:b w:val="0"/>
                <w:color w:val="000000"/>
                <w:bdr w:val="none" w:sz="0" w:space="0" w:color="auto" w:frame="1"/>
                <w:lang w:val="en-US" w:eastAsia="en-CA"/>
              </w:rPr>
              <w:t>Study Duration (m)</w:t>
            </w:r>
          </w:p>
        </w:tc>
        <w:tc>
          <w:tcPr>
            <w:tcW w:w="859" w:type="dxa"/>
            <w:tcBorders>
              <w:top w:val="nil"/>
              <w:bottom w:val="nil"/>
            </w:tcBorders>
          </w:tcPr>
          <w:p w14:paraId="1761E348"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1.00             </w:t>
            </w:r>
          </w:p>
        </w:tc>
        <w:tc>
          <w:tcPr>
            <w:tcW w:w="1839" w:type="dxa"/>
            <w:tcBorders>
              <w:top w:val="nil"/>
              <w:bottom w:val="nil"/>
            </w:tcBorders>
          </w:tcPr>
          <w:p w14:paraId="21590CE9"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 0.99 – 1.01</w:t>
            </w:r>
          </w:p>
        </w:tc>
        <w:tc>
          <w:tcPr>
            <w:tcW w:w="1139" w:type="dxa"/>
            <w:tcBorders>
              <w:top w:val="nil"/>
              <w:bottom w:val="nil"/>
              <w:right w:val="single" w:sz="4" w:space="0" w:color="auto"/>
            </w:tcBorders>
          </w:tcPr>
          <w:p w14:paraId="7051129F"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   0.77</w:t>
            </w:r>
          </w:p>
        </w:tc>
        <w:tc>
          <w:tcPr>
            <w:tcW w:w="544" w:type="dxa"/>
            <w:tcBorders>
              <w:top w:val="nil"/>
              <w:left w:val="single" w:sz="4" w:space="0" w:color="auto"/>
              <w:bottom w:val="nil"/>
            </w:tcBorders>
          </w:tcPr>
          <w:p w14:paraId="71443EA4"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p>
        </w:tc>
        <w:tc>
          <w:tcPr>
            <w:tcW w:w="1140" w:type="dxa"/>
            <w:tcBorders>
              <w:top w:val="nil"/>
              <w:bottom w:val="nil"/>
            </w:tcBorders>
          </w:tcPr>
          <w:p w14:paraId="62241489"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1.01  </w:t>
            </w:r>
          </w:p>
        </w:tc>
        <w:tc>
          <w:tcPr>
            <w:tcW w:w="1571" w:type="dxa"/>
            <w:tcBorders>
              <w:top w:val="nil"/>
              <w:bottom w:val="nil"/>
            </w:tcBorders>
          </w:tcPr>
          <w:p w14:paraId="1D34A875"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1.00-1.02</w:t>
            </w:r>
          </w:p>
        </w:tc>
        <w:tc>
          <w:tcPr>
            <w:tcW w:w="991" w:type="dxa"/>
            <w:tcBorders>
              <w:top w:val="nil"/>
              <w:bottom w:val="nil"/>
            </w:tcBorders>
          </w:tcPr>
          <w:p w14:paraId="082F5E6F"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 xml:space="preserve">0.004   </w:t>
            </w:r>
          </w:p>
        </w:tc>
      </w:tr>
      <w:tr w:rsidR="002C63D3" w:rsidRPr="00F02BC6" w14:paraId="6BA67A59" w14:textId="77777777" w:rsidTr="00C04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bottom w:val="nil"/>
            </w:tcBorders>
          </w:tcPr>
          <w:p w14:paraId="567E3F5A"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000000"/>
                <w:bdr w:val="none" w:sz="0" w:space="0" w:color="auto" w:frame="1"/>
                <w:lang w:val="en-US" w:eastAsia="en-CA"/>
              </w:rPr>
            </w:pPr>
          </w:p>
        </w:tc>
        <w:tc>
          <w:tcPr>
            <w:tcW w:w="3837" w:type="dxa"/>
            <w:gridSpan w:val="3"/>
            <w:tcBorders>
              <w:top w:val="nil"/>
              <w:bottom w:val="nil"/>
              <w:right w:val="single" w:sz="4" w:space="0" w:color="auto"/>
            </w:tcBorders>
          </w:tcPr>
          <w:p w14:paraId="44513F14"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Adjusted R</w:t>
            </w:r>
            <w:r w:rsidRPr="00F02BC6">
              <w:rPr>
                <w:color w:val="000000"/>
                <w:bdr w:val="none" w:sz="0" w:space="0" w:color="auto" w:frame="1"/>
                <w:vertAlign w:val="superscript"/>
                <w:lang w:val="en-US" w:eastAsia="en-CA"/>
              </w:rPr>
              <w:t>2</w:t>
            </w:r>
            <w:r w:rsidRPr="00F02BC6">
              <w:rPr>
                <w:color w:val="000000"/>
                <w:bdr w:val="none" w:sz="0" w:space="0" w:color="auto" w:frame="1"/>
                <w:lang w:val="en-US" w:eastAsia="en-CA"/>
              </w:rPr>
              <w:t xml:space="preserve"> = 0.80%</w:t>
            </w:r>
          </w:p>
        </w:tc>
        <w:tc>
          <w:tcPr>
            <w:tcW w:w="4252" w:type="dxa"/>
            <w:gridSpan w:val="5"/>
            <w:tcBorders>
              <w:top w:val="nil"/>
              <w:left w:val="single" w:sz="4" w:space="0" w:color="auto"/>
              <w:bottom w:val="nil"/>
            </w:tcBorders>
          </w:tcPr>
          <w:p w14:paraId="7BEDC4DE"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p>
        </w:tc>
      </w:tr>
      <w:tr w:rsidR="002C63D3" w:rsidRPr="00F02BC6" w14:paraId="153841C2" w14:textId="77777777" w:rsidTr="00C041F4">
        <w:trPr>
          <w:gridAfter w:val="1"/>
          <w:wAfter w:w="6" w:type="dxa"/>
        </w:trPr>
        <w:tc>
          <w:tcPr>
            <w:cnfStyle w:val="001000000000" w:firstRow="0" w:lastRow="0" w:firstColumn="1" w:lastColumn="0" w:oddVBand="0" w:evenVBand="0" w:oddHBand="0" w:evenHBand="0" w:firstRowFirstColumn="0" w:firstRowLastColumn="0" w:lastRowFirstColumn="0" w:lastRowLastColumn="0"/>
            <w:tcW w:w="2122" w:type="dxa"/>
            <w:tcBorders>
              <w:top w:val="nil"/>
              <w:bottom w:val="nil"/>
            </w:tcBorders>
          </w:tcPr>
          <w:p w14:paraId="6CB0925A"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000000"/>
                <w:bdr w:val="none" w:sz="0" w:space="0" w:color="auto" w:frame="1"/>
                <w:lang w:val="en-US" w:eastAsia="en-CA"/>
              </w:rPr>
            </w:pPr>
          </w:p>
        </w:tc>
        <w:tc>
          <w:tcPr>
            <w:tcW w:w="859" w:type="dxa"/>
            <w:tcBorders>
              <w:top w:val="nil"/>
              <w:bottom w:val="nil"/>
            </w:tcBorders>
          </w:tcPr>
          <w:p w14:paraId="4CEB87CC"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p>
        </w:tc>
        <w:tc>
          <w:tcPr>
            <w:tcW w:w="1839" w:type="dxa"/>
            <w:tcBorders>
              <w:top w:val="nil"/>
              <w:bottom w:val="nil"/>
            </w:tcBorders>
          </w:tcPr>
          <w:p w14:paraId="02C575C1"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p>
        </w:tc>
        <w:tc>
          <w:tcPr>
            <w:tcW w:w="1139" w:type="dxa"/>
            <w:tcBorders>
              <w:top w:val="nil"/>
              <w:bottom w:val="nil"/>
              <w:right w:val="single" w:sz="4" w:space="0" w:color="auto"/>
            </w:tcBorders>
          </w:tcPr>
          <w:p w14:paraId="6C431C04"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p>
        </w:tc>
        <w:tc>
          <w:tcPr>
            <w:tcW w:w="544" w:type="dxa"/>
            <w:tcBorders>
              <w:top w:val="nil"/>
              <w:left w:val="single" w:sz="4" w:space="0" w:color="auto"/>
              <w:bottom w:val="nil"/>
            </w:tcBorders>
          </w:tcPr>
          <w:p w14:paraId="6596BA6B"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p>
        </w:tc>
        <w:tc>
          <w:tcPr>
            <w:tcW w:w="1140" w:type="dxa"/>
            <w:tcBorders>
              <w:top w:val="nil"/>
              <w:bottom w:val="nil"/>
            </w:tcBorders>
          </w:tcPr>
          <w:p w14:paraId="627A7A1A"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p>
        </w:tc>
        <w:tc>
          <w:tcPr>
            <w:tcW w:w="1571" w:type="dxa"/>
            <w:tcBorders>
              <w:top w:val="nil"/>
              <w:bottom w:val="nil"/>
            </w:tcBorders>
          </w:tcPr>
          <w:p w14:paraId="0FAB327B"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p>
        </w:tc>
        <w:tc>
          <w:tcPr>
            <w:tcW w:w="991" w:type="dxa"/>
            <w:tcBorders>
              <w:top w:val="nil"/>
              <w:bottom w:val="nil"/>
            </w:tcBorders>
          </w:tcPr>
          <w:p w14:paraId="35BC55E7"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p>
        </w:tc>
      </w:tr>
      <w:tr w:rsidR="002C63D3" w:rsidRPr="00F02BC6" w14:paraId="1294A574" w14:textId="77777777" w:rsidTr="00C041F4">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122" w:type="dxa"/>
            <w:tcBorders>
              <w:top w:val="nil"/>
              <w:bottom w:val="nil"/>
            </w:tcBorders>
          </w:tcPr>
          <w:p w14:paraId="2A3F63DA"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000000"/>
                <w:bdr w:val="none" w:sz="0" w:space="0" w:color="auto" w:frame="1"/>
                <w:lang w:val="en-US" w:eastAsia="en-CA"/>
              </w:rPr>
            </w:pPr>
            <w:r w:rsidRPr="00F02BC6">
              <w:rPr>
                <w:color w:val="000000"/>
                <w:bdr w:val="none" w:sz="0" w:space="0" w:color="auto" w:frame="1"/>
                <w:lang w:val="en-US" w:eastAsia="en-CA"/>
              </w:rPr>
              <w:t>Adjusted R</w:t>
            </w:r>
            <w:r w:rsidRPr="00F02BC6">
              <w:rPr>
                <w:color w:val="000000"/>
                <w:bdr w:val="none" w:sz="0" w:space="0" w:color="auto" w:frame="1"/>
                <w:vertAlign w:val="superscript"/>
                <w:lang w:val="en-US" w:eastAsia="en-CA"/>
              </w:rPr>
              <w:t>2</w:t>
            </w:r>
          </w:p>
        </w:tc>
        <w:tc>
          <w:tcPr>
            <w:tcW w:w="859" w:type="dxa"/>
            <w:tcBorders>
              <w:top w:val="nil"/>
              <w:bottom w:val="nil"/>
            </w:tcBorders>
          </w:tcPr>
          <w:p w14:paraId="5CE67AC2"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p>
        </w:tc>
        <w:tc>
          <w:tcPr>
            <w:tcW w:w="1839" w:type="dxa"/>
            <w:tcBorders>
              <w:top w:val="nil"/>
              <w:bottom w:val="nil"/>
            </w:tcBorders>
          </w:tcPr>
          <w:p w14:paraId="11005925"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p>
        </w:tc>
        <w:tc>
          <w:tcPr>
            <w:tcW w:w="1139" w:type="dxa"/>
            <w:tcBorders>
              <w:top w:val="nil"/>
              <w:bottom w:val="nil"/>
              <w:right w:val="single" w:sz="4" w:space="0" w:color="auto"/>
            </w:tcBorders>
          </w:tcPr>
          <w:p w14:paraId="55688CCC"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p>
        </w:tc>
        <w:tc>
          <w:tcPr>
            <w:tcW w:w="544" w:type="dxa"/>
            <w:tcBorders>
              <w:top w:val="nil"/>
              <w:left w:val="single" w:sz="4" w:space="0" w:color="auto"/>
              <w:bottom w:val="nil"/>
            </w:tcBorders>
          </w:tcPr>
          <w:p w14:paraId="26EE5C55"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p>
        </w:tc>
        <w:tc>
          <w:tcPr>
            <w:tcW w:w="1140" w:type="dxa"/>
            <w:tcBorders>
              <w:top w:val="nil"/>
              <w:bottom w:val="nil"/>
            </w:tcBorders>
          </w:tcPr>
          <w:p w14:paraId="2158E3C6"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99.88%</w:t>
            </w:r>
          </w:p>
        </w:tc>
        <w:tc>
          <w:tcPr>
            <w:tcW w:w="1571" w:type="dxa"/>
            <w:tcBorders>
              <w:top w:val="nil"/>
              <w:bottom w:val="nil"/>
            </w:tcBorders>
          </w:tcPr>
          <w:p w14:paraId="6A26F3ED"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p>
        </w:tc>
        <w:tc>
          <w:tcPr>
            <w:tcW w:w="991" w:type="dxa"/>
            <w:tcBorders>
              <w:top w:val="nil"/>
              <w:bottom w:val="nil"/>
            </w:tcBorders>
          </w:tcPr>
          <w:p w14:paraId="7368B27F"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color w:val="000000"/>
                <w:bdr w:val="none" w:sz="0" w:space="0" w:color="auto" w:frame="1"/>
                <w:lang w:val="en-US" w:eastAsia="en-CA"/>
              </w:rPr>
            </w:pPr>
          </w:p>
        </w:tc>
      </w:tr>
      <w:tr w:rsidR="002C63D3" w:rsidRPr="00F02BC6" w14:paraId="4B7315A4" w14:textId="77777777" w:rsidTr="00C041F4">
        <w:trPr>
          <w:gridAfter w:val="1"/>
          <w:wAfter w:w="6" w:type="dxa"/>
        </w:trPr>
        <w:tc>
          <w:tcPr>
            <w:cnfStyle w:val="001000000000" w:firstRow="0" w:lastRow="0" w:firstColumn="1" w:lastColumn="0" w:oddVBand="0" w:evenVBand="0" w:oddHBand="0" w:evenHBand="0" w:firstRowFirstColumn="0" w:firstRowLastColumn="0" w:lastRowFirstColumn="0" w:lastRowLastColumn="0"/>
            <w:tcW w:w="2122" w:type="dxa"/>
            <w:tcBorders>
              <w:top w:val="nil"/>
              <w:bottom w:val="single" w:sz="4" w:space="0" w:color="auto"/>
            </w:tcBorders>
          </w:tcPr>
          <w:p w14:paraId="6B9C1B98"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000000"/>
                <w:bdr w:val="none" w:sz="0" w:space="0" w:color="auto" w:frame="1"/>
                <w:lang w:val="en-US" w:eastAsia="en-CA"/>
              </w:rPr>
            </w:pPr>
            <w:r w:rsidRPr="00F02BC6">
              <w:rPr>
                <w:color w:val="000000"/>
                <w:bdr w:val="none" w:sz="0" w:space="0" w:color="auto" w:frame="1"/>
                <w:lang w:val="en-US" w:eastAsia="en-CA"/>
              </w:rPr>
              <w:t>K</w:t>
            </w:r>
          </w:p>
        </w:tc>
        <w:tc>
          <w:tcPr>
            <w:tcW w:w="859" w:type="dxa"/>
            <w:tcBorders>
              <w:top w:val="nil"/>
              <w:bottom w:val="single" w:sz="4" w:space="0" w:color="auto"/>
            </w:tcBorders>
          </w:tcPr>
          <w:p w14:paraId="5EDB88DC"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p>
        </w:tc>
        <w:tc>
          <w:tcPr>
            <w:tcW w:w="1839" w:type="dxa"/>
            <w:tcBorders>
              <w:top w:val="nil"/>
              <w:bottom w:val="single" w:sz="4" w:space="0" w:color="auto"/>
            </w:tcBorders>
          </w:tcPr>
          <w:p w14:paraId="271E3677"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p>
        </w:tc>
        <w:tc>
          <w:tcPr>
            <w:tcW w:w="1139" w:type="dxa"/>
            <w:tcBorders>
              <w:top w:val="nil"/>
              <w:bottom w:val="single" w:sz="4" w:space="0" w:color="auto"/>
              <w:right w:val="single" w:sz="4" w:space="0" w:color="auto"/>
            </w:tcBorders>
          </w:tcPr>
          <w:p w14:paraId="4D1C4534"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p>
        </w:tc>
        <w:tc>
          <w:tcPr>
            <w:tcW w:w="544" w:type="dxa"/>
            <w:tcBorders>
              <w:top w:val="nil"/>
              <w:left w:val="single" w:sz="4" w:space="0" w:color="auto"/>
              <w:bottom w:val="single" w:sz="4" w:space="0" w:color="auto"/>
            </w:tcBorders>
          </w:tcPr>
          <w:p w14:paraId="5097AACA"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p>
        </w:tc>
        <w:tc>
          <w:tcPr>
            <w:tcW w:w="1140" w:type="dxa"/>
            <w:tcBorders>
              <w:top w:val="nil"/>
              <w:bottom w:val="single" w:sz="4" w:space="0" w:color="auto"/>
            </w:tcBorders>
          </w:tcPr>
          <w:p w14:paraId="657FEB7C"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r w:rsidRPr="00F02BC6">
              <w:rPr>
                <w:color w:val="000000"/>
                <w:bdr w:val="none" w:sz="0" w:space="0" w:color="auto" w:frame="1"/>
                <w:lang w:val="en-US" w:eastAsia="en-CA"/>
              </w:rPr>
              <w:t>10</w:t>
            </w:r>
          </w:p>
        </w:tc>
        <w:tc>
          <w:tcPr>
            <w:tcW w:w="1571" w:type="dxa"/>
            <w:tcBorders>
              <w:top w:val="nil"/>
              <w:bottom w:val="single" w:sz="4" w:space="0" w:color="auto"/>
            </w:tcBorders>
          </w:tcPr>
          <w:p w14:paraId="7779E7A8"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p>
        </w:tc>
        <w:tc>
          <w:tcPr>
            <w:tcW w:w="991" w:type="dxa"/>
            <w:tcBorders>
              <w:top w:val="nil"/>
              <w:bottom w:val="single" w:sz="4" w:space="0" w:color="auto"/>
            </w:tcBorders>
          </w:tcPr>
          <w:p w14:paraId="1AB922A7" w14:textId="77777777" w:rsidR="002C63D3" w:rsidRPr="00F02BC6" w:rsidRDefault="002C63D3"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color w:val="000000"/>
                <w:bdr w:val="none" w:sz="0" w:space="0" w:color="auto" w:frame="1"/>
                <w:lang w:val="en-US" w:eastAsia="en-CA"/>
              </w:rPr>
            </w:pPr>
          </w:p>
        </w:tc>
      </w:tr>
    </w:tbl>
    <w:p w14:paraId="10D5ADFD" w14:textId="70808E5C" w:rsidR="00F44B5D" w:rsidRPr="00F02BC6" w:rsidRDefault="00F44B5D"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00"/>
          <w:sz w:val="20"/>
          <w:szCs w:val="20"/>
          <w:bdr w:val="none" w:sz="0" w:space="0" w:color="auto" w:frame="1"/>
          <w:lang w:val="en-US" w:eastAsia="en-CA"/>
        </w:rPr>
      </w:pPr>
    </w:p>
    <w:p w14:paraId="0EE25C41" w14:textId="1CF9F4C5" w:rsidR="00F44B5D" w:rsidRPr="00F02BC6" w:rsidRDefault="00F44B5D"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00"/>
          <w:sz w:val="20"/>
          <w:szCs w:val="20"/>
          <w:bdr w:val="none" w:sz="0" w:space="0" w:color="auto" w:frame="1"/>
          <w:lang w:val="en-US" w:eastAsia="en-CA"/>
        </w:rPr>
      </w:pPr>
    </w:p>
    <w:p w14:paraId="50341D34" w14:textId="77777777" w:rsidR="00985594" w:rsidRPr="00F02BC6" w:rsidRDefault="00985594" w:rsidP="00ED28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b/>
          <w:bCs/>
          <w:color w:val="000000"/>
          <w:bdr w:val="none" w:sz="0" w:space="0" w:color="auto" w:frame="1"/>
          <w:lang w:val="en-US" w:eastAsia="en-CA"/>
        </w:rPr>
      </w:pPr>
    </w:p>
    <w:p w14:paraId="5D041176" w14:textId="77777777" w:rsidR="00706930" w:rsidRPr="00F02BC6" w:rsidRDefault="00706930" w:rsidP="00ED28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b/>
          <w:bCs/>
          <w:color w:val="000000"/>
          <w:bdr w:val="none" w:sz="0" w:space="0" w:color="auto" w:frame="1"/>
          <w:lang w:val="en-US" w:eastAsia="en-CA"/>
        </w:rPr>
      </w:pPr>
    </w:p>
    <w:p w14:paraId="355E903A" w14:textId="77777777" w:rsidR="00706930" w:rsidRPr="00F02BC6" w:rsidRDefault="00706930" w:rsidP="00ED28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b/>
          <w:bCs/>
          <w:color w:val="000000"/>
          <w:bdr w:val="none" w:sz="0" w:space="0" w:color="auto" w:frame="1"/>
          <w:lang w:val="en-US" w:eastAsia="en-CA"/>
        </w:rPr>
      </w:pPr>
    </w:p>
    <w:p w14:paraId="4CFC91F8" w14:textId="77777777" w:rsidR="00706930" w:rsidRPr="00F02BC6" w:rsidRDefault="00706930" w:rsidP="00ED28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b/>
          <w:bCs/>
          <w:color w:val="000000"/>
          <w:bdr w:val="none" w:sz="0" w:space="0" w:color="auto" w:frame="1"/>
          <w:lang w:val="en-US" w:eastAsia="en-CA"/>
        </w:rPr>
      </w:pPr>
    </w:p>
    <w:p w14:paraId="00DAF5FE" w14:textId="159605E8" w:rsidR="00706930" w:rsidRPr="00F02BC6" w:rsidRDefault="00706930" w:rsidP="00ED28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b/>
          <w:bCs/>
          <w:color w:val="000000"/>
          <w:bdr w:val="none" w:sz="0" w:space="0" w:color="auto" w:frame="1"/>
          <w:lang w:val="en-US" w:eastAsia="en-CA"/>
        </w:rPr>
      </w:pPr>
    </w:p>
    <w:p w14:paraId="376D513A" w14:textId="77D1DD88" w:rsidR="00BD1C56" w:rsidRPr="00F02BC6" w:rsidRDefault="00BD1C56" w:rsidP="00ED28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b/>
          <w:bCs/>
          <w:color w:val="000000"/>
          <w:bdr w:val="none" w:sz="0" w:space="0" w:color="auto" w:frame="1"/>
          <w:lang w:val="en-US" w:eastAsia="en-CA"/>
        </w:rPr>
      </w:pPr>
    </w:p>
    <w:p w14:paraId="492CA4D7" w14:textId="50BC9E73" w:rsidR="00BD1C56" w:rsidRPr="00F02BC6" w:rsidRDefault="00BD1C56" w:rsidP="00ED28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b/>
          <w:bCs/>
          <w:color w:val="000000"/>
          <w:bdr w:val="none" w:sz="0" w:space="0" w:color="auto" w:frame="1"/>
          <w:lang w:val="en-US" w:eastAsia="en-CA"/>
        </w:rPr>
      </w:pPr>
    </w:p>
    <w:p w14:paraId="6F179384" w14:textId="3FD5FDC6" w:rsidR="00BD1C56" w:rsidRPr="00F02BC6" w:rsidRDefault="00BD1C56" w:rsidP="00ED28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b/>
          <w:bCs/>
          <w:color w:val="000000"/>
          <w:bdr w:val="none" w:sz="0" w:space="0" w:color="auto" w:frame="1"/>
          <w:lang w:val="en-US" w:eastAsia="en-CA"/>
        </w:rPr>
      </w:pPr>
    </w:p>
    <w:p w14:paraId="20F95568" w14:textId="184E2876" w:rsidR="0056770B" w:rsidRPr="00F02BC6" w:rsidRDefault="0056770B" w:rsidP="00ED28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b/>
          <w:bCs/>
          <w:color w:val="000000"/>
          <w:bdr w:val="none" w:sz="0" w:space="0" w:color="auto" w:frame="1"/>
          <w:lang w:val="en-US" w:eastAsia="en-CA"/>
        </w:rPr>
      </w:pPr>
    </w:p>
    <w:p w14:paraId="0972FAC2" w14:textId="77777777" w:rsidR="0056770B" w:rsidRPr="00F02BC6" w:rsidRDefault="0056770B" w:rsidP="00ED28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b/>
          <w:bCs/>
          <w:color w:val="000000"/>
          <w:bdr w:val="none" w:sz="0" w:space="0" w:color="auto" w:frame="1"/>
          <w:lang w:val="en-US" w:eastAsia="en-CA"/>
        </w:rPr>
      </w:pPr>
    </w:p>
    <w:p w14:paraId="20283521" w14:textId="77777777" w:rsidR="00BD1C56" w:rsidRPr="00F02BC6" w:rsidRDefault="00BD1C56" w:rsidP="00ED28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b/>
          <w:bCs/>
          <w:color w:val="000000"/>
          <w:bdr w:val="none" w:sz="0" w:space="0" w:color="auto" w:frame="1"/>
          <w:lang w:val="en-US" w:eastAsia="en-CA"/>
        </w:rPr>
      </w:pPr>
    </w:p>
    <w:p w14:paraId="3EB5ACCD" w14:textId="77777777" w:rsidR="00A24903" w:rsidRDefault="00A24903">
      <w:pPr>
        <w:spacing w:after="160" w:line="259" w:lineRule="auto"/>
        <w:rPr>
          <w:b/>
          <w:bCs/>
          <w:color w:val="000000"/>
          <w:bdr w:val="none" w:sz="0" w:space="0" w:color="auto" w:frame="1"/>
          <w:lang w:val="en-US" w:eastAsia="en-CA"/>
        </w:rPr>
      </w:pPr>
      <w:r>
        <w:rPr>
          <w:b/>
          <w:bCs/>
          <w:color w:val="000000"/>
          <w:bdr w:val="none" w:sz="0" w:space="0" w:color="auto" w:frame="1"/>
          <w:lang w:val="en-US" w:eastAsia="en-CA"/>
        </w:rPr>
        <w:br w:type="page"/>
      </w:r>
    </w:p>
    <w:p w14:paraId="3C2FE429" w14:textId="6E83508A" w:rsidR="00F44B5D" w:rsidRPr="00F02BC6" w:rsidRDefault="00ED28B6" w:rsidP="00ED28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b/>
          <w:bCs/>
          <w:color w:val="000000"/>
          <w:bdr w:val="none" w:sz="0" w:space="0" w:color="auto" w:frame="1"/>
          <w:lang w:val="en-US" w:eastAsia="en-CA"/>
        </w:rPr>
      </w:pPr>
      <w:r w:rsidRPr="00F02BC6">
        <w:rPr>
          <w:b/>
          <w:bCs/>
          <w:color w:val="000000"/>
          <w:bdr w:val="none" w:sz="0" w:space="0" w:color="auto" w:frame="1"/>
          <w:lang w:val="en-US" w:eastAsia="en-CA"/>
        </w:rPr>
        <w:t xml:space="preserve">APPENDIX E: </w:t>
      </w:r>
      <w:r w:rsidR="00B446E8" w:rsidRPr="00F02BC6">
        <w:rPr>
          <w:b/>
          <w:bCs/>
          <w:color w:val="000000"/>
          <w:bdr w:val="none" w:sz="0" w:space="0" w:color="auto" w:frame="1"/>
          <w:lang w:val="en-US" w:eastAsia="en-CA"/>
        </w:rPr>
        <w:t>PUBLICATION BIAS TESTS</w:t>
      </w:r>
    </w:p>
    <w:p w14:paraId="589972AB" w14:textId="77777777" w:rsidR="00B446E8" w:rsidRPr="00F02BC6" w:rsidRDefault="00B446E8" w:rsidP="002C6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00"/>
          <w:sz w:val="20"/>
          <w:szCs w:val="20"/>
          <w:bdr w:val="none" w:sz="0" w:space="0" w:color="auto" w:frame="1"/>
          <w:lang w:val="en-US" w:eastAsia="en-CA"/>
        </w:rPr>
      </w:pPr>
    </w:p>
    <w:p w14:paraId="3CE73271" w14:textId="21E3E054" w:rsidR="00F44B5D" w:rsidRPr="00F02BC6" w:rsidRDefault="00F44B5D" w:rsidP="00F44B5D">
      <w:pPr>
        <w:spacing w:line="0" w:lineRule="atLeast"/>
        <w:rPr>
          <w:rFonts w:eastAsia="Arial"/>
          <w:b/>
          <w:color w:val="000000"/>
          <w:lang w:val="en-US"/>
        </w:rPr>
      </w:pPr>
      <w:r w:rsidRPr="00F02BC6">
        <w:rPr>
          <w:rFonts w:eastAsia="Arial"/>
          <w:b/>
          <w:color w:val="000000"/>
          <w:lang w:val="en-US"/>
        </w:rPr>
        <w:t>Table S6: Egger's regression intercept</w:t>
      </w:r>
    </w:p>
    <w:tbl>
      <w:tblPr>
        <w:tblW w:w="0" w:type="auto"/>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420"/>
        <w:gridCol w:w="2440"/>
      </w:tblGrid>
      <w:tr w:rsidR="00F44B5D" w:rsidRPr="00F02BC6" w14:paraId="5FE26F86" w14:textId="77777777" w:rsidTr="00F44B5D">
        <w:trPr>
          <w:trHeight w:val="184"/>
        </w:trPr>
        <w:tc>
          <w:tcPr>
            <w:tcW w:w="3420" w:type="dxa"/>
            <w:shd w:val="clear" w:color="auto" w:fill="auto"/>
            <w:vAlign w:val="bottom"/>
          </w:tcPr>
          <w:p w14:paraId="0C86E82E" w14:textId="77777777" w:rsidR="00F44B5D" w:rsidRPr="00F02BC6" w:rsidRDefault="00F44B5D" w:rsidP="00F44B5D">
            <w:pPr>
              <w:spacing w:line="0" w:lineRule="atLeast"/>
              <w:rPr>
                <w:rFonts w:eastAsia="Arial"/>
                <w:bCs/>
                <w:color w:val="000000"/>
                <w:lang w:val="en-US"/>
              </w:rPr>
            </w:pPr>
            <w:r w:rsidRPr="00F02BC6">
              <w:rPr>
                <w:rFonts w:eastAsia="Arial"/>
                <w:bCs/>
                <w:color w:val="000000"/>
                <w:lang w:val="en-US"/>
              </w:rPr>
              <w:t>Intercept</w:t>
            </w:r>
          </w:p>
        </w:tc>
        <w:tc>
          <w:tcPr>
            <w:tcW w:w="2440" w:type="dxa"/>
            <w:shd w:val="clear" w:color="auto" w:fill="auto"/>
            <w:vAlign w:val="bottom"/>
          </w:tcPr>
          <w:p w14:paraId="2E85D8FF" w14:textId="30A7964D" w:rsidR="00F44B5D" w:rsidRPr="00F02BC6" w:rsidRDefault="00F44B5D" w:rsidP="00F44B5D">
            <w:pPr>
              <w:spacing w:line="0" w:lineRule="atLeast"/>
              <w:jc w:val="right"/>
              <w:rPr>
                <w:rFonts w:eastAsia="Arial"/>
                <w:bCs/>
                <w:color w:val="000000"/>
                <w:lang w:val="en-US"/>
              </w:rPr>
            </w:pPr>
            <w:r w:rsidRPr="00F02BC6">
              <w:rPr>
                <w:rFonts w:eastAsia="Arial"/>
                <w:bCs/>
                <w:color w:val="000000"/>
                <w:lang w:val="en-US"/>
              </w:rPr>
              <w:t>0.05</w:t>
            </w:r>
            <w:r w:rsidR="004573A3" w:rsidRPr="00F02BC6">
              <w:rPr>
                <w:rFonts w:eastAsia="Arial"/>
                <w:bCs/>
                <w:color w:val="000000"/>
                <w:lang w:val="en-US"/>
              </w:rPr>
              <w:t>1</w:t>
            </w:r>
          </w:p>
        </w:tc>
      </w:tr>
      <w:tr w:rsidR="00F44B5D" w:rsidRPr="00F02BC6" w14:paraId="1A82E277" w14:textId="77777777" w:rsidTr="00F44B5D">
        <w:trPr>
          <w:trHeight w:val="240"/>
        </w:trPr>
        <w:tc>
          <w:tcPr>
            <w:tcW w:w="3420" w:type="dxa"/>
            <w:shd w:val="clear" w:color="auto" w:fill="auto"/>
            <w:vAlign w:val="bottom"/>
          </w:tcPr>
          <w:p w14:paraId="0CDD4D10" w14:textId="77777777" w:rsidR="00F44B5D" w:rsidRPr="00F02BC6" w:rsidRDefault="00F44B5D" w:rsidP="00F44B5D">
            <w:pPr>
              <w:spacing w:line="0" w:lineRule="atLeast"/>
              <w:rPr>
                <w:rFonts w:eastAsia="Arial"/>
                <w:bCs/>
                <w:color w:val="000000"/>
                <w:lang w:val="en-US"/>
              </w:rPr>
            </w:pPr>
            <w:r w:rsidRPr="00F02BC6">
              <w:rPr>
                <w:rFonts w:eastAsia="Arial"/>
                <w:bCs/>
                <w:color w:val="000000"/>
                <w:lang w:val="en-US"/>
              </w:rPr>
              <w:t>Standard error</w:t>
            </w:r>
          </w:p>
        </w:tc>
        <w:tc>
          <w:tcPr>
            <w:tcW w:w="2440" w:type="dxa"/>
            <w:shd w:val="clear" w:color="auto" w:fill="auto"/>
            <w:vAlign w:val="bottom"/>
          </w:tcPr>
          <w:p w14:paraId="20E20913" w14:textId="748C2E64" w:rsidR="00F44B5D" w:rsidRPr="00F02BC6" w:rsidRDefault="00F44B5D" w:rsidP="00F44B5D">
            <w:pPr>
              <w:spacing w:line="0" w:lineRule="atLeast"/>
              <w:jc w:val="right"/>
              <w:rPr>
                <w:rFonts w:eastAsia="Arial"/>
                <w:bCs/>
                <w:color w:val="000000"/>
                <w:lang w:val="en-US"/>
              </w:rPr>
            </w:pPr>
            <w:r w:rsidRPr="00F02BC6">
              <w:rPr>
                <w:rFonts w:eastAsia="Arial"/>
                <w:bCs/>
                <w:color w:val="000000"/>
                <w:lang w:val="en-US"/>
              </w:rPr>
              <w:t>5.24</w:t>
            </w:r>
            <w:r w:rsidR="004573A3" w:rsidRPr="00F02BC6">
              <w:rPr>
                <w:rFonts w:eastAsia="Arial"/>
                <w:bCs/>
                <w:color w:val="000000"/>
                <w:lang w:val="en-US"/>
              </w:rPr>
              <w:t>5</w:t>
            </w:r>
          </w:p>
        </w:tc>
      </w:tr>
      <w:tr w:rsidR="00F44B5D" w:rsidRPr="00F02BC6" w14:paraId="1D3988BA" w14:textId="77777777" w:rsidTr="00F44B5D">
        <w:trPr>
          <w:trHeight w:val="240"/>
        </w:trPr>
        <w:tc>
          <w:tcPr>
            <w:tcW w:w="3420" w:type="dxa"/>
            <w:shd w:val="clear" w:color="auto" w:fill="auto"/>
            <w:vAlign w:val="bottom"/>
          </w:tcPr>
          <w:p w14:paraId="2A36AA6D" w14:textId="77777777" w:rsidR="00F44B5D" w:rsidRPr="00F02BC6" w:rsidRDefault="00F44B5D" w:rsidP="00F44B5D">
            <w:pPr>
              <w:spacing w:line="0" w:lineRule="atLeast"/>
              <w:rPr>
                <w:rFonts w:eastAsia="Arial"/>
                <w:bCs/>
                <w:color w:val="000000"/>
                <w:lang w:val="en-US"/>
              </w:rPr>
            </w:pPr>
            <w:r w:rsidRPr="00F02BC6">
              <w:rPr>
                <w:rFonts w:eastAsia="Arial"/>
                <w:bCs/>
                <w:color w:val="000000"/>
                <w:lang w:val="en-US"/>
              </w:rPr>
              <w:t>95% lower limit (2-tailed)</w:t>
            </w:r>
          </w:p>
        </w:tc>
        <w:tc>
          <w:tcPr>
            <w:tcW w:w="2440" w:type="dxa"/>
            <w:shd w:val="clear" w:color="auto" w:fill="auto"/>
            <w:vAlign w:val="bottom"/>
          </w:tcPr>
          <w:p w14:paraId="0E34DE1C" w14:textId="6F074E26" w:rsidR="00F44B5D" w:rsidRPr="00F02BC6" w:rsidRDefault="00F44B5D" w:rsidP="00F44B5D">
            <w:pPr>
              <w:spacing w:line="0" w:lineRule="atLeast"/>
              <w:jc w:val="right"/>
              <w:rPr>
                <w:rFonts w:eastAsia="Arial"/>
                <w:bCs/>
                <w:color w:val="000000"/>
                <w:lang w:val="en-US"/>
              </w:rPr>
            </w:pPr>
            <w:r w:rsidRPr="00F02BC6">
              <w:rPr>
                <w:rFonts w:eastAsia="Arial"/>
                <w:bCs/>
                <w:color w:val="000000"/>
                <w:lang w:val="en-US"/>
              </w:rPr>
              <w:t>-12.044</w:t>
            </w:r>
          </w:p>
        </w:tc>
      </w:tr>
      <w:tr w:rsidR="00F44B5D" w:rsidRPr="00F02BC6" w14:paraId="3E986DEF" w14:textId="77777777" w:rsidTr="00F44B5D">
        <w:trPr>
          <w:trHeight w:val="240"/>
        </w:trPr>
        <w:tc>
          <w:tcPr>
            <w:tcW w:w="3420" w:type="dxa"/>
            <w:shd w:val="clear" w:color="auto" w:fill="auto"/>
            <w:vAlign w:val="bottom"/>
          </w:tcPr>
          <w:p w14:paraId="433F1605" w14:textId="77777777" w:rsidR="00F44B5D" w:rsidRPr="00F02BC6" w:rsidRDefault="00F44B5D" w:rsidP="00F44B5D">
            <w:pPr>
              <w:spacing w:line="0" w:lineRule="atLeast"/>
              <w:rPr>
                <w:rFonts w:eastAsia="Arial"/>
                <w:bCs/>
                <w:color w:val="000000"/>
                <w:lang w:val="en-US"/>
              </w:rPr>
            </w:pPr>
            <w:r w:rsidRPr="00F02BC6">
              <w:rPr>
                <w:rFonts w:eastAsia="Arial"/>
                <w:bCs/>
                <w:color w:val="000000"/>
                <w:lang w:val="en-US"/>
              </w:rPr>
              <w:t>95% upper limit (2-tailed)</w:t>
            </w:r>
          </w:p>
        </w:tc>
        <w:tc>
          <w:tcPr>
            <w:tcW w:w="2440" w:type="dxa"/>
            <w:shd w:val="clear" w:color="auto" w:fill="auto"/>
            <w:vAlign w:val="bottom"/>
          </w:tcPr>
          <w:p w14:paraId="663C9E79" w14:textId="78E9B9D1" w:rsidR="00F44B5D" w:rsidRPr="00F02BC6" w:rsidRDefault="00F44B5D" w:rsidP="00F44B5D">
            <w:pPr>
              <w:spacing w:line="0" w:lineRule="atLeast"/>
              <w:jc w:val="right"/>
              <w:rPr>
                <w:rFonts w:eastAsia="Arial"/>
                <w:bCs/>
                <w:color w:val="000000"/>
                <w:lang w:val="en-US"/>
              </w:rPr>
            </w:pPr>
            <w:r w:rsidRPr="00F02BC6">
              <w:rPr>
                <w:rFonts w:eastAsia="Arial"/>
                <w:bCs/>
                <w:color w:val="000000"/>
                <w:lang w:val="en-US"/>
              </w:rPr>
              <w:t>12.145</w:t>
            </w:r>
          </w:p>
        </w:tc>
      </w:tr>
      <w:tr w:rsidR="00F44B5D" w:rsidRPr="00F02BC6" w14:paraId="5CFD4582" w14:textId="77777777" w:rsidTr="00F44B5D">
        <w:trPr>
          <w:trHeight w:val="240"/>
        </w:trPr>
        <w:tc>
          <w:tcPr>
            <w:tcW w:w="3420" w:type="dxa"/>
            <w:shd w:val="clear" w:color="auto" w:fill="auto"/>
            <w:vAlign w:val="bottom"/>
          </w:tcPr>
          <w:p w14:paraId="78BE4BD4" w14:textId="77777777" w:rsidR="00F44B5D" w:rsidRPr="00F02BC6" w:rsidRDefault="00F44B5D" w:rsidP="00F44B5D">
            <w:pPr>
              <w:spacing w:line="0" w:lineRule="atLeast"/>
              <w:rPr>
                <w:rFonts w:eastAsia="Arial"/>
                <w:bCs/>
                <w:color w:val="000000"/>
                <w:lang w:val="en-US"/>
              </w:rPr>
            </w:pPr>
            <w:r w:rsidRPr="00F02BC6">
              <w:rPr>
                <w:rFonts w:eastAsia="Arial"/>
                <w:bCs/>
                <w:color w:val="000000"/>
                <w:lang w:val="en-US"/>
              </w:rPr>
              <w:t>t-value</w:t>
            </w:r>
          </w:p>
        </w:tc>
        <w:tc>
          <w:tcPr>
            <w:tcW w:w="2440" w:type="dxa"/>
            <w:shd w:val="clear" w:color="auto" w:fill="auto"/>
            <w:vAlign w:val="bottom"/>
          </w:tcPr>
          <w:p w14:paraId="376FF456" w14:textId="398A6E7A" w:rsidR="00F44B5D" w:rsidRPr="00F02BC6" w:rsidRDefault="00F44B5D" w:rsidP="00F44B5D">
            <w:pPr>
              <w:spacing w:line="0" w:lineRule="atLeast"/>
              <w:jc w:val="right"/>
              <w:rPr>
                <w:rFonts w:eastAsia="Arial"/>
                <w:bCs/>
                <w:color w:val="000000"/>
                <w:lang w:val="en-US"/>
              </w:rPr>
            </w:pPr>
            <w:r w:rsidRPr="00F02BC6">
              <w:rPr>
                <w:rFonts w:eastAsia="Arial"/>
                <w:bCs/>
                <w:color w:val="000000"/>
                <w:lang w:val="en-US"/>
              </w:rPr>
              <w:t>0.0096</w:t>
            </w:r>
          </w:p>
        </w:tc>
      </w:tr>
      <w:tr w:rsidR="00F44B5D" w:rsidRPr="00F02BC6" w14:paraId="5D943E77" w14:textId="77777777" w:rsidTr="00F44B5D">
        <w:trPr>
          <w:trHeight w:val="240"/>
        </w:trPr>
        <w:tc>
          <w:tcPr>
            <w:tcW w:w="3420" w:type="dxa"/>
            <w:shd w:val="clear" w:color="auto" w:fill="auto"/>
            <w:vAlign w:val="bottom"/>
          </w:tcPr>
          <w:p w14:paraId="7B6063E4" w14:textId="77777777" w:rsidR="00F44B5D" w:rsidRPr="00F02BC6" w:rsidRDefault="00F44B5D" w:rsidP="00F44B5D">
            <w:pPr>
              <w:spacing w:line="0" w:lineRule="atLeast"/>
              <w:rPr>
                <w:rFonts w:eastAsia="Arial"/>
                <w:bCs/>
                <w:color w:val="000000"/>
                <w:lang w:val="en-US"/>
              </w:rPr>
            </w:pPr>
            <w:r w:rsidRPr="00F02BC6">
              <w:rPr>
                <w:rFonts w:eastAsia="Arial"/>
                <w:bCs/>
                <w:color w:val="000000"/>
                <w:lang w:val="en-US"/>
              </w:rPr>
              <w:t>df</w:t>
            </w:r>
          </w:p>
        </w:tc>
        <w:tc>
          <w:tcPr>
            <w:tcW w:w="2440" w:type="dxa"/>
            <w:shd w:val="clear" w:color="auto" w:fill="auto"/>
            <w:vAlign w:val="bottom"/>
          </w:tcPr>
          <w:p w14:paraId="3BE50F99" w14:textId="654EBFA5" w:rsidR="00F44B5D" w:rsidRPr="00F02BC6" w:rsidRDefault="00F44B5D" w:rsidP="00F44B5D">
            <w:pPr>
              <w:spacing w:line="0" w:lineRule="atLeast"/>
              <w:jc w:val="right"/>
              <w:rPr>
                <w:rFonts w:eastAsia="Arial"/>
                <w:bCs/>
                <w:color w:val="000000"/>
                <w:lang w:val="en-US"/>
              </w:rPr>
            </w:pPr>
            <w:r w:rsidRPr="00F02BC6">
              <w:rPr>
                <w:rFonts w:eastAsia="Arial"/>
                <w:bCs/>
                <w:color w:val="000000"/>
                <w:lang w:val="en-US"/>
              </w:rPr>
              <w:t>8.00</w:t>
            </w:r>
            <w:r w:rsidR="004573A3" w:rsidRPr="00F02BC6">
              <w:rPr>
                <w:rFonts w:eastAsia="Arial"/>
                <w:bCs/>
                <w:color w:val="000000"/>
                <w:lang w:val="en-US"/>
              </w:rPr>
              <w:t>0</w:t>
            </w:r>
          </w:p>
        </w:tc>
      </w:tr>
      <w:tr w:rsidR="00F44B5D" w:rsidRPr="00F02BC6" w14:paraId="60D3AAA8" w14:textId="77777777" w:rsidTr="00F44B5D">
        <w:trPr>
          <w:trHeight w:val="240"/>
        </w:trPr>
        <w:tc>
          <w:tcPr>
            <w:tcW w:w="3420" w:type="dxa"/>
            <w:shd w:val="clear" w:color="auto" w:fill="auto"/>
            <w:vAlign w:val="bottom"/>
          </w:tcPr>
          <w:p w14:paraId="1B2D4BED" w14:textId="77777777" w:rsidR="00F44B5D" w:rsidRPr="00F02BC6" w:rsidRDefault="00F44B5D" w:rsidP="00F44B5D">
            <w:pPr>
              <w:spacing w:line="0" w:lineRule="atLeast"/>
              <w:rPr>
                <w:rFonts w:eastAsia="Arial"/>
                <w:bCs/>
                <w:color w:val="000000"/>
                <w:lang w:val="en-US"/>
              </w:rPr>
            </w:pPr>
            <w:r w:rsidRPr="00F02BC6">
              <w:rPr>
                <w:rFonts w:eastAsia="Arial"/>
                <w:bCs/>
                <w:color w:val="000000"/>
                <w:lang w:val="en-US"/>
              </w:rPr>
              <w:t>P-value (1-tailed)</w:t>
            </w:r>
          </w:p>
        </w:tc>
        <w:tc>
          <w:tcPr>
            <w:tcW w:w="2440" w:type="dxa"/>
            <w:shd w:val="clear" w:color="auto" w:fill="auto"/>
            <w:vAlign w:val="bottom"/>
          </w:tcPr>
          <w:p w14:paraId="33C67DC5" w14:textId="3B6B9D77" w:rsidR="00F44B5D" w:rsidRPr="00F02BC6" w:rsidRDefault="00F44B5D" w:rsidP="00F44B5D">
            <w:pPr>
              <w:spacing w:line="0" w:lineRule="atLeast"/>
              <w:jc w:val="right"/>
              <w:rPr>
                <w:rFonts w:eastAsia="Arial"/>
                <w:bCs/>
                <w:color w:val="000000"/>
                <w:lang w:val="en-US"/>
              </w:rPr>
            </w:pPr>
            <w:r w:rsidRPr="00F02BC6">
              <w:rPr>
                <w:rFonts w:eastAsia="Arial"/>
                <w:bCs/>
                <w:color w:val="000000"/>
                <w:lang w:val="en-US"/>
              </w:rPr>
              <w:t>0.496</w:t>
            </w:r>
          </w:p>
        </w:tc>
      </w:tr>
      <w:tr w:rsidR="00F44B5D" w:rsidRPr="00F02BC6" w14:paraId="1F410523" w14:textId="77777777" w:rsidTr="00F44B5D">
        <w:trPr>
          <w:trHeight w:val="240"/>
        </w:trPr>
        <w:tc>
          <w:tcPr>
            <w:tcW w:w="3420" w:type="dxa"/>
            <w:shd w:val="clear" w:color="auto" w:fill="auto"/>
            <w:vAlign w:val="bottom"/>
          </w:tcPr>
          <w:p w14:paraId="3346E2CC" w14:textId="77777777" w:rsidR="00F44B5D" w:rsidRPr="00F02BC6" w:rsidRDefault="00F44B5D" w:rsidP="00F44B5D">
            <w:pPr>
              <w:spacing w:line="0" w:lineRule="atLeast"/>
              <w:rPr>
                <w:rFonts w:eastAsia="Arial"/>
                <w:bCs/>
                <w:color w:val="000000"/>
                <w:lang w:val="en-US"/>
              </w:rPr>
            </w:pPr>
            <w:r w:rsidRPr="00F02BC6">
              <w:rPr>
                <w:rFonts w:eastAsia="Arial"/>
                <w:bCs/>
                <w:color w:val="000000"/>
                <w:lang w:val="en-US"/>
              </w:rPr>
              <w:t>P-value (2-tailed)</w:t>
            </w:r>
          </w:p>
        </w:tc>
        <w:tc>
          <w:tcPr>
            <w:tcW w:w="2440" w:type="dxa"/>
            <w:shd w:val="clear" w:color="auto" w:fill="auto"/>
            <w:vAlign w:val="bottom"/>
          </w:tcPr>
          <w:p w14:paraId="417777F0" w14:textId="2E0B404E" w:rsidR="00F44B5D" w:rsidRPr="00F02BC6" w:rsidRDefault="00F44B5D" w:rsidP="00F44B5D">
            <w:pPr>
              <w:spacing w:line="0" w:lineRule="atLeast"/>
              <w:jc w:val="right"/>
              <w:rPr>
                <w:rFonts w:eastAsia="Arial"/>
                <w:bCs/>
                <w:color w:val="000000"/>
                <w:lang w:val="en-US"/>
              </w:rPr>
            </w:pPr>
            <w:r w:rsidRPr="00F02BC6">
              <w:rPr>
                <w:rFonts w:eastAsia="Arial"/>
                <w:bCs/>
                <w:color w:val="000000"/>
                <w:lang w:val="en-US"/>
              </w:rPr>
              <w:t>0.99</w:t>
            </w:r>
            <w:r w:rsidR="004573A3" w:rsidRPr="00F02BC6">
              <w:rPr>
                <w:rFonts w:eastAsia="Arial"/>
                <w:bCs/>
                <w:color w:val="000000"/>
                <w:lang w:val="en-US"/>
              </w:rPr>
              <w:t>3</w:t>
            </w:r>
          </w:p>
        </w:tc>
      </w:tr>
    </w:tbl>
    <w:p w14:paraId="0AF0A038" w14:textId="77777777" w:rsidR="00ED28B6" w:rsidRPr="00F02BC6" w:rsidRDefault="00ED28B6" w:rsidP="0067724A">
      <w:pPr>
        <w:tabs>
          <w:tab w:val="left" w:pos="1665"/>
        </w:tabs>
        <w:rPr>
          <w:b/>
          <w:bCs/>
          <w:color w:val="000000"/>
          <w:lang w:val="en-US"/>
        </w:rPr>
      </w:pPr>
    </w:p>
    <w:p w14:paraId="7607466C" w14:textId="77777777" w:rsidR="0056770B" w:rsidRPr="00F02BC6" w:rsidRDefault="0056770B" w:rsidP="0067724A">
      <w:pPr>
        <w:tabs>
          <w:tab w:val="left" w:pos="1665"/>
        </w:tabs>
        <w:rPr>
          <w:b/>
          <w:bCs/>
          <w:color w:val="000000"/>
          <w:lang w:val="en-US"/>
        </w:rPr>
      </w:pPr>
    </w:p>
    <w:p w14:paraId="349AF1C2" w14:textId="65512BB9" w:rsidR="002C63D3" w:rsidRPr="00F02BC6" w:rsidRDefault="00F44B5D" w:rsidP="0067724A">
      <w:pPr>
        <w:tabs>
          <w:tab w:val="left" w:pos="1665"/>
        </w:tabs>
        <w:rPr>
          <w:b/>
          <w:bCs/>
          <w:color w:val="000000"/>
          <w:lang w:val="en-US"/>
        </w:rPr>
      </w:pPr>
      <w:r w:rsidRPr="00F02BC6">
        <w:rPr>
          <w:b/>
          <w:bCs/>
          <w:color w:val="000000"/>
          <w:lang w:val="en-US"/>
        </w:rPr>
        <w:t>Table S</w:t>
      </w:r>
      <w:r w:rsidR="00184E53" w:rsidRPr="00F02BC6">
        <w:rPr>
          <w:b/>
          <w:bCs/>
          <w:color w:val="000000"/>
          <w:lang w:val="en-US"/>
        </w:rPr>
        <w:t>7</w:t>
      </w:r>
      <w:r w:rsidRPr="00F02BC6">
        <w:rPr>
          <w:b/>
          <w:bCs/>
          <w:color w:val="000000"/>
          <w:lang w:val="en-US"/>
        </w:rPr>
        <w:t>: Fail-safe N tests</w:t>
      </w:r>
    </w:p>
    <w:p w14:paraId="1E40DF05" w14:textId="77777777" w:rsidR="00F44B5D" w:rsidRPr="00F02BC6" w:rsidRDefault="00F44B5D" w:rsidP="00F44B5D">
      <w:pPr>
        <w:spacing w:line="0" w:lineRule="atLeast"/>
        <w:rPr>
          <w:rFonts w:eastAsia="Arial"/>
          <w:bCs/>
          <w:color w:val="000000"/>
          <w:lang w:val="en-US"/>
        </w:rPr>
      </w:pPr>
      <w:r w:rsidRPr="00F02BC6">
        <w:rPr>
          <w:rFonts w:eastAsia="Arial"/>
          <w:bCs/>
          <w:color w:val="000000"/>
          <w:lang w:val="en-US"/>
        </w:rPr>
        <w:t>Classic fail-safe N</w:t>
      </w:r>
    </w:p>
    <w:tbl>
      <w:tblPr>
        <w:tblpPr w:leftFromText="180" w:rightFromText="180" w:vertAnchor="text" w:horzAnchor="margin" w:tblpY="261"/>
        <w:tblW w:w="0" w:type="auto"/>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4660"/>
        <w:gridCol w:w="1200"/>
      </w:tblGrid>
      <w:tr w:rsidR="00F44B5D" w:rsidRPr="00F02BC6" w14:paraId="513B21F9" w14:textId="77777777" w:rsidTr="00483C40">
        <w:trPr>
          <w:trHeight w:val="184"/>
        </w:trPr>
        <w:tc>
          <w:tcPr>
            <w:tcW w:w="4660" w:type="dxa"/>
            <w:shd w:val="clear" w:color="auto" w:fill="auto"/>
            <w:vAlign w:val="bottom"/>
          </w:tcPr>
          <w:p w14:paraId="13B1582A" w14:textId="77777777" w:rsidR="00F44B5D" w:rsidRPr="00F02BC6" w:rsidRDefault="00F44B5D" w:rsidP="00F44B5D">
            <w:pPr>
              <w:spacing w:line="0" w:lineRule="atLeast"/>
              <w:rPr>
                <w:rFonts w:eastAsia="Arial"/>
                <w:bCs/>
                <w:color w:val="000000"/>
                <w:lang w:val="en-US"/>
              </w:rPr>
            </w:pPr>
            <w:r w:rsidRPr="00F02BC6">
              <w:rPr>
                <w:rFonts w:eastAsia="Arial"/>
                <w:bCs/>
                <w:color w:val="000000"/>
                <w:lang w:val="en-US"/>
              </w:rPr>
              <w:t>Z-value for observed studies</w:t>
            </w:r>
          </w:p>
        </w:tc>
        <w:tc>
          <w:tcPr>
            <w:tcW w:w="1200" w:type="dxa"/>
            <w:shd w:val="clear" w:color="auto" w:fill="auto"/>
            <w:vAlign w:val="bottom"/>
          </w:tcPr>
          <w:p w14:paraId="159005CC" w14:textId="6F86B7BA" w:rsidR="00F44B5D" w:rsidRPr="00F02BC6" w:rsidRDefault="00F44B5D" w:rsidP="00F44B5D">
            <w:pPr>
              <w:spacing w:line="0" w:lineRule="atLeast"/>
              <w:jc w:val="right"/>
              <w:rPr>
                <w:rFonts w:eastAsia="Arial"/>
                <w:bCs/>
                <w:color w:val="000000"/>
                <w:lang w:val="en-US"/>
              </w:rPr>
            </w:pPr>
            <w:r w:rsidRPr="00F02BC6">
              <w:rPr>
                <w:rFonts w:eastAsia="Arial"/>
                <w:bCs/>
                <w:color w:val="000000"/>
                <w:lang w:val="en-US"/>
              </w:rPr>
              <w:t>94.25</w:t>
            </w:r>
            <w:r w:rsidR="004573A3" w:rsidRPr="00F02BC6">
              <w:rPr>
                <w:rFonts w:eastAsia="Arial"/>
                <w:bCs/>
                <w:color w:val="000000"/>
                <w:lang w:val="en-US"/>
              </w:rPr>
              <w:t>8</w:t>
            </w:r>
          </w:p>
        </w:tc>
      </w:tr>
      <w:tr w:rsidR="00F44B5D" w:rsidRPr="00F02BC6" w14:paraId="30EB7B5A" w14:textId="77777777" w:rsidTr="00483C40">
        <w:trPr>
          <w:trHeight w:val="343"/>
        </w:trPr>
        <w:tc>
          <w:tcPr>
            <w:tcW w:w="4660" w:type="dxa"/>
            <w:shd w:val="clear" w:color="auto" w:fill="auto"/>
            <w:vAlign w:val="bottom"/>
          </w:tcPr>
          <w:p w14:paraId="64933681" w14:textId="77777777" w:rsidR="00F44B5D" w:rsidRPr="00F02BC6" w:rsidRDefault="00F44B5D" w:rsidP="00F44B5D">
            <w:pPr>
              <w:spacing w:line="0" w:lineRule="atLeast"/>
              <w:rPr>
                <w:rFonts w:eastAsia="Arial"/>
                <w:bCs/>
                <w:color w:val="000000"/>
                <w:lang w:val="en-US"/>
              </w:rPr>
            </w:pPr>
            <w:r w:rsidRPr="00F02BC6">
              <w:rPr>
                <w:rFonts w:eastAsia="Arial"/>
                <w:bCs/>
                <w:color w:val="000000"/>
                <w:lang w:val="en-US"/>
              </w:rPr>
              <w:t>P-value for observed studies</w:t>
            </w:r>
          </w:p>
        </w:tc>
        <w:tc>
          <w:tcPr>
            <w:tcW w:w="1200" w:type="dxa"/>
            <w:shd w:val="clear" w:color="auto" w:fill="auto"/>
            <w:vAlign w:val="bottom"/>
          </w:tcPr>
          <w:p w14:paraId="7E9EE606" w14:textId="1920AE21" w:rsidR="00F44B5D" w:rsidRPr="00F02BC6" w:rsidRDefault="00F44B5D" w:rsidP="00F44B5D">
            <w:pPr>
              <w:spacing w:line="0" w:lineRule="atLeast"/>
              <w:jc w:val="right"/>
              <w:rPr>
                <w:rFonts w:eastAsia="Arial"/>
                <w:bCs/>
                <w:color w:val="000000"/>
                <w:lang w:val="en-US"/>
              </w:rPr>
            </w:pPr>
            <w:r w:rsidRPr="00F02BC6">
              <w:rPr>
                <w:rFonts w:eastAsia="Arial"/>
                <w:bCs/>
                <w:color w:val="000000"/>
                <w:lang w:val="en-US"/>
              </w:rPr>
              <w:t>0.000</w:t>
            </w:r>
          </w:p>
        </w:tc>
      </w:tr>
      <w:tr w:rsidR="00F44B5D" w:rsidRPr="00F02BC6" w14:paraId="7532345E" w14:textId="77777777" w:rsidTr="00483C40">
        <w:trPr>
          <w:trHeight w:val="346"/>
        </w:trPr>
        <w:tc>
          <w:tcPr>
            <w:tcW w:w="4660" w:type="dxa"/>
            <w:shd w:val="clear" w:color="auto" w:fill="auto"/>
            <w:vAlign w:val="bottom"/>
          </w:tcPr>
          <w:p w14:paraId="54E7F93F" w14:textId="77777777" w:rsidR="00F44B5D" w:rsidRPr="00F02BC6" w:rsidRDefault="00F44B5D" w:rsidP="00F44B5D">
            <w:pPr>
              <w:spacing w:line="0" w:lineRule="atLeast"/>
              <w:rPr>
                <w:rFonts w:eastAsia="Arial"/>
                <w:bCs/>
                <w:color w:val="000000"/>
                <w:lang w:val="en-US"/>
              </w:rPr>
            </w:pPr>
            <w:r w:rsidRPr="00F02BC6">
              <w:rPr>
                <w:rFonts w:eastAsia="Arial"/>
                <w:bCs/>
                <w:color w:val="000000"/>
                <w:lang w:val="en-US"/>
              </w:rPr>
              <w:t>Alpha</w:t>
            </w:r>
          </w:p>
        </w:tc>
        <w:tc>
          <w:tcPr>
            <w:tcW w:w="1200" w:type="dxa"/>
            <w:shd w:val="clear" w:color="auto" w:fill="auto"/>
            <w:vAlign w:val="bottom"/>
          </w:tcPr>
          <w:p w14:paraId="6251BFA6" w14:textId="3B74DDCB" w:rsidR="00F44B5D" w:rsidRPr="00F02BC6" w:rsidRDefault="00F44B5D" w:rsidP="00F44B5D">
            <w:pPr>
              <w:spacing w:line="0" w:lineRule="atLeast"/>
              <w:jc w:val="right"/>
              <w:rPr>
                <w:rFonts w:eastAsia="Arial"/>
                <w:bCs/>
                <w:color w:val="000000"/>
                <w:lang w:val="en-US"/>
              </w:rPr>
            </w:pPr>
            <w:r w:rsidRPr="00F02BC6">
              <w:rPr>
                <w:rFonts w:eastAsia="Arial"/>
                <w:bCs/>
                <w:color w:val="000000"/>
                <w:lang w:val="en-US"/>
              </w:rPr>
              <w:t>0.050</w:t>
            </w:r>
          </w:p>
        </w:tc>
      </w:tr>
      <w:tr w:rsidR="00F44B5D" w:rsidRPr="00F02BC6" w14:paraId="06D4D42F" w14:textId="77777777" w:rsidTr="00483C40">
        <w:trPr>
          <w:trHeight w:val="346"/>
        </w:trPr>
        <w:tc>
          <w:tcPr>
            <w:tcW w:w="4660" w:type="dxa"/>
            <w:shd w:val="clear" w:color="auto" w:fill="auto"/>
            <w:vAlign w:val="bottom"/>
          </w:tcPr>
          <w:p w14:paraId="220FFE06" w14:textId="77777777" w:rsidR="00F44B5D" w:rsidRPr="00F02BC6" w:rsidRDefault="00F44B5D" w:rsidP="00F44B5D">
            <w:pPr>
              <w:spacing w:line="0" w:lineRule="atLeast"/>
              <w:rPr>
                <w:rFonts w:eastAsia="Arial"/>
                <w:bCs/>
                <w:color w:val="000000"/>
                <w:lang w:val="en-US"/>
              </w:rPr>
            </w:pPr>
            <w:r w:rsidRPr="00F02BC6">
              <w:rPr>
                <w:rFonts w:eastAsia="Arial"/>
                <w:bCs/>
                <w:color w:val="000000"/>
                <w:lang w:val="en-US"/>
              </w:rPr>
              <w:t>Tails</w:t>
            </w:r>
          </w:p>
        </w:tc>
        <w:tc>
          <w:tcPr>
            <w:tcW w:w="1200" w:type="dxa"/>
            <w:shd w:val="clear" w:color="auto" w:fill="auto"/>
            <w:vAlign w:val="bottom"/>
          </w:tcPr>
          <w:p w14:paraId="5A90FA07" w14:textId="3C60608E" w:rsidR="00F44B5D" w:rsidRPr="00F02BC6" w:rsidRDefault="00F44B5D" w:rsidP="00F44B5D">
            <w:pPr>
              <w:spacing w:line="0" w:lineRule="atLeast"/>
              <w:jc w:val="right"/>
              <w:rPr>
                <w:rFonts w:eastAsia="Arial"/>
                <w:bCs/>
                <w:color w:val="000000"/>
                <w:lang w:val="en-US"/>
              </w:rPr>
            </w:pPr>
            <w:r w:rsidRPr="00F02BC6">
              <w:rPr>
                <w:rFonts w:eastAsia="Arial"/>
                <w:bCs/>
                <w:color w:val="000000"/>
                <w:lang w:val="en-US"/>
              </w:rPr>
              <w:t>2.000</w:t>
            </w:r>
          </w:p>
        </w:tc>
      </w:tr>
      <w:tr w:rsidR="00F44B5D" w:rsidRPr="00F02BC6" w14:paraId="00BFA0BF" w14:textId="77777777" w:rsidTr="00483C40">
        <w:trPr>
          <w:trHeight w:val="346"/>
        </w:trPr>
        <w:tc>
          <w:tcPr>
            <w:tcW w:w="4660" w:type="dxa"/>
            <w:shd w:val="clear" w:color="auto" w:fill="auto"/>
            <w:vAlign w:val="bottom"/>
          </w:tcPr>
          <w:p w14:paraId="2DDCC94C" w14:textId="77777777" w:rsidR="00F44B5D" w:rsidRPr="00F02BC6" w:rsidRDefault="00F44B5D" w:rsidP="00F44B5D">
            <w:pPr>
              <w:spacing w:line="0" w:lineRule="atLeast"/>
              <w:rPr>
                <w:rFonts w:eastAsia="Arial"/>
                <w:bCs/>
                <w:color w:val="000000"/>
                <w:lang w:val="en-US"/>
              </w:rPr>
            </w:pPr>
            <w:r w:rsidRPr="00F02BC6">
              <w:rPr>
                <w:rFonts w:eastAsia="Arial"/>
                <w:bCs/>
                <w:color w:val="000000"/>
                <w:lang w:val="en-US"/>
              </w:rPr>
              <w:t>Z for alpha</w:t>
            </w:r>
          </w:p>
        </w:tc>
        <w:tc>
          <w:tcPr>
            <w:tcW w:w="1200" w:type="dxa"/>
            <w:shd w:val="clear" w:color="auto" w:fill="auto"/>
            <w:vAlign w:val="bottom"/>
          </w:tcPr>
          <w:p w14:paraId="0A232142" w14:textId="374A94E1" w:rsidR="00F44B5D" w:rsidRPr="00F02BC6" w:rsidRDefault="00F44B5D" w:rsidP="00F44B5D">
            <w:pPr>
              <w:spacing w:line="0" w:lineRule="atLeast"/>
              <w:jc w:val="right"/>
              <w:rPr>
                <w:rFonts w:eastAsia="Arial"/>
                <w:bCs/>
                <w:color w:val="000000"/>
                <w:lang w:val="en-US"/>
              </w:rPr>
            </w:pPr>
            <w:r w:rsidRPr="00F02BC6">
              <w:rPr>
                <w:rFonts w:eastAsia="Arial"/>
                <w:bCs/>
                <w:color w:val="000000"/>
                <w:lang w:val="en-US"/>
              </w:rPr>
              <w:t>1.959</w:t>
            </w:r>
          </w:p>
        </w:tc>
      </w:tr>
      <w:tr w:rsidR="00F44B5D" w:rsidRPr="00F02BC6" w14:paraId="6E652E95" w14:textId="77777777" w:rsidTr="00483C40">
        <w:trPr>
          <w:trHeight w:val="343"/>
        </w:trPr>
        <w:tc>
          <w:tcPr>
            <w:tcW w:w="4660" w:type="dxa"/>
            <w:shd w:val="clear" w:color="auto" w:fill="auto"/>
            <w:vAlign w:val="bottom"/>
          </w:tcPr>
          <w:p w14:paraId="5286629A" w14:textId="77777777" w:rsidR="00F44B5D" w:rsidRPr="00F02BC6" w:rsidRDefault="00F44B5D" w:rsidP="00F44B5D">
            <w:pPr>
              <w:spacing w:line="0" w:lineRule="atLeast"/>
              <w:rPr>
                <w:rFonts w:eastAsia="Arial"/>
                <w:bCs/>
                <w:color w:val="000000"/>
                <w:lang w:val="en-US"/>
              </w:rPr>
            </w:pPr>
            <w:r w:rsidRPr="00F02BC6">
              <w:rPr>
                <w:rFonts w:eastAsia="Arial"/>
                <w:bCs/>
                <w:color w:val="000000"/>
                <w:lang w:val="en-US"/>
              </w:rPr>
              <w:t>Number of observed studies</w:t>
            </w:r>
          </w:p>
        </w:tc>
        <w:tc>
          <w:tcPr>
            <w:tcW w:w="1200" w:type="dxa"/>
            <w:shd w:val="clear" w:color="auto" w:fill="auto"/>
            <w:vAlign w:val="bottom"/>
          </w:tcPr>
          <w:p w14:paraId="08819607" w14:textId="4A93B2DC" w:rsidR="00F44B5D" w:rsidRPr="00F02BC6" w:rsidRDefault="00F44B5D" w:rsidP="00F44B5D">
            <w:pPr>
              <w:spacing w:line="0" w:lineRule="atLeast"/>
              <w:jc w:val="right"/>
              <w:rPr>
                <w:rFonts w:eastAsia="Arial"/>
                <w:bCs/>
                <w:color w:val="000000"/>
                <w:lang w:val="en-US"/>
              </w:rPr>
            </w:pPr>
            <w:r w:rsidRPr="00F02BC6">
              <w:rPr>
                <w:rFonts w:eastAsia="Arial"/>
                <w:bCs/>
                <w:color w:val="000000"/>
                <w:lang w:val="en-US"/>
              </w:rPr>
              <w:t>10.000</w:t>
            </w:r>
          </w:p>
        </w:tc>
      </w:tr>
      <w:tr w:rsidR="00F44B5D" w:rsidRPr="00F02BC6" w14:paraId="4951CFED" w14:textId="77777777" w:rsidTr="00483C40">
        <w:trPr>
          <w:trHeight w:val="346"/>
        </w:trPr>
        <w:tc>
          <w:tcPr>
            <w:tcW w:w="4660" w:type="dxa"/>
            <w:shd w:val="clear" w:color="auto" w:fill="auto"/>
            <w:vAlign w:val="bottom"/>
          </w:tcPr>
          <w:p w14:paraId="3AB8F221" w14:textId="77777777" w:rsidR="00F44B5D" w:rsidRPr="00F02BC6" w:rsidRDefault="00F44B5D" w:rsidP="00F44B5D">
            <w:pPr>
              <w:spacing w:line="0" w:lineRule="atLeast"/>
              <w:rPr>
                <w:rFonts w:eastAsia="Arial"/>
                <w:bCs/>
                <w:color w:val="000000"/>
                <w:w w:val="97"/>
                <w:lang w:val="en-US"/>
              </w:rPr>
            </w:pPr>
            <w:r w:rsidRPr="00F02BC6">
              <w:rPr>
                <w:rFonts w:eastAsia="Arial"/>
                <w:bCs/>
                <w:color w:val="000000"/>
                <w:w w:val="97"/>
                <w:lang w:val="en-US"/>
              </w:rPr>
              <w:t>Number of missing studies that would bring p-value to &gt; alpha</w:t>
            </w:r>
          </w:p>
        </w:tc>
        <w:tc>
          <w:tcPr>
            <w:tcW w:w="1200" w:type="dxa"/>
            <w:shd w:val="clear" w:color="auto" w:fill="auto"/>
            <w:vAlign w:val="bottom"/>
          </w:tcPr>
          <w:p w14:paraId="642DBA52" w14:textId="2C896CC8" w:rsidR="00F44B5D" w:rsidRPr="00F02BC6" w:rsidRDefault="00F44B5D" w:rsidP="00F44B5D">
            <w:pPr>
              <w:spacing w:line="0" w:lineRule="atLeast"/>
              <w:jc w:val="right"/>
              <w:rPr>
                <w:rFonts w:eastAsia="Arial"/>
                <w:bCs/>
                <w:color w:val="000000"/>
                <w:lang w:val="en-US"/>
              </w:rPr>
            </w:pPr>
            <w:r w:rsidRPr="00F02BC6">
              <w:rPr>
                <w:rFonts w:eastAsia="Arial"/>
                <w:bCs/>
                <w:color w:val="000000"/>
                <w:lang w:val="en-US"/>
              </w:rPr>
              <w:t>3118.000</w:t>
            </w:r>
          </w:p>
        </w:tc>
      </w:tr>
    </w:tbl>
    <w:p w14:paraId="39B88CFF" w14:textId="77777777" w:rsidR="00F44B5D" w:rsidRPr="00F02BC6" w:rsidRDefault="00F44B5D" w:rsidP="00F44B5D">
      <w:pPr>
        <w:spacing w:line="364" w:lineRule="exact"/>
        <w:rPr>
          <w:color w:val="000000"/>
          <w:lang w:val="en-US"/>
        </w:rPr>
      </w:pPr>
    </w:p>
    <w:p w14:paraId="13F27D6C" w14:textId="77777777" w:rsidR="00F44B5D" w:rsidRPr="00F02BC6" w:rsidRDefault="00F44B5D" w:rsidP="00F44B5D">
      <w:pPr>
        <w:spacing w:line="200" w:lineRule="exact"/>
        <w:rPr>
          <w:color w:val="000000"/>
          <w:lang w:val="en-US"/>
        </w:rPr>
      </w:pPr>
    </w:p>
    <w:p w14:paraId="58C25467" w14:textId="77777777" w:rsidR="00F44B5D" w:rsidRPr="00F02BC6" w:rsidRDefault="00F44B5D" w:rsidP="00F44B5D">
      <w:pPr>
        <w:spacing w:line="200" w:lineRule="exact"/>
        <w:rPr>
          <w:color w:val="000000"/>
          <w:lang w:val="en-US"/>
        </w:rPr>
      </w:pPr>
    </w:p>
    <w:p w14:paraId="322CC7CA" w14:textId="77777777" w:rsidR="00F44B5D" w:rsidRPr="00F02BC6" w:rsidRDefault="00F44B5D" w:rsidP="00F44B5D">
      <w:pPr>
        <w:spacing w:line="200" w:lineRule="exact"/>
        <w:rPr>
          <w:color w:val="000000"/>
          <w:lang w:val="en-US"/>
        </w:rPr>
      </w:pPr>
    </w:p>
    <w:p w14:paraId="7AF95816" w14:textId="77777777" w:rsidR="00F44B5D" w:rsidRPr="00F02BC6" w:rsidRDefault="00F44B5D" w:rsidP="00F44B5D">
      <w:pPr>
        <w:spacing w:line="200" w:lineRule="exact"/>
        <w:rPr>
          <w:color w:val="000000"/>
          <w:lang w:val="en-US"/>
        </w:rPr>
      </w:pPr>
    </w:p>
    <w:p w14:paraId="4AB53DAD" w14:textId="77777777" w:rsidR="00F44B5D" w:rsidRPr="00F02BC6" w:rsidRDefault="00F44B5D" w:rsidP="00F44B5D">
      <w:pPr>
        <w:spacing w:line="200" w:lineRule="exact"/>
        <w:rPr>
          <w:color w:val="000000"/>
          <w:lang w:val="en-US"/>
        </w:rPr>
      </w:pPr>
    </w:p>
    <w:p w14:paraId="260BEF17" w14:textId="77777777" w:rsidR="00F44B5D" w:rsidRPr="00F02BC6" w:rsidRDefault="00F44B5D" w:rsidP="00F44B5D">
      <w:pPr>
        <w:spacing w:line="200" w:lineRule="exact"/>
        <w:rPr>
          <w:color w:val="000000"/>
          <w:lang w:val="en-US"/>
        </w:rPr>
      </w:pPr>
    </w:p>
    <w:p w14:paraId="32E005A5" w14:textId="77777777" w:rsidR="00F44B5D" w:rsidRPr="00F02BC6" w:rsidRDefault="00F44B5D" w:rsidP="00F44B5D">
      <w:pPr>
        <w:spacing w:line="210" w:lineRule="exact"/>
        <w:rPr>
          <w:color w:val="000000"/>
          <w:lang w:val="en-US"/>
        </w:rPr>
      </w:pPr>
    </w:p>
    <w:p w14:paraId="00907FDE" w14:textId="77777777" w:rsidR="00483C40" w:rsidRPr="00F02BC6" w:rsidRDefault="00483C40" w:rsidP="00F44B5D">
      <w:pPr>
        <w:spacing w:line="0" w:lineRule="atLeast"/>
        <w:rPr>
          <w:rFonts w:eastAsia="Arial"/>
          <w:b/>
          <w:color w:val="000000"/>
          <w:sz w:val="19"/>
          <w:lang w:val="en-US"/>
        </w:rPr>
      </w:pPr>
    </w:p>
    <w:p w14:paraId="2DE84201" w14:textId="77777777" w:rsidR="00483C40" w:rsidRPr="00F02BC6" w:rsidRDefault="00483C40" w:rsidP="00F44B5D">
      <w:pPr>
        <w:spacing w:line="0" w:lineRule="atLeast"/>
        <w:rPr>
          <w:rFonts w:eastAsia="Arial"/>
          <w:b/>
          <w:color w:val="000000"/>
          <w:sz w:val="19"/>
          <w:lang w:val="en-US"/>
        </w:rPr>
      </w:pPr>
    </w:p>
    <w:p w14:paraId="57455EEF" w14:textId="42861BE0" w:rsidR="00F44B5D" w:rsidRPr="00F02BC6" w:rsidRDefault="00F44B5D" w:rsidP="00F44B5D">
      <w:pPr>
        <w:spacing w:line="0" w:lineRule="atLeast"/>
        <w:rPr>
          <w:rFonts w:eastAsia="Arial"/>
          <w:bCs/>
          <w:color w:val="000000"/>
          <w:lang w:val="en-US"/>
        </w:rPr>
      </w:pPr>
      <w:proofErr w:type="spellStart"/>
      <w:r w:rsidRPr="00F02BC6">
        <w:rPr>
          <w:rFonts w:eastAsia="Arial"/>
          <w:bCs/>
          <w:color w:val="000000"/>
          <w:lang w:val="en-US"/>
        </w:rPr>
        <w:t>Orwin's</w:t>
      </w:r>
      <w:proofErr w:type="spellEnd"/>
      <w:r w:rsidRPr="00F02BC6">
        <w:rPr>
          <w:rFonts w:eastAsia="Arial"/>
          <w:bCs/>
          <w:color w:val="000000"/>
          <w:lang w:val="en-US"/>
        </w:rPr>
        <w:t xml:space="preserve"> fail-safe N</w:t>
      </w:r>
    </w:p>
    <w:tbl>
      <w:tblPr>
        <w:tblpPr w:leftFromText="180" w:rightFromText="180" w:vertAnchor="text" w:horzAnchor="margin" w:tblpY="294"/>
        <w:tblW w:w="0" w:type="auto"/>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4720"/>
        <w:gridCol w:w="1140"/>
      </w:tblGrid>
      <w:tr w:rsidR="00F44B5D" w:rsidRPr="00F02BC6" w14:paraId="662AE4A4" w14:textId="77777777" w:rsidTr="00483C40">
        <w:trPr>
          <w:trHeight w:val="184"/>
        </w:trPr>
        <w:tc>
          <w:tcPr>
            <w:tcW w:w="4720" w:type="dxa"/>
            <w:shd w:val="clear" w:color="auto" w:fill="auto"/>
            <w:vAlign w:val="bottom"/>
          </w:tcPr>
          <w:p w14:paraId="1AC9A6ED" w14:textId="77777777" w:rsidR="00F44B5D" w:rsidRPr="00F02BC6" w:rsidRDefault="00F44B5D" w:rsidP="00F44B5D">
            <w:pPr>
              <w:spacing w:line="0" w:lineRule="atLeast"/>
              <w:rPr>
                <w:rFonts w:eastAsia="Arial"/>
                <w:bCs/>
                <w:color w:val="000000"/>
                <w:lang w:val="en-US"/>
              </w:rPr>
            </w:pPr>
            <w:r w:rsidRPr="00F02BC6">
              <w:rPr>
                <w:rFonts w:eastAsia="Arial"/>
                <w:bCs/>
                <w:color w:val="000000"/>
                <w:lang w:val="en-US"/>
              </w:rPr>
              <w:t>Point (log) in observed studies</w:t>
            </w:r>
          </w:p>
        </w:tc>
        <w:tc>
          <w:tcPr>
            <w:tcW w:w="1140" w:type="dxa"/>
            <w:shd w:val="clear" w:color="auto" w:fill="auto"/>
            <w:vAlign w:val="bottom"/>
          </w:tcPr>
          <w:p w14:paraId="451588B8" w14:textId="510FB04A" w:rsidR="00F44B5D" w:rsidRPr="00F02BC6" w:rsidRDefault="00F44B5D" w:rsidP="00F44B5D">
            <w:pPr>
              <w:spacing w:line="0" w:lineRule="atLeast"/>
              <w:jc w:val="right"/>
              <w:rPr>
                <w:rFonts w:eastAsia="Arial"/>
                <w:bCs/>
                <w:color w:val="000000"/>
                <w:lang w:val="en-US"/>
              </w:rPr>
            </w:pPr>
            <w:r w:rsidRPr="00F02BC6">
              <w:rPr>
                <w:rFonts w:eastAsia="Arial"/>
                <w:bCs/>
                <w:color w:val="000000"/>
                <w:lang w:val="en-US"/>
              </w:rPr>
              <w:t>0.87</w:t>
            </w:r>
            <w:r w:rsidR="00691132" w:rsidRPr="00F02BC6">
              <w:rPr>
                <w:rFonts w:eastAsia="Arial"/>
                <w:bCs/>
                <w:color w:val="000000"/>
                <w:lang w:val="en-US"/>
              </w:rPr>
              <w:t>6</w:t>
            </w:r>
          </w:p>
        </w:tc>
      </w:tr>
      <w:tr w:rsidR="00F44B5D" w:rsidRPr="00F02BC6" w14:paraId="09E7D636" w14:textId="77777777" w:rsidTr="00483C40">
        <w:trPr>
          <w:trHeight w:val="346"/>
        </w:trPr>
        <w:tc>
          <w:tcPr>
            <w:tcW w:w="4720" w:type="dxa"/>
            <w:shd w:val="clear" w:color="auto" w:fill="auto"/>
            <w:vAlign w:val="bottom"/>
          </w:tcPr>
          <w:p w14:paraId="169253B4" w14:textId="77777777" w:rsidR="00F44B5D" w:rsidRPr="00F02BC6" w:rsidRDefault="00F44B5D" w:rsidP="00F44B5D">
            <w:pPr>
              <w:spacing w:line="0" w:lineRule="atLeast"/>
              <w:rPr>
                <w:rFonts w:eastAsia="Arial"/>
                <w:bCs/>
                <w:color w:val="000000"/>
                <w:lang w:val="en-US"/>
              </w:rPr>
            </w:pPr>
            <w:r w:rsidRPr="00F02BC6">
              <w:rPr>
                <w:rFonts w:eastAsia="Arial"/>
                <w:bCs/>
                <w:color w:val="000000"/>
                <w:lang w:val="en-US"/>
              </w:rPr>
              <w:t>Criterion for a 'trivial' point (log)</w:t>
            </w:r>
          </w:p>
        </w:tc>
        <w:tc>
          <w:tcPr>
            <w:tcW w:w="1140" w:type="dxa"/>
            <w:shd w:val="clear" w:color="auto" w:fill="auto"/>
            <w:vAlign w:val="bottom"/>
          </w:tcPr>
          <w:p w14:paraId="06A1D7FE" w14:textId="7D3F7E1B" w:rsidR="00F44B5D" w:rsidRPr="00F02BC6" w:rsidRDefault="00F44B5D" w:rsidP="00F44B5D">
            <w:pPr>
              <w:spacing w:line="0" w:lineRule="atLeast"/>
              <w:jc w:val="right"/>
              <w:rPr>
                <w:rFonts w:eastAsia="Arial"/>
                <w:bCs/>
                <w:color w:val="000000"/>
                <w:lang w:val="en-US"/>
              </w:rPr>
            </w:pPr>
            <w:r w:rsidRPr="00F02BC6">
              <w:rPr>
                <w:rFonts w:eastAsia="Arial"/>
                <w:bCs/>
                <w:color w:val="000000"/>
                <w:lang w:val="en-US"/>
              </w:rPr>
              <w:t>0.200</w:t>
            </w:r>
            <w:r w:rsidR="00691132" w:rsidRPr="00F02BC6">
              <w:rPr>
                <w:rFonts w:eastAsia="Arial"/>
                <w:bCs/>
                <w:color w:val="000000"/>
                <w:lang w:val="en-US"/>
              </w:rPr>
              <w:t>0</w:t>
            </w:r>
          </w:p>
        </w:tc>
      </w:tr>
      <w:tr w:rsidR="00F44B5D" w:rsidRPr="00F02BC6" w14:paraId="4DFEDE3C" w14:textId="77777777" w:rsidTr="00483C40">
        <w:trPr>
          <w:trHeight w:val="346"/>
        </w:trPr>
        <w:tc>
          <w:tcPr>
            <w:tcW w:w="4720" w:type="dxa"/>
            <w:shd w:val="clear" w:color="auto" w:fill="auto"/>
            <w:vAlign w:val="bottom"/>
          </w:tcPr>
          <w:p w14:paraId="1E118C2B" w14:textId="77777777" w:rsidR="00F44B5D" w:rsidRPr="00F02BC6" w:rsidRDefault="00F44B5D" w:rsidP="00F44B5D">
            <w:pPr>
              <w:spacing w:line="0" w:lineRule="atLeast"/>
              <w:rPr>
                <w:rFonts w:eastAsia="Arial"/>
                <w:bCs/>
                <w:color w:val="000000"/>
                <w:lang w:val="en-US"/>
              </w:rPr>
            </w:pPr>
            <w:r w:rsidRPr="00F02BC6">
              <w:rPr>
                <w:rFonts w:eastAsia="Arial"/>
                <w:bCs/>
                <w:color w:val="000000"/>
                <w:lang w:val="en-US"/>
              </w:rPr>
              <w:t>Mean point (log) in missing studies</w:t>
            </w:r>
          </w:p>
        </w:tc>
        <w:tc>
          <w:tcPr>
            <w:tcW w:w="1140" w:type="dxa"/>
            <w:shd w:val="clear" w:color="auto" w:fill="auto"/>
            <w:vAlign w:val="bottom"/>
          </w:tcPr>
          <w:p w14:paraId="223B0A17" w14:textId="2EDE4652" w:rsidR="00F44B5D" w:rsidRPr="00F02BC6" w:rsidRDefault="00F44B5D" w:rsidP="00F44B5D">
            <w:pPr>
              <w:spacing w:line="0" w:lineRule="atLeast"/>
              <w:jc w:val="right"/>
              <w:rPr>
                <w:rFonts w:eastAsia="Arial"/>
                <w:bCs/>
                <w:color w:val="000000"/>
                <w:lang w:val="en-US"/>
              </w:rPr>
            </w:pPr>
            <w:r w:rsidRPr="00F02BC6">
              <w:rPr>
                <w:rFonts w:eastAsia="Arial"/>
                <w:bCs/>
                <w:color w:val="000000"/>
                <w:lang w:val="en-US"/>
              </w:rPr>
              <w:t>0.000</w:t>
            </w:r>
          </w:p>
        </w:tc>
      </w:tr>
      <w:tr w:rsidR="00F44B5D" w:rsidRPr="00F02BC6" w14:paraId="72F63762" w14:textId="77777777" w:rsidTr="00483C40">
        <w:trPr>
          <w:trHeight w:val="346"/>
        </w:trPr>
        <w:tc>
          <w:tcPr>
            <w:tcW w:w="4720" w:type="dxa"/>
            <w:shd w:val="clear" w:color="auto" w:fill="auto"/>
            <w:vAlign w:val="bottom"/>
          </w:tcPr>
          <w:p w14:paraId="3D9A7B66" w14:textId="77777777" w:rsidR="00F44B5D" w:rsidRPr="00F02BC6" w:rsidRDefault="00F44B5D" w:rsidP="00F44B5D">
            <w:pPr>
              <w:spacing w:line="0" w:lineRule="atLeast"/>
              <w:rPr>
                <w:rFonts w:eastAsia="Arial"/>
                <w:bCs/>
                <w:color w:val="000000"/>
                <w:lang w:val="en-US"/>
              </w:rPr>
            </w:pPr>
            <w:r w:rsidRPr="00F02BC6">
              <w:rPr>
                <w:rFonts w:eastAsia="Arial"/>
                <w:bCs/>
                <w:color w:val="000000"/>
                <w:lang w:val="en-US"/>
              </w:rPr>
              <w:t>Number missing studies needed to bring point (log) under 0.2</w:t>
            </w:r>
          </w:p>
          <w:p w14:paraId="45A08162" w14:textId="2B57024C" w:rsidR="00691132" w:rsidRPr="00F02BC6" w:rsidRDefault="00691132" w:rsidP="00F44B5D">
            <w:pPr>
              <w:spacing w:line="0" w:lineRule="atLeast"/>
              <w:rPr>
                <w:rFonts w:eastAsia="Arial"/>
                <w:bCs/>
                <w:color w:val="000000"/>
                <w:lang w:val="en-US"/>
              </w:rPr>
            </w:pPr>
          </w:p>
        </w:tc>
        <w:tc>
          <w:tcPr>
            <w:tcW w:w="1140" w:type="dxa"/>
            <w:shd w:val="clear" w:color="auto" w:fill="auto"/>
            <w:vAlign w:val="bottom"/>
          </w:tcPr>
          <w:p w14:paraId="0287F675" w14:textId="77777777" w:rsidR="00F44B5D" w:rsidRPr="00F02BC6" w:rsidRDefault="00F44B5D" w:rsidP="00F44B5D">
            <w:pPr>
              <w:spacing w:line="0" w:lineRule="atLeast"/>
              <w:jc w:val="right"/>
              <w:rPr>
                <w:rFonts w:eastAsia="Arial"/>
                <w:bCs/>
                <w:color w:val="000000"/>
                <w:lang w:val="en-US"/>
              </w:rPr>
            </w:pPr>
            <w:r w:rsidRPr="00F02BC6">
              <w:rPr>
                <w:rFonts w:eastAsia="Arial"/>
                <w:bCs/>
                <w:color w:val="000000"/>
                <w:lang w:val="en-US"/>
              </w:rPr>
              <w:t>34.000</w:t>
            </w:r>
          </w:p>
          <w:p w14:paraId="3990616C" w14:textId="6E2452C3" w:rsidR="00691132" w:rsidRPr="00F02BC6" w:rsidRDefault="00691132" w:rsidP="00F44B5D">
            <w:pPr>
              <w:spacing w:line="0" w:lineRule="atLeast"/>
              <w:jc w:val="right"/>
              <w:rPr>
                <w:rFonts w:eastAsia="Arial"/>
                <w:bCs/>
                <w:color w:val="000000"/>
                <w:lang w:val="en-US"/>
              </w:rPr>
            </w:pPr>
          </w:p>
        </w:tc>
      </w:tr>
    </w:tbl>
    <w:p w14:paraId="1B57E86B" w14:textId="77777777" w:rsidR="00F44B5D" w:rsidRPr="00F02BC6" w:rsidRDefault="00F44B5D" w:rsidP="00F44B5D">
      <w:pPr>
        <w:spacing w:line="362" w:lineRule="exact"/>
        <w:rPr>
          <w:color w:val="000000"/>
          <w:lang w:val="en-US"/>
        </w:rPr>
      </w:pPr>
    </w:p>
    <w:p w14:paraId="2E8E6F69" w14:textId="04F7A86C" w:rsidR="00F44B5D" w:rsidRPr="00F02BC6" w:rsidRDefault="00F44B5D" w:rsidP="0067724A">
      <w:pPr>
        <w:tabs>
          <w:tab w:val="left" w:pos="1665"/>
        </w:tabs>
        <w:rPr>
          <w:color w:val="000000"/>
          <w:lang w:val="en-US"/>
        </w:rPr>
      </w:pPr>
    </w:p>
    <w:p w14:paraId="2C04DD13" w14:textId="51A1F153" w:rsidR="00483C40" w:rsidRPr="00F02BC6" w:rsidRDefault="00483C40" w:rsidP="0067724A">
      <w:pPr>
        <w:tabs>
          <w:tab w:val="left" w:pos="1665"/>
        </w:tabs>
        <w:rPr>
          <w:color w:val="000000"/>
          <w:lang w:val="en-US"/>
        </w:rPr>
      </w:pPr>
    </w:p>
    <w:p w14:paraId="4CB3EBAC" w14:textId="2D64FC41" w:rsidR="00483C40" w:rsidRPr="00F02BC6" w:rsidRDefault="00483C40" w:rsidP="0067724A">
      <w:pPr>
        <w:tabs>
          <w:tab w:val="left" w:pos="1665"/>
        </w:tabs>
        <w:rPr>
          <w:color w:val="000000"/>
          <w:lang w:val="en-US"/>
        </w:rPr>
      </w:pPr>
    </w:p>
    <w:p w14:paraId="6ECF37E8" w14:textId="17AFE869" w:rsidR="00483C40" w:rsidRPr="00F02BC6" w:rsidRDefault="00483C40" w:rsidP="0067724A">
      <w:pPr>
        <w:tabs>
          <w:tab w:val="left" w:pos="1665"/>
        </w:tabs>
        <w:rPr>
          <w:color w:val="000000"/>
          <w:lang w:val="en-US"/>
        </w:rPr>
      </w:pPr>
    </w:p>
    <w:p w14:paraId="146971A1" w14:textId="43FFD8CE" w:rsidR="00483C40" w:rsidRPr="00F02BC6" w:rsidRDefault="00483C40" w:rsidP="0067724A">
      <w:pPr>
        <w:tabs>
          <w:tab w:val="left" w:pos="1665"/>
        </w:tabs>
        <w:rPr>
          <w:color w:val="000000"/>
          <w:lang w:val="en-US"/>
        </w:rPr>
      </w:pPr>
    </w:p>
    <w:p w14:paraId="492D1D58" w14:textId="62CB8FE2" w:rsidR="00691132" w:rsidRPr="00F02BC6" w:rsidRDefault="00691132" w:rsidP="0067724A">
      <w:pPr>
        <w:tabs>
          <w:tab w:val="left" w:pos="1665"/>
        </w:tabs>
        <w:rPr>
          <w:color w:val="000000"/>
          <w:lang w:val="en-US"/>
        </w:rPr>
      </w:pPr>
    </w:p>
    <w:p w14:paraId="365BC5EA" w14:textId="79C482A9" w:rsidR="00691132" w:rsidRPr="00F02BC6" w:rsidRDefault="00691132" w:rsidP="0067724A">
      <w:pPr>
        <w:tabs>
          <w:tab w:val="left" w:pos="1665"/>
        </w:tabs>
        <w:rPr>
          <w:color w:val="000000"/>
          <w:lang w:val="en-US"/>
        </w:rPr>
      </w:pPr>
    </w:p>
    <w:p w14:paraId="02D599BD" w14:textId="5777A360" w:rsidR="00691132" w:rsidRPr="00F02BC6" w:rsidRDefault="00691132" w:rsidP="0067724A">
      <w:pPr>
        <w:tabs>
          <w:tab w:val="left" w:pos="1665"/>
        </w:tabs>
        <w:rPr>
          <w:color w:val="000000"/>
          <w:lang w:val="en-US"/>
        </w:rPr>
      </w:pPr>
    </w:p>
    <w:p w14:paraId="347A39CB" w14:textId="5007F45E" w:rsidR="0059046C" w:rsidRPr="00F02BC6" w:rsidRDefault="0059046C" w:rsidP="0067724A">
      <w:pPr>
        <w:tabs>
          <w:tab w:val="left" w:pos="1665"/>
        </w:tabs>
        <w:rPr>
          <w:b/>
          <w:bCs/>
          <w:color w:val="000000"/>
          <w:lang w:val="en-US"/>
        </w:rPr>
      </w:pPr>
    </w:p>
    <w:p w14:paraId="5C3688E6" w14:textId="332EB5B9" w:rsidR="0059046C" w:rsidRPr="00F02BC6" w:rsidRDefault="0059046C" w:rsidP="0067724A">
      <w:pPr>
        <w:tabs>
          <w:tab w:val="left" w:pos="1665"/>
        </w:tabs>
        <w:rPr>
          <w:b/>
          <w:bCs/>
          <w:color w:val="000000"/>
          <w:lang w:val="en-US"/>
        </w:rPr>
      </w:pPr>
    </w:p>
    <w:p w14:paraId="21FE4FB4" w14:textId="34446988" w:rsidR="0059046C" w:rsidRPr="00F02BC6" w:rsidRDefault="0059046C" w:rsidP="0067724A">
      <w:pPr>
        <w:tabs>
          <w:tab w:val="left" w:pos="1665"/>
        </w:tabs>
        <w:rPr>
          <w:b/>
          <w:bCs/>
          <w:color w:val="000000"/>
          <w:lang w:val="en-US"/>
        </w:rPr>
      </w:pPr>
    </w:p>
    <w:p w14:paraId="3F9168A3" w14:textId="48681413" w:rsidR="0059046C" w:rsidRPr="00F02BC6" w:rsidRDefault="0059046C" w:rsidP="0067724A">
      <w:pPr>
        <w:tabs>
          <w:tab w:val="left" w:pos="1665"/>
        </w:tabs>
        <w:rPr>
          <w:b/>
          <w:bCs/>
          <w:color w:val="000000"/>
          <w:lang w:val="en-US"/>
        </w:rPr>
      </w:pPr>
    </w:p>
    <w:p w14:paraId="5BD6F517" w14:textId="5535E9B6" w:rsidR="0059046C" w:rsidRPr="00F02BC6" w:rsidRDefault="00332837" w:rsidP="00332837">
      <w:pPr>
        <w:tabs>
          <w:tab w:val="left" w:pos="1665"/>
        </w:tabs>
        <w:rPr>
          <w:b/>
          <w:bCs/>
          <w:color w:val="000000"/>
          <w:lang w:val="en-US"/>
        </w:rPr>
      </w:pPr>
      <w:r w:rsidRPr="00F02BC6">
        <w:rPr>
          <w:b/>
          <w:bCs/>
          <w:noProof/>
          <w:color w:val="000000"/>
          <w:lang w:val="en-US"/>
        </w:rPr>
        <w:drawing>
          <wp:inline distT="0" distB="0" distL="0" distR="0" wp14:anchorId="1053C077" wp14:editId="300A6CD4">
            <wp:extent cx="6809362" cy="417195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2"/>
                    <a:stretch>
                      <a:fillRect/>
                    </a:stretch>
                  </pic:blipFill>
                  <pic:spPr>
                    <a:xfrm>
                      <a:off x="0" y="0"/>
                      <a:ext cx="6829489" cy="4184281"/>
                    </a:xfrm>
                    <a:prstGeom prst="rect">
                      <a:avLst/>
                    </a:prstGeom>
                  </pic:spPr>
                </pic:pic>
              </a:graphicData>
            </a:graphic>
          </wp:inline>
        </w:drawing>
      </w:r>
    </w:p>
    <w:p w14:paraId="2DEBCB49" w14:textId="591591C2" w:rsidR="00332837" w:rsidRPr="00F02BC6" w:rsidRDefault="00332837" w:rsidP="00332837">
      <w:pPr>
        <w:tabs>
          <w:tab w:val="left" w:pos="1665"/>
        </w:tabs>
        <w:rPr>
          <w:b/>
          <w:bCs/>
          <w:color w:val="000000"/>
          <w:lang w:val="en-US"/>
        </w:rPr>
      </w:pPr>
      <w:r w:rsidRPr="00F02BC6">
        <w:rPr>
          <w:b/>
          <w:bCs/>
          <w:color w:val="000000"/>
          <w:lang w:val="en-US"/>
        </w:rPr>
        <w:t>Figure S1: Funnel plot</w:t>
      </w:r>
    </w:p>
    <w:p w14:paraId="797B7475" w14:textId="102F98DA" w:rsidR="0059046C" w:rsidRPr="00F02BC6" w:rsidRDefault="0059046C" w:rsidP="0067724A">
      <w:pPr>
        <w:tabs>
          <w:tab w:val="left" w:pos="1665"/>
        </w:tabs>
        <w:rPr>
          <w:b/>
          <w:bCs/>
          <w:color w:val="000000"/>
          <w:lang w:val="en-US"/>
        </w:rPr>
      </w:pPr>
    </w:p>
    <w:p w14:paraId="0D07AFDA" w14:textId="7AF1EAB3" w:rsidR="0059046C" w:rsidRPr="00F02BC6" w:rsidRDefault="0059046C" w:rsidP="0067724A">
      <w:pPr>
        <w:tabs>
          <w:tab w:val="left" w:pos="1665"/>
        </w:tabs>
        <w:rPr>
          <w:b/>
          <w:bCs/>
          <w:color w:val="000000"/>
          <w:lang w:val="en-US"/>
        </w:rPr>
      </w:pPr>
    </w:p>
    <w:p w14:paraId="2DC5D12F" w14:textId="18F6D12B" w:rsidR="0059046C" w:rsidRPr="00F02BC6" w:rsidRDefault="0059046C" w:rsidP="0067724A">
      <w:pPr>
        <w:tabs>
          <w:tab w:val="left" w:pos="1665"/>
        </w:tabs>
        <w:rPr>
          <w:b/>
          <w:bCs/>
          <w:color w:val="000000"/>
          <w:lang w:val="en-US"/>
        </w:rPr>
      </w:pPr>
    </w:p>
    <w:p w14:paraId="4FC310F9" w14:textId="096EFCB3" w:rsidR="0059046C" w:rsidRPr="00F02BC6" w:rsidRDefault="0059046C" w:rsidP="0067724A">
      <w:pPr>
        <w:tabs>
          <w:tab w:val="left" w:pos="1665"/>
        </w:tabs>
        <w:rPr>
          <w:b/>
          <w:bCs/>
          <w:color w:val="000000"/>
          <w:lang w:val="en-US"/>
        </w:rPr>
      </w:pPr>
    </w:p>
    <w:p w14:paraId="223CAAEA" w14:textId="77777777" w:rsidR="00E569A5" w:rsidRPr="00F02BC6" w:rsidRDefault="00E569A5" w:rsidP="0067724A">
      <w:pPr>
        <w:tabs>
          <w:tab w:val="left" w:pos="1665"/>
        </w:tabs>
        <w:rPr>
          <w:b/>
          <w:bCs/>
          <w:color w:val="000000"/>
          <w:lang w:val="en-US"/>
        </w:rPr>
      </w:pPr>
    </w:p>
    <w:p w14:paraId="1694F39D" w14:textId="77777777" w:rsidR="00E569A5" w:rsidRPr="00F02BC6" w:rsidRDefault="00E569A5" w:rsidP="0067724A">
      <w:pPr>
        <w:tabs>
          <w:tab w:val="left" w:pos="1665"/>
        </w:tabs>
        <w:rPr>
          <w:b/>
          <w:bCs/>
          <w:color w:val="000000"/>
          <w:lang w:val="en-US"/>
        </w:rPr>
      </w:pPr>
    </w:p>
    <w:p w14:paraId="2163B9F6" w14:textId="2110F1E4" w:rsidR="0059046C" w:rsidRPr="00F02BC6" w:rsidRDefault="00ED28B6" w:rsidP="0067724A">
      <w:pPr>
        <w:tabs>
          <w:tab w:val="left" w:pos="1665"/>
        </w:tabs>
        <w:rPr>
          <w:b/>
          <w:color w:val="000000"/>
          <w:lang w:val="en-US"/>
        </w:rPr>
      </w:pPr>
      <w:r w:rsidRPr="00F02BC6">
        <w:rPr>
          <w:b/>
          <w:bCs/>
          <w:color w:val="000000"/>
          <w:lang w:val="en-US"/>
        </w:rPr>
        <w:t xml:space="preserve">APPENDIX F:  </w:t>
      </w:r>
      <w:r w:rsidRPr="00F02BC6">
        <w:rPr>
          <w:b/>
          <w:color w:val="000000"/>
          <w:lang w:val="en-US"/>
        </w:rPr>
        <w:t>ADHERENCE MEASURES AND CUT-OFF POINTS</w:t>
      </w:r>
    </w:p>
    <w:p w14:paraId="221C6C81" w14:textId="377B5EF0" w:rsidR="00801304" w:rsidRPr="00F02BC6" w:rsidRDefault="00801304" w:rsidP="0067724A">
      <w:pPr>
        <w:tabs>
          <w:tab w:val="left" w:pos="1665"/>
        </w:tabs>
        <w:rPr>
          <w:b/>
          <w:color w:val="000000"/>
          <w:lang w:val="en-US"/>
        </w:rPr>
      </w:pPr>
    </w:p>
    <w:p w14:paraId="029F475F" w14:textId="77777777" w:rsidR="00801304" w:rsidRPr="00F02BC6" w:rsidRDefault="00801304" w:rsidP="00801304">
      <w:pPr>
        <w:rPr>
          <w:b/>
          <w:color w:val="000000"/>
          <w:sz w:val="20"/>
          <w:szCs w:val="20"/>
          <w:lang w:val="en-US"/>
        </w:rPr>
      </w:pPr>
    </w:p>
    <w:p w14:paraId="3381C148" w14:textId="77777777" w:rsidR="00801304" w:rsidRPr="00F02BC6" w:rsidRDefault="00801304" w:rsidP="00801304">
      <w:pPr>
        <w:rPr>
          <w:b/>
          <w:color w:val="000000"/>
          <w:lang w:val="en-US"/>
        </w:rPr>
      </w:pPr>
      <w:r w:rsidRPr="00F02BC6">
        <w:rPr>
          <w:b/>
          <w:color w:val="000000"/>
          <w:lang w:val="en-US"/>
        </w:rPr>
        <w:t>Table S8: Adherence measures and cut-off points/threshold</w:t>
      </w:r>
    </w:p>
    <w:tbl>
      <w:tblPr>
        <w:tblStyle w:val="TableGrid"/>
        <w:tblW w:w="9903" w:type="dxa"/>
        <w:tblBorders>
          <w:left w:val="none" w:sz="0" w:space="0" w:color="auto"/>
          <w:right w:val="none" w:sz="0" w:space="0" w:color="auto"/>
          <w:insideV w:val="none" w:sz="0" w:space="0" w:color="auto"/>
        </w:tblBorders>
        <w:tblLook w:val="04A0" w:firstRow="1" w:lastRow="0" w:firstColumn="1" w:lastColumn="0" w:noHBand="0" w:noVBand="1"/>
      </w:tblPr>
      <w:tblGrid>
        <w:gridCol w:w="2245"/>
        <w:gridCol w:w="2610"/>
        <w:gridCol w:w="2435"/>
        <w:gridCol w:w="2613"/>
      </w:tblGrid>
      <w:tr w:rsidR="00801304" w:rsidRPr="00F02BC6" w14:paraId="60D169AD" w14:textId="77777777" w:rsidTr="00495804">
        <w:trPr>
          <w:trHeight w:val="285"/>
        </w:trPr>
        <w:tc>
          <w:tcPr>
            <w:tcW w:w="2245" w:type="dxa"/>
            <w:vMerge w:val="restart"/>
          </w:tcPr>
          <w:p w14:paraId="13E0C2B9" w14:textId="77777777" w:rsidR="00801304" w:rsidRPr="00F02BC6" w:rsidRDefault="00801304" w:rsidP="00495804">
            <w:pPr>
              <w:rPr>
                <w:b/>
                <w:color w:val="000000"/>
                <w:lang w:val="en-US"/>
              </w:rPr>
            </w:pPr>
            <w:r w:rsidRPr="00F02BC6">
              <w:rPr>
                <w:b/>
                <w:color w:val="000000"/>
                <w:lang w:val="en-US"/>
              </w:rPr>
              <w:t>Adherence metric &amp; related measures</w:t>
            </w:r>
          </w:p>
        </w:tc>
        <w:tc>
          <w:tcPr>
            <w:tcW w:w="5045" w:type="dxa"/>
            <w:gridSpan w:val="2"/>
          </w:tcPr>
          <w:p w14:paraId="309AFC57" w14:textId="77777777" w:rsidR="00801304" w:rsidRPr="00F02BC6" w:rsidRDefault="00801304" w:rsidP="00495804">
            <w:pPr>
              <w:jc w:val="center"/>
              <w:rPr>
                <w:b/>
                <w:color w:val="000000"/>
                <w:lang w:val="en-US"/>
              </w:rPr>
            </w:pPr>
            <w:r w:rsidRPr="00F02BC6">
              <w:rPr>
                <w:b/>
                <w:color w:val="000000"/>
                <w:lang w:val="en-US"/>
              </w:rPr>
              <w:t>Adherence cut-off/threshold</w:t>
            </w:r>
          </w:p>
        </w:tc>
        <w:tc>
          <w:tcPr>
            <w:tcW w:w="2613" w:type="dxa"/>
            <w:vMerge w:val="restart"/>
          </w:tcPr>
          <w:p w14:paraId="44CF53DF" w14:textId="77777777" w:rsidR="00801304" w:rsidRPr="00F02BC6" w:rsidRDefault="00801304" w:rsidP="00495804">
            <w:pPr>
              <w:jc w:val="center"/>
              <w:rPr>
                <w:b/>
                <w:color w:val="000000"/>
                <w:lang w:val="en-US"/>
              </w:rPr>
            </w:pPr>
            <w:r w:rsidRPr="00F02BC6">
              <w:rPr>
                <w:b/>
                <w:color w:val="000000"/>
                <w:lang w:val="en-US"/>
              </w:rPr>
              <w:t>Reference</w:t>
            </w:r>
          </w:p>
        </w:tc>
      </w:tr>
      <w:tr w:rsidR="00801304" w:rsidRPr="00F02BC6" w14:paraId="419FB585" w14:textId="77777777" w:rsidTr="00495804">
        <w:trPr>
          <w:trHeight w:val="268"/>
        </w:trPr>
        <w:tc>
          <w:tcPr>
            <w:tcW w:w="2245" w:type="dxa"/>
            <w:vMerge/>
          </w:tcPr>
          <w:p w14:paraId="5CCFFF9E" w14:textId="77777777" w:rsidR="00801304" w:rsidRPr="00F02BC6" w:rsidRDefault="00801304" w:rsidP="00495804">
            <w:pPr>
              <w:rPr>
                <w:b/>
                <w:color w:val="000000"/>
                <w:lang w:val="en-US"/>
              </w:rPr>
            </w:pPr>
          </w:p>
        </w:tc>
        <w:tc>
          <w:tcPr>
            <w:tcW w:w="2610" w:type="dxa"/>
          </w:tcPr>
          <w:p w14:paraId="328E2E36" w14:textId="77777777" w:rsidR="00801304" w:rsidRPr="00F02BC6" w:rsidRDefault="00801304" w:rsidP="00495804">
            <w:pPr>
              <w:jc w:val="center"/>
              <w:rPr>
                <w:b/>
                <w:color w:val="000000"/>
                <w:lang w:val="en-US"/>
              </w:rPr>
            </w:pPr>
            <w:r w:rsidRPr="00F02BC6">
              <w:rPr>
                <w:b/>
                <w:color w:val="000000"/>
                <w:lang w:val="en-US"/>
              </w:rPr>
              <w:t xml:space="preserve">Adherence </w:t>
            </w:r>
          </w:p>
          <w:p w14:paraId="138F90FB" w14:textId="77777777" w:rsidR="00801304" w:rsidRPr="00F02BC6" w:rsidRDefault="00801304" w:rsidP="00495804">
            <w:pPr>
              <w:jc w:val="center"/>
              <w:rPr>
                <w:color w:val="000000"/>
                <w:lang w:val="en-US"/>
              </w:rPr>
            </w:pPr>
            <w:r w:rsidRPr="00F02BC6">
              <w:rPr>
                <w:color w:val="000000"/>
                <w:lang w:val="en-US"/>
              </w:rPr>
              <w:t>(</w:t>
            </w:r>
            <w:proofErr w:type="gramStart"/>
            <w:r w:rsidRPr="00F02BC6">
              <w:rPr>
                <w:i/>
                <w:color w:val="000000"/>
                <w:lang w:val="en-US"/>
              </w:rPr>
              <w:t>good</w:t>
            </w:r>
            <w:proofErr w:type="gramEnd"/>
            <w:r w:rsidRPr="00F02BC6">
              <w:rPr>
                <w:i/>
                <w:color w:val="000000"/>
                <w:lang w:val="en-US"/>
              </w:rPr>
              <w:t xml:space="preserve"> or high-medium</w:t>
            </w:r>
            <w:r w:rsidRPr="00F02BC6">
              <w:rPr>
                <w:color w:val="000000"/>
                <w:lang w:val="en-US"/>
              </w:rPr>
              <w:t xml:space="preserve">) </w:t>
            </w:r>
          </w:p>
        </w:tc>
        <w:tc>
          <w:tcPr>
            <w:tcW w:w="2435" w:type="dxa"/>
          </w:tcPr>
          <w:p w14:paraId="05B9ABFA" w14:textId="77777777" w:rsidR="00801304" w:rsidRPr="00F02BC6" w:rsidRDefault="00801304" w:rsidP="00495804">
            <w:pPr>
              <w:jc w:val="center"/>
              <w:rPr>
                <w:b/>
                <w:color w:val="000000"/>
                <w:lang w:val="en-US"/>
              </w:rPr>
            </w:pPr>
            <w:r w:rsidRPr="00F02BC6">
              <w:rPr>
                <w:b/>
                <w:color w:val="000000"/>
                <w:lang w:val="en-US"/>
              </w:rPr>
              <w:t xml:space="preserve">Non-adherence </w:t>
            </w:r>
          </w:p>
          <w:p w14:paraId="3F07518A" w14:textId="77777777" w:rsidR="00801304" w:rsidRPr="00F02BC6" w:rsidRDefault="00801304" w:rsidP="00495804">
            <w:pPr>
              <w:jc w:val="center"/>
              <w:rPr>
                <w:color w:val="000000"/>
                <w:lang w:val="en-US"/>
              </w:rPr>
            </w:pPr>
            <w:r w:rsidRPr="00F02BC6">
              <w:rPr>
                <w:color w:val="000000"/>
                <w:lang w:val="en-US"/>
              </w:rPr>
              <w:t>(</w:t>
            </w:r>
            <w:r w:rsidRPr="00F02BC6">
              <w:rPr>
                <w:i/>
                <w:color w:val="000000"/>
                <w:lang w:val="en-US"/>
              </w:rPr>
              <w:t>Poor or low</w:t>
            </w:r>
            <w:r w:rsidRPr="00F02BC6">
              <w:rPr>
                <w:color w:val="000000"/>
                <w:lang w:val="en-US"/>
              </w:rPr>
              <w:t xml:space="preserve">) </w:t>
            </w:r>
          </w:p>
        </w:tc>
        <w:tc>
          <w:tcPr>
            <w:tcW w:w="2613" w:type="dxa"/>
            <w:vMerge/>
          </w:tcPr>
          <w:p w14:paraId="16CFEC0F" w14:textId="77777777" w:rsidR="00801304" w:rsidRPr="00F02BC6" w:rsidRDefault="00801304" w:rsidP="00495804">
            <w:pPr>
              <w:jc w:val="center"/>
              <w:rPr>
                <w:b/>
                <w:color w:val="000000"/>
                <w:lang w:val="en-US"/>
              </w:rPr>
            </w:pPr>
          </w:p>
        </w:tc>
      </w:tr>
      <w:tr w:rsidR="00801304" w:rsidRPr="00F02BC6" w14:paraId="57E3F22E" w14:textId="77777777" w:rsidTr="00495804">
        <w:tc>
          <w:tcPr>
            <w:tcW w:w="2245" w:type="dxa"/>
            <w:vMerge w:val="restart"/>
          </w:tcPr>
          <w:p w14:paraId="27038064" w14:textId="77777777" w:rsidR="00801304" w:rsidRPr="00F02BC6" w:rsidRDefault="00801304" w:rsidP="00495804">
            <w:pPr>
              <w:rPr>
                <w:color w:val="000000"/>
                <w:lang w:val="en-US"/>
              </w:rPr>
            </w:pPr>
            <w:r w:rsidRPr="00F02BC6">
              <w:rPr>
                <w:color w:val="000000"/>
                <w:lang w:val="en-US"/>
              </w:rPr>
              <w:t>PDC</w:t>
            </w:r>
          </w:p>
        </w:tc>
        <w:tc>
          <w:tcPr>
            <w:tcW w:w="2610" w:type="dxa"/>
          </w:tcPr>
          <w:p w14:paraId="4C614455" w14:textId="77777777" w:rsidR="00801304" w:rsidRPr="00F02BC6" w:rsidRDefault="00801304" w:rsidP="00495804">
            <w:pPr>
              <w:jc w:val="center"/>
              <w:rPr>
                <w:color w:val="000000"/>
                <w:lang w:val="en-US"/>
              </w:rPr>
            </w:pPr>
            <w:r w:rsidRPr="00F02BC6">
              <w:rPr>
                <w:color w:val="000000"/>
                <w:lang w:val="en-US"/>
              </w:rPr>
              <w:t>20%-67%</w:t>
            </w:r>
          </w:p>
        </w:tc>
        <w:tc>
          <w:tcPr>
            <w:tcW w:w="2435" w:type="dxa"/>
          </w:tcPr>
          <w:p w14:paraId="4A876012" w14:textId="77777777" w:rsidR="00801304" w:rsidRPr="00F02BC6" w:rsidRDefault="00801304" w:rsidP="00495804">
            <w:pPr>
              <w:rPr>
                <w:color w:val="000000"/>
                <w:lang w:val="en-US"/>
              </w:rPr>
            </w:pPr>
          </w:p>
        </w:tc>
        <w:tc>
          <w:tcPr>
            <w:tcW w:w="2613" w:type="dxa"/>
          </w:tcPr>
          <w:p w14:paraId="467D81A8" w14:textId="77777777" w:rsidR="00801304" w:rsidRPr="00F02BC6" w:rsidRDefault="00801304" w:rsidP="00495804">
            <w:pPr>
              <w:jc w:val="center"/>
              <w:rPr>
                <w:color w:val="000000"/>
                <w:lang w:val="en-US"/>
              </w:rPr>
            </w:pPr>
            <w:r w:rsidRPr="00F02BC6">
              <w:rPr>
                <w:color w:val="000000"/>
                <w:lang w:val="en-US"/>
              </w:rPr>
              <w:fldChar w:fldCharType="begin" w:fldLock="1"/>
            </w:r>
            <w:r w:rsidRPr="00F02BC6">
              <w:rPr>
                <w:color w:val="000000"/>
                <w:lang w:val="en-US"/>
              </w:rPr>
              <w:instrText>ADDIN CSL_CITATION {"citationItems":[{"id":"ITEM-1","itemData":{"DOI":"10.1080/02770903.2018.1439954","ISSN":"15324303","abstract":"Objective: To measure the effectiveness of managed care-led interventions in Medicaid subjects with asthma on medication adherence and acute hospitalization in Pennsylvania. Methods: A total of 3589 members (age range, 5–64 years) served by two Pennsylvania-based Medicaid managed care plans (southeastern Pennsylvania [SEPA] and Lehigh-Capital/New West Pennsylvania [LCNWPA]) with low adherence rates (proportion of days covered [PDC]; 20%–67%) for asthma controller prescription fills in 2012 were guided through a care continuum by a comprehensive asthma strategy, consisting of adherence-improvement interventions (grouped as general intervention [GI] or personalized intervention [PI] for higher-risk subjects). Medication adherence and acute hospitalization rates (emergency department [ED] and inpatient [IP]) were compared at baseline versus one-year post-intervention using paired t-test or signed-rank tests. Repeated measures analysis of variances detected the interaction effect of time by intervention group after controlling for sociodemographic covariates. Results: Member profiles in SEPA (n = 2 796) and LCNWPA (n = 793) were racially and ethnically distinct. Both cohorts experienced statistically significant improvements in mean PDC rate (+4.9% and +7.2%; p = 0.01 and p = 0.03, respectively), accompanied by significant reductions in ED visits (asthma-related: −23.0% and −17.5%, respectively; p &lt; 0.01), and IP admissions (asthma-related: −37.1% and −40.0%, respectively; p &lt; 0.01). The PI subcohorts showed significantly greater improvements in mean PDC versus GI subcohorts (p ≤ 0.04), whereas acute hospitalization rates were statistically comparable in the SEPA cohort, despite its greater asthma burden. Conclusions: Managed care-led interventions can effectively improve medication adherence and reduce acute hospitalizations in high-risk Medicaid populations.","author":[{"dropping-particle":"","family":"Gelzer","given":"Andrea D.","non-dropping-particle":"","parse-names":false,"suffix":""},{"dropping-particle":"","family":"Gao","given":"Wanzhen","non-dropping-particle":"","parse-names":false,"suffix":""},{"dropping-particle":"","family":"Keleti","given":"David","non-dropping-particle":"","parse-names":false,"suffix":""},{"dropping-particle":"","family":"Donia","given":"Thomas","non-dropping-particle":"","parse-names":false,"suffix":""},{"dropping-particle":"","family":"Megargell","given":"Lauren","non-dropping-particle":"","parse-names":false,"suffix":""},{"dropping-particle":"","family":"Kreitman","given":"Jeffrey","non-dropping-particle":"","parse-names":false,"suffix":""},{"dropping-particle":"","family":"Michael","given":"Karen E.","non-dropping-particle":"","parse-names":false,"suffix":""}],"container-title":"Journal of Asthma","id":"ITEM-1","issue":"2","issued":{"date-parts":[["2019"]]},"page":"190-199","publisher":"Taylor &amp; Francis","title":"Multifaceted interventions improve medication adherence and reduce acute hospitalization rates in medicaid patients prescribed asthma controllers","type":"article-journal","volume":"56"},"uris":["http://www.mendeley.com/documents/?uuid=d0d8934c-faee-4fb1-98c6-f6a0b74ba5c8"]}],"mendeley":{"formattedCitation":"(30)","plainTextFormattedCitation":"(30)","previouslyFormattedCitation":"(30)"},"properties":{"noteIndex":0},"schema":"https://github.com/citation-style-language/schema/raw/master/csl-citation.json"}</w:instrText>
            </w:r>
            <w:r w:rsidRPr="00F02BC6">
              <w:rPr>
                <w:color w:val="000000"/>
                <w:lang w:val="en-US"/>
              </w:rPr>
              <w:fldChar w:fldCharType="separate"/>
            </w:r>
            <w:r w:rsidRPr="00F02BC6">
              <w:rPr>
                <w:color w:val="000000"/>
                <w:lang w:val="en-US"/>
              </w:rPr>
              <w:t>(30)</w:t>
            </w:r>
            <w:r w:rsidRPr="00F02BC6">
              <w:rPr>
                <w:color w:val="000000"/>
                <w:lang w:val="en-US"/>
              </w:rPr>
              <w:fldChar w:fldCharType="end"/>
            </w:r>
          </w:p>
        </w:tc>
      </w:tr>
      <w:tr w:rsidR="00801304" w:rsidRPr="00F02BC6" w14:paraId="1B8B9996" w14:textId="77777777" w:rsidTr="00495804">
        <w:tc>
          <w:tcPr>
            <w:tcW w:w="2245" w:type="dxa"/>
            <w:vMerge/>
          </w:tcPr>
          <w:p w14:paraId="5ECEBAFB" w14:textId="77777777" w:rsidR="00801304" w:rsidRPr="00F02BC6" w:rsidRDefault="00801304" w:rsidP="00495804">
            <w:pPr>
              <w:rPr>
                <w:color w:val="000000"/>
                <w:lang w:val="en-US"/>
              </w:rPr>
            </w:pPr>
          </w:p>
        </w:tc>
        <w:tc>
          <w:tcPr>
            <w:tcW w:w="2610" w:type="dxa"/>
          </w:tcPr>
          <w:p w14:paraId="3BE81B15" w14:textId="77777777" w:rsidR="00801304" w:rsidRPr="00F02BC6" w:rsidRDefault="00801304" w:rsidP="00495804">
            <w:pPr>
              <w:rPr>
                <w:color w:val="000000"/>
                <w:lang w:val="en-US"/>
              </w:rPr>
            </w:pPr>
            <w:r w:rsidRPr="00F02BC6">
              <w:rPr>
                <w:color w:val="000000"/>
                <w:lang w:val="en-US"/>
              </w:rPr>
              <w:t>PDC ≥ 0.5; PDC ≥ 0.8</w:t>
            </w:r>
          </w:p>
        </w:tc>
        <w:tc>
          <w:tcPr>
            <w:tcW w:w="2435" w:type="dxa"/>
          </w:tcPr>
          <w:p w14:paraId="5263BDAF" w14:textId="77777777" w:rsidR="00801304" w:rsidRPr="00F02BC6" w:rsidRDefault="00801304" w:rsidP="00495804">
            <w:pPr>
              <w:rPr>
                <w:color w:val="000000"/>
                <w:lang w:val="en-US"/>
              </w:rPr>
            </w:pPr>
          </w:p>
        </w:tc>
        <w:tc>
          <w:tcPr>
            <w:tcW w:w="2613" w:type="dxa"/>
          </w:tcPr>
          <w:p w14:paraId="5770C03C" w14:textId="77777777" w:rsidR="00801304" w:rsidRPr="00F02BC6" w:rsidRDefault="00801304" w:rsidP="00495804">
            <w:pPr>
              <w:jc w:val="center"/>
              <w:rPr>
                <w:color w:val="000000"/>
                <w:lang w:val="en-US"/>
              </w:rPr>
            </w:pPr>
            <w:r w:rsidRPr="00F02BC6">
              <w:rPr>
                <w:color w:val="000000"/>
                <w:lang w:val="en-US"/>
              </w:rPr>
              <w:fldChar w:fldCharType="begin" w:fldLock="1"/>
            </w:r>
            <w:r w:rsidRPr="00F02BC6">
              <w:rPr>
                <w:color w:val="000000"/>
                <w:lang w:val="en-US"/>
              </w:rPr>
              <w:instrText>ADDIN CSL_CITATION {"citationItems":[{"id":"ITEM-1","itemData":{"DOI":"10.1080/02770903.2019.1663429","ISSN":"15324303","PMID":"31607180","abstract":"Objective: This real-world observational study compared medication adherence and persistence among patients with asthma receiving the once-daily inhaled corticosteroid/long-acting β2-agonist (ICS/LABA) fluticasone furoate/vilanterol (FF/VI) versus the twice-daily ICS/LABAs budesonide/formoterol (B/F) and fluticasone propionate/salmeterol (FP/SAL). Methods: This retrospective cohort study conducted using IQVIATM Health Plan Claims Data included patients with asthma ≥18 years of age initiating ICS/LABA therapy with FF/VI, B/F, or FP/SAL between January 1, 2014 and June 30, 2016 (index date). Patients had ≥12 months and ≥3 months of continuous eligibility pre- and post-index date, respectively. Patients receiving FF/VI were separately matched 1:1 with patients receiving B/F or FP/SAL using propensity score matching (PSM) and multivariable regression to balance baseline covariates between cohorts. The primary endpoint was medication adherence, measured by proportion of days covered (PDC). Secondary endpoints included proportion of patients achieving PDC ≥ 0.5 and PDC ≥ 0.8 and persistence with index medication, measured by time to discontinuation (&gt;45-day gap in therapy). Results: After PSM, 3,764 and 3,339 patients receiving FF/VI were matched with patients receiving B/F or FP/SAL, respectively. Mean PDC was significantly higher for FF/VI versus B/F (0.453 vs 0.345; adjusted p &lt; 0.001) and FP/SAL (0.446 vs 0.341; adjusted p &lt; 0.001). The proportion of patients achieving PDC ≥ 0.5 or PDC ≥ 0.8, and treatment persistence were significantly higher for FF/VI versus B/F and FP/SAL (all p &lt; 0.001). Conclusions: In this real-world study, patients initiating FF/VI had better adherence and lower risk of discontinuing treatment versus B/F or FP/SAL, suggesting that once-daily ICS/LABA treatment might improve adherence and persistence compared with twice-daily alternatives.","author":[{"dropping-particle":"","family":"Averell","given":"Carlyne M.","non-dropping-particle":"","parse-names":false,"suffix":""},{"dropping-particle":"","family":"Stanford","given":"Richard H.","non-dropping-particle":"","parse-names":false,"suffix":""},{"dropping-particle":"","family":"Laliberté","given":"François","non-dropping-particle":"","parse-names":false,"suffix":""},{"dropping-particle":"","family":"Wu","given":"Jennifer W.","non-dropping-particle":"","parse-names":false,"suffix":""},{"dropping-particle":"","family":"Germain","given":"Guillaume","non-dropping-particle":"","parse-names":false,"suffix":""},{"dropping-particle":"","family":"Duh","given":"Mei Sheng","non-dropping-particle":"","parse-names":false,"suffix":""}],"container-title":"Journal of Asthma","id":"ITEM-1","issue":"0","issued":{"date-parts":[["2019"]]},"page":"1-10","publisher":"Taylor &amp; Francis","title":"Medication adherence in patients with asthma using once-daily versus twice-daily ICS/LABAs","type":"article-journal","volume":"0"},"uris":["http://www.mendeley.com/documents/?uuid=13286ced-e40d-456d-8abd-72865ed361bf"]}],"mendeley":{"formattedCitation":"(50)","plainTextFormattedCitation":"(50)","previouslyFormattedCitation":"(50)"},"properties":{"noteIndex":0},"schema":"https://github.com/citation-style-language/schema/raw/master/csl-citation.json"}</w:instrText>
            </w:r>
            <w:r w:rsidRPr="00F02BC6">
              <w:rPr>
                <w:color w:val="000000"/>
                <w:lang w:val="en-US"/>
              </w:rPr>
              <w:fldChar w:fldCharType="separate"/>
            </w:r>
            <w:r w:rsidRPr="00F02BC6">
              <w:rPr>
                <w:color w:val="000000"/>
                <w:lang w:val="en-US"/>
              </w:rPr>
              <w:t>(50)</w:t>
            </w:r>
            <w:r w:rsidRPr="00F02BC6">
              <w:rPr>
                <w:color w:val="000000"/>
                <w:lang w:val="en-US"/>
              </w:rPr>
              <w:fldChar w:fldCharType="end"/>
            </w:r>
          </w:p>
        </w:tc>
      </w:tr>
      <w:tr w:rsidR="00801304" w:rsidRPr="00F02BC6" w14:paraId="2F1FD67A" w14:textId="77777777" w:rsidTr="00495804">
        <w:tc>
          <w:tcPr>
            <w:tcW w:w="2245" w:type="dxa"/>
            <w:vMerge/>
          </w:tcPr>
          <w:p w14:paraId="558FD686" w14:textId="77777777" w:rsidR="00801304" w:rsidRPr="00F02BC6" w:rsidRDefault="00801304" w:rsidP="00495804">
            <w:pPr>
              <w:rPr>
                <w:color w:val="000000"/>
                <w:lang w:val="en-US"/>
              </w:rPr>
            </w:pPr>
          </w:p>
        </w:tc>
        <w:tc>
          <w:tcPr>
            <w:tcW w:w="2610" w:type="dxa"/>
          </w:tcPr>
          <w:p w14:paraId="0A25B404" w14:textId="77777777" w:rsidR="00801304" w:rsidRPr="00F02BC6" w:rsidRDefault="00801304" w:rsidP="00495804">
            <w:pPr>
              <w:rPr>
                <w:color w:val="000000"/>
                <w:lang w:val="en-US"/>
              </w:rPr>
            </w:pPr>
            <w:r w:rsidRPr="00F02BC6">
              <w:rPr>
                <w:color w:val="000000"/>
                <w:lang w:val="en-US"/>
              </w:rPr>
              <w:t>PDC =100%</w:t>
            </w:r>
          </w:p>
        </w:tc>
        <w:tc>
          <w:tcPr>
            <w:tcW w:w="2435" w:type="dxa"/>
          </w:tcPr>
          <w:p w14:paraId="6377AF0E" w14:textId="77777777" w:rsidR="00801304" w:rsidRPr="00F02BC6" w:rsidRDefault="00801304" w:rsidP="00495804">
            <w:pPr>
              <w:jc w:val="center"/>
              <w:rPr>
                <w:color w:val="000000"/>
                <w:lang w:val="en-US"/>
              </w:rPr>
            </w:pPr>
            <w:r w:rsidRPr="00F02BC6">
              <w:rPr>
                <w:color w:val="000000"/>
                <w:lang w:val="en-US"/>
              </w:rPr>
              <w:t>PDC &lt;100%</w:t>
            </w:r>
          </w:p>
        </w:tc>
        <w:tc>
          <w:tcPr>
            <w:tcW w:w="2613" w:type="dxa"/>
          </w:tcPr>
          <w:p w14:paraId="01838F5F" w14:textId="77777777" w:rsidR="00801304" w:rsidRPr="00F02BC6" w:rsidRDefault="00801304" w:rsidP="00495804">
            <w:pPr>
              <w:jc w:val="center"/>
              <w:rPr>
                <w:color w:val="000000"/>
                <w:lang w:val="en-US"/>
              </w:rPr>
            </w:pPr>
            <w:r w:rsidRPr="00F02BC6">
              <w:rPr>
                <w:color w:val="000000"/>
                <w:lang w:val="en-US"/>
              </w:rPr>
              <w:fldChar w:fldCharType="begin" w:fldLock="1"/>
            </w:r>
            <w:r w:rsidRPr="00F02BC6">
              <w:rPr>
                <w:color w:val="000000"/>
                <w:lang w:val="en-US"/>
              </w:rPr>
              <w:instrText>ADDIN CSL_CITATION {"citationItems":[{"id":"ITEM-1","itemData":{"DOI":"10.1080/02770903.2010.513076","ISSN":"02770903","abstract":"Introduction. Because adherence to asthma controller medication among adolescents and young adults is poor but critical for asthma control, strategies are needed to improve adherence. One strategy is to reduce the number of daily doses necessary to maintain adequate control. Mometasone furoate delivered through a dry powder inhaler (MF-DPI) is an inhaled corticosteroid (ICS) approved for once-daily dosing in most patients. Fluticasone propionate (FP) is an ICS approved for twice-daily dosing. A retrospective claims analysis was performed to assess treatment adherence and markers of asthma control in adolescent and young adult patients with mild asthma who began treatment with MF-DPI or FP. Methods. Data from approximately 37 million patients in an administrative insurance claims database in the United States were analyzed. Patients, 12-25 years, with mild asthma and previous asthma medication use were assigned an index date based on their first prescription fill of MF-DPI or FP between 1 January 2005 and 10 October 2008. Demographics, prescription claims, and health care utilization data were captured in the 365-day period before (preindex) and after (postindex) the index date. Patients from each cohort were propensity score-matched 1:1 based on preindex data. Adherence was measured by prescription fills and percentage of days covered (PDC); asthma control was measured by exacerbations and short-acting β2-agonist (SABA) canister claims. Bivariate and multivariate generalized linear model (GLM) analyses were conducted to determine differences in outcomes between the cohorts. Results. After matching, 692 patients per group (average age 16 years) were analyzed. Adherence in the postindex period was significantly higher in the MF-DPI cohort compared with the FP cohort as measured by PDC (23.5% vs. 14.5%; p&lt; .0001) and prescription fills (2.70 vs. 1.91; p&lt; .0001). The mean number of postindex SABA canister claims was significantly lower in the MF-DPI cohort compared with the FP cohort (1.04 vs. 1.40; p&lt; .0001). There was no significant difference in the mean number of postindex exacerbations between the cohorts. Conclusion. Adolescentyoung adult patients with mild asthma who received MF-DPI had better postindex adherence and fewer SABA canister claims than patients receiving FP. © 2010 Informa Healthcare USA, Inc.","author":[{"dropping-particle":"","family":"Friedman","given":"Howard S.","non-dropping-particle":"","parse-names":false,"suffix":""},{"dropping-particle":"","family":"Navaratnam","given":"Prakash","non-dropping-particle":"","parse-names":false,"suffix":""},{"dropping-particle":"","family":"McLaughlin","given":"John","non-dropping-particle":"","parse-names":false,"suffix":""}],"container-title":"Journal of Asthma","id":"ITEM-1","issue":"9","issued":{"date-parts":[["2010"]]},"page":"994-1000","title":"Treatment and outcomes - Adherence and asthma control with mometasone furoate versus fluticasone propionate in adolescents and young adults with mild asthma","type":"article-journal","volume":"47"},"uris":["http://www.mendeley.com/documents/?uuid=998f3cfb-473a-47f9-90a4-d35d70a7d080"]}],"mendeley":{"formattedCitation":"(15)","plainTextFormattedCitation":"(15)","previouslyFormattedCitation":"(15)"},"properties":{"noteIndex":0},"schema":"https://github.com/citation-style-language/schema/raw/master/csl-citation.json"}</w:instrText>
            </w:r>
            <w:r w:rsidRPr="00F02BC6">
              <w:rPr>
                <w:color w:val="000000"/>
                <w:lang w:val="en-US"/>
              </w:rPr>
              <w:fldChar w:fldCharType="separate"/>
            </w:r>
            <w:r w:rsidRPr="00F02BC6">
              <w:rPr>
                <w:color w:val="000000"/>
                <w:lang w:val="en-US"/>
              </w:rPr>
              <w:t>(15)</w:t>
            </w:r>
            <w:r w:rsidRPr="00F02BC6">
              <w:rPr>
                <w:color w:val="000000"/>
                <w:lang w:val="en-US"/>
              </w:rPr>
              <w:fldChar w:fldCharType="end"/>
            </w:r>
          </w:p>
        </w:tc>
      </w:tr>
      <w:tr w:rsidR="00801304" w:rsidRPr="00F02BC6" w14:paraId="24388BEC" w14:textId="77777777" w:rsidTr="00495804">
        <w:tc>
          <w:tcPr>
            <w:tcW w:w="2245" w:type="dxa"/>
            <w:vMerge/>
          </w:tcPr>
          <w:p w14:paraId="7373CB2E" w14:textId="77777777" w:rsidR="00801304" w:rsidRPr="00F02BC6" w:rsidRDefault="00801304" w:rsidP="00495804">
            <w:pPr>
              <w:rPr>
                <w:color w:val="000000"/>
                <w:lang w:val="en-US"/>
              </w:rPr>
            </w:pPr>
          </w:p>
        </w:tc>
        <w:tc>
          <w:tcPr>
            <w:tcW w:w="2610" w:type="dxa"/>
          </w:tcPr>
          <w:p w14:paraId="3C468648" w14:textId="77777777" w:rsidR="00801304" w:rsidRPr="00F02BC6" w:rsidRDefault="00801304" w:rsidP="00495804">
            <w:pPr>
              <w:rPr>
                <w:color w:val="000000"/>
                <w:lang w:val="en-US"/>
              </w:rPr>
            </w:pPr>
            <w:r w:rsidRPr="00F02BC6">
              <w:rPr>
                <w:color w:val="000000"/>
                <w:lang w:val="en-US"/>
              </w:rPr>
              <w:t xml:space="preserve">PDC≥80 adherent, </w:t>
            </w:r>
          </w:p>
        </w:tc>
        <w:tc>
          <w:tcPr>
            <w:tcW w:w="2435" w:type="dxa"/>
          </w:tcPr>
          <w:p w14:paraId="789A3CDD" w14:textId="77777777" w:rsidR="00801304" w:rsidRPr="00F02BC6" w:rsidRDefault="00801304" w:rsidP="00495804">
            <w:pPr>
              <w:jc w:val="center"/>
              <w:rPr>
                <w:color w:val="000000"/>
                <w:lang w:val="en-US"/>
              </w:rPr>
            </w:pPr>
            <w:r w:rsidRPr="00F02BC6">
              <w:rPr>
                <w:color w:val="000000"/>
                <w:lang w:val="en-US"/>
              </w:rPr>
              <w:t>PDC &lt;80 as non-adherent.</w:t>
            </w:r>
          </w:p>
        </w:tc>
        <w:tc>
          <w:tcPr>
            <w:tcW w:w="2613" w:type="dxa"/>
          </w:tcPr>
          <w:p w14:paraId="501DD9C7" w14:textId="77777777" w:rsidR="00801304" w:rsidRPr="00F02BC6" w:rsidRDefault="00801304" w:rsidP="00495804">
            <w:pPr>
              <w:jc w:val="center"/>
              <w:rPr>
                <w:color w:val="000000"/>
                <w:lang w:val="en-US"/>
              </w:rPr>
            </w:pPr>
            <w:r w:rsidRPr="00F02BC6">
              <w:rPr>
                <w:color w:val="000000"/>
                <w:lang w:val="en-US"/>
              </w:rPr>
              <w:fldChar w:fldCharType="begin" w:fldLock="1"/>
            </w:r>
            <w:r w:rsidRPr="00F02BC6">
              <w:rPr>
                <w:color w:val="000000"/>
                <w:lang w:val="en-US"/>
              </w:rPr>
              <w:instrText>ADDIN CSL_CITATION {"citationItems":[{"id":"ITEM-1","itemData":{"DOI":"10.1016/j.jval.2018.04.1567","ISSN":"10983015","author":[{"dropping-particle":"","family":"Korgaonkar","given":"S","non-dropping-particle":"","parse-names":false,"suffix":""},{"dropping-particle":"","family":"Banahan III","given":"B","non-dropping-particle":"","parse-names":false,"suffix":""},{"dropping-particle":"","family":"Pittman","given":"E","non-dropping-particle":"","parse-names":false,"suffix":""},{"dropping-particle":"","family":"Noble","given":"S","non-dropping-particle":"","parse-names":false,"suffix":""}],"container-title":"Value in Health","id":"ITEM-1","issued":{"date-parts":[["2018"]]},"page":"S231","title":"Effect of Depression on Adherence to Controller Medications and Healthcare Resource Utilization in Asthma Patients","type":"article-journal","volume":"21"},"uris":["http://www.mendeley.com/documents/?uuid=619b3188-4843-468b-aaff-d95e2a272bc4"]}],"mendeley":{"formattedCitation":"(59)","plainTextFormattedCitation":"(59)","previouslyFormattedCitation":"(59)"},"properties":{"noteIndex":0},"schema":"https://github.com/citation-style-language/schema/raw/master/csl-citation.json"}</w:instrText>
            </w:r>
            <w:r w:rsidRPr="00F02BC6">
              <w:rPr>
                <w:color w:val="000000"/>
                <w:lang w:val="en-US"/>
              </w:rPr>
              <w:fldChar w:fldCharType="separate"/>
            </w:r>
            <w:r w:rsidRPr="00F02BC6">
              <w:rPr>
                <w:color w:val="000000"/>
                <w:lang w:val="en-US"/>
              </w:rPr>
              <w:t>(59)</w:t>
            </w:r>
            <w:r w:rsidRPr="00F02BC6">
              <w:rPr>
                <w:color w:val="000000"/>
                <w:lang w:val="en-US"/>
              </w:rPr>
              <w:fldChar w:fldCharType="end"/>
            </w:r>
          </w:p>
        </w:tc>
      </w:tr>
      <w:tr w:rsidR="00801304" w:rsidRPr="00F02BC6" w14:paraId="05221C03" w14:textId="77777777" w:rsidTr="00495804">
        <w:tc>
          <w:tcPr>
            <w:tcW w:w="2245" w:type="dxa"/>
            <w:vMerge/>
          </w:tcPr>
          <w:p w14:paraId="285CB467" w14:textId="77777777" w:rsidR="00801304" w:rsidRPr="00F02BC6" w:rsidRDefault="00801304" w:rsidP="00495804">
            <w:pPr>
              <w:rPr>
                <w:color w:val="000000"/>
                <w:lang w:val="en-US"/>
              </w:rPr>
            </w:pPr>
          </w:p>
        </w:tc>
        <w:tc>
          <w:tcPr>
            <w:tcW w:w="2610" w:type="dxa"/>
          </w:tcPr>
          <w:p w14:paraId="07819AD4" w14:textId="77777777" w:rsidR="00801304" w:rsidRPr="00F02BC6" w:rsidRDefault="00801304" w:rsidP="00495804">
            <w:pPr>
              <w:rPr>
                <w:color w:val="000000"/>
                <w:lang w:val="en-US"/>
              </w:rPr>
            </w:pPr>
            <w:r w:rsidRPr="00F02BC6">
              <w:rPr>
                <w:color w:val="000000"/>
                <w:lang w:val="en-US"/>
              </w:rPr>
              <w:t>PDC≥80%, PDC≥70%, PDC≥60%, PDC≥50%.</w:t>
            </w:r>
          </w:p>
        </w:tc>
        <w:tc>
          <w:tcPr>
            <w:tcW w:w="2435" w:type="dxa"/>
          </w:tcPr>
          <w:p w14:paraId="121D6E77" w14:textId="77777777" w:rsidR="00801304" w:rsidRPr="00F02BC6" w:rsidRDefault="00801304" w:rsidP="00495804">
            <w:pPr>
              <w:jc w:val="center"/>
              <w:rPr>
                <w:color w:val="000000"/>
                <w:lang w:val="en-US"/>
              </w:rPr>
            </w:pPr>
          </w:p>
        </w:tc>
        <w:tc>
          <w:tcPr>
            <w:tcW w:w="2613" w:type="dxa"/>
          </w:tcPr>
          <w:p w14:paraId="0E238E98" w14:textId="77777777" w:rsidR="00801304" w:rsidRPr="00F02BC6" w:rsidRDefault="00801304" w:rsidP="00495804">
            <w:pPr>
              <w:jc w:val="center"/>
              <w:rPr>
                <w:color w:val="000000"/>
                <w:lang w:val="en-US"/>
              </w:rPr>
            </w:pPr>
            <w:r w:rsidRPr="00F02BC6">
              <w:rPr>
                <w:color w:val="000000"/>
                <w:lang w:val="en-US"/>
              </w:rPr>
              <w:fldChar w:fldCharType="begin" w:fldLock="1"/>
            </w:r>
            <w:r w:rsidRPr="00F02BC6">
              <w:rPr>
                <w:color w:val="000000"/>
                <w:lang w:val="en-US"/>
              </w:rPr>
              <w:instrText>ADDIN CSL_CITATION {"citationItems":[{"id":"ITEM-1","itemData":{"DOI":"10.18553/jmcp.2015.21.12.1124","ISSN":"10834087","abstract":"Background: Adherence to asthma long-term controller medications is one of the key drivers to improve asthma management among patients with persistent asthma. While suboptimal use of controller medications has been found to be associated with more frequent use of oral corticosteroids (OCS), few studies exist regarding the relationship between adherence to controller therapy and the use of short-acting beta2-agonists (SABAs). A better understanding of the association between adherence to asthma controller agents and use of reliever medications will help health care providers and decision makers enhance asthma management. Objective: To determine if there is a relationship between asthma controller adherence, risk of exacerbation requiring OCS, and use of asthma rescue agents. Methods: Texas Medicaid claims data from January 1, 2008, to August 31, 2011, were retrospectively analyzed. Continuously enrolled patients aged 5-63 years with a primary diagnosis of asthma (ICD-9-CM code 493) and with 4 or more prescription claims for any asthma medication in 1 year (persistent asthma) were included. The index date was the date of the first asthma controller prescription, and patients were followed for 1 year. The primary outcome variables were SABA (dichotomous: &lt; 6 vs. = 6) and OCS (continuous) use. The primary independent variable was adherence (proportion of days covered [PDC]) to asthma long-term controller medications. Covariates included demographics and nonstudy medication utilization. Multivariate logistic and linear regression analyses were employed to address the study objective. Results: The study sample (n = 32,172) was aged 15.0 ± 14.5 years, and adherence to controller therapy was 32.2% ± 19.7%. The mean number of SABA claims was 3.7 ± 3.1, with most patients having 1-5 claims (73.2%), whereas 19.4% had ≥ 6 SABA claims. The mean number of OCS claims was 1.0 ± 1.4. Adherent (PDC ≥ 50%) patients were 96.7% (OR = 1.967; 95% CI = 1.826-2.120) more likely to have ≥ 6 SABA claims when compared with nonadherent (PDC &lt; 50%) patients (P &lt; 0.001). As for OCS use, adherent patients had 0.11 fewer claims compared with nonadherent patients (P &lt; 0.001). Importantly, patients with ≥ 6 SABA claims had 0.7 more OCS claims compared with patients with &lt; 6 claims for SABA (P &lt; 0.001). The odds of having ≥ 6 SABA claims were higher for concurrent dual therapy users, older age, males, African Americans and higher number of nonstudy medications (P &lt; 0.001). Dual therapy us…","author":[{"dropping-particle":"","family":"Makhinova","given":"Tatiana","non-dropping-particle":"","parse-names":false,"suffix":""},{"dropping-particle":"","family":"Barner","given":"Jamie C.","non-dropping-particle":"","parse-names":false,"suffix":""},{"dropping-particle":"","family":"Richards","given":"Kristin M.","non-dropping-particle":"","parse-names":false,"suffix":""},{"dropping-particle":"","family":"Rascati","given":"Karen L.","non-dropping-particle":"","parse-names":false,"suffix":""}],"container-title":"Journal of Managed Care Pharmacy","id":"ITEM-1","issue":"12","issued":{"date-parts":[["2015"]]},"page":"1124-1132","title":"Asthma controller medication adherence, risk of exacerbation, and use of rescue agents among Texas medicaid patients with persistent asthma","type":"article-journal","volume":"21"},"uris":["http://www.mendeley.com/documents/?uuid=479a8537-3944-4e3d-bbe0-f6f79d0da103"]}],"mendeley":{"formattedCitation":"(36)","plainTextFormattedCitation":"(36)","previouslyFormattedCitation":"(36)"},"properties":{"noteIndex":0},"schema":"https://github.com/citation-style-language/schema/raw/master/csl-citation.json"}</w:instrText>
            </w:r>
            <w:r w:rsidRPr="00F02BC6">
              <w:rPr>
                <w:color w:val="000000"/>
                <w:lang w:val="en-US"/>
              </w:rPr>
              <w:fldChar w:fldCharType="separate"/>
            </w:r>
            <w:r w:rsidRPr="00F02BC6">
              <w:rPr>
                <w:color w:val="000000"/>
                <w:lang w:val="en-US"/>
              </w:rPr>
              <w:t>(36)</w:t>
            </w:r>
            <w:r w:rsidRPr="00F02BC6">
              <w:rPr>
                <w:color w:val="000000"/>
                <w:lang w:val="en-US"/>
              </w:rPr>
              <w:fldChar w:fldCharType="end"/>
            </w:r>
          </w:p>
        </w:tc>
      </w:tr>
      <w:tr w:rsidR="00801304" w:rsidRPr="00F02BC6" w14:paraId="61787889" w14:textId="77777777" w:rsidTr="00495804">
        <w:tc>
          <w:tcPr>
            <w:tcW w:w="2245" w:type="dxa"/>
            <w:vMerge/>
          </w:tcPr>
          <w:p w14:paraId="08995AD0" w14:textId="77777777" w:rsidR="00801304" w:rsidRPr="00F02BC6" w:rsidRDefault="00801304" w:rsidP="00495804">
            <w:pPr>
              <w:rPr>
                <w:color w:val="000000"/>
                <w:lang w:val="en-US"/>
              </w:rPr>
            </w:pPr>
          </w:p>
        </w:tc>
        <w:tc>
          <w:tcPr>
            <w:tcW w:w="2610" w:type="dxa"/>
          </w:tcPr>
          <w:p w14:paraId="7E3D881E" w14:textId="77777777" w:rsidR="00801304" w:rsidRPr="00F02BC6" w:rsidRDefault="00801304" w:rsidP="00495804">
            <w:pPr>
              <w:rPr>
                <w:color w:val="000000"/>
                <w:lang w:val="en-US"/>
              </w:rPr>
            </w:pPr>
            <w:r w:rsidRPr="00F02BC6">
              <w:rPr>
                <w:color w:val="000000"/>
                <w:lang w:val="en-US"/>
              </w:rPr>
              <w:t>mean PDC≥0.5; PDC≥0.8</w:t>
            </w:r>
          </w:p>
        </w:tc>
        <w:tc>
          <w:tcPr>
            <w:tcW w:w="2435" w:type="dxa"/>
          </w:tcPr>
          <w:p w14:paraId="199BEDB2" w14:textId="77777777" w:rsidR="00801304" w:rsidRPr="00F02BC6" w:rsidRDefault="00801304" w:rsidP="00495804">
            <w:pPr>
              <w:jc w:val="center"/>
              <w:rPr>
                <w:color w:val="000000"/>
                <w:lang w:val="en-US"/>
              </w:rPr>
            </w:pPr>
          </w:p>
        </w:tc>
        <w:tc>
          <w:tcPr>
            <w:tcW w:w="2613" w:type="dxa"/>
          </w:tcPr>
          <w:p w14:paraId="0DFA96D1" w14:textId="77777777" w:rsidR="00801304" w:rsidRPr="00F02BC6" w:rsidRDefault="00801304" w:rsidP="00495804">
            <w:pPr>
              <w:jc w:val="center"/>
              <w:rPr>
                <w:color w:val="000000"/>
                <w:lang w:val="en-US"/>
              </w:rPr>
            </w:pPr>
            <w:r w:rsidRPr="00F02BC6">
              <w:rPr>
                <w:color w:val="000000"/>
                <w:lang w:val="en-US"/>
              </w:rPr>
              <w:fldChar w:fldCharType="begin" w:fldLock="1"/>
            </w:r>
            <w:r w:rsidRPr="00F02BC6">
              <w:rPr>
                <w:color w:val="000000"/>
                <w:lang w:val="en-US"/>
              </w:rPr>
              <w:instrText>ADDIN CSL_CITATION {"citationItems":[{"id":"ITEM-1","itemData":{"DOI":"10.1016/j.jaip.2018.12.021","ISSN":"22132198","abstract":"Background: Although efficacy and safety of fluticasone furoate/vilanterol (FF/VI) and budesonide/formoterol (BUD/F) have been demonstrated in clinical studies, real-world comparisons of utilization have not been performed. Objective: To compare similar patients with asthma initiating FF/VI or BUD/F on measures of adherence, persistence, and the asthma medication ratio (AMR). Methods: This was a retrospective cohort study of commercial and Medicare Advantage with Part D enrollees initiating FF/VI or BUD/F for asthma. Adult patients (≥18 years) with at least 15-month (12-month preindex and 3-month postindex) continuous enrollment and 1 or more asthma diagnosis code were eligible for the study. Patients with a history of fixed-dose inhaled corticosteroid/long-acting β-agonist and other respiratory disorders (chronic obstructive pulmonary disease, cystic fibrosis, acute respiratory failure) in the baseline period were excluded. Propensity-score matching was used to balance cohorts on baseline characteristics. Logistic regression and Cox-proportional hazard models were used to assess differences. Results: A total of 9951 patients met all criteria. After propensity-score matching, 1725 patients were matched in each cohort. Subjects who initiated FF/VI had a significantly higher mean proportion of days covered (P &lt; .001), had 86% greater odds of having a proportion of days covered value of greater than or equal to 0.80 (adjusted odds ratio, 1.86; 95% CI, 1.51-2.30), 26% lower risk of discontinuation (adjusted hazard ratio, 0.74; 95% CI, 0.69-0.79), and 36% greater odds of an AMR of greater than or equal to 0.50 (adjusted odds ratio, 1.36; 95% CI, 1.23-1.50) compared with BUD/F. Conclusions: Adherence and treatment persistence were low in both cohorts; however, patients initiating once-daily FF/VI were more likely to be adherent, have an AMR of greater than or equal to 0.5, and were less likely to discontinue therapy compared with patients initiating twice-daily BUD/F (GlaxoSmithKline Study HO1617302/206482).","author":[{"dropping-particle":"","family":"Stanford","given":"Richard H.","non-dropping-particle":"","parse-names":false,"suffix":""},{"dropping-particle":"","family":"Averell","given":"Carlyne","non-dropping-particle":"","parse-names":false,"suffix":""},{"dropping-particle":"","family":"Parker","given":"Emily D.","non-dropping-particle":"","parse-names":false,"suffix":""},{"dropping-particle":"","family":"Blauer-Peterson","given":"Cori","non-dropping-particle":"","parse-names":false,"suffix":""},{"dropping-particle":"","family":"Reinsch","given":"Tyler K.","non-dropping-particle":"","parse-names":false,"suffix":""},{"dropping-particle":"","family":"Buikema","given":"Ami R.","non-dropping-particle":"","parse-names":false,"suffix":""}],"container-title":"Journal of Allergy and Clinical Immunology: In Practice","id":"ITEM-1","issue":"5","issued":{"date-parts":[["2019"]]},"page":"1488-1496.e7","publisher":"Elsevier Inc","title":"Assessment of Adherence and Asthma Medication Ratio for a Once-Daily and Twice-Daily Inhaled Corticosteroid/Long-Acting β-Agonist for Asthma","type":"article-journal","volume":"7"},"uris":["http://www.mendeley.com/documents/?uuid=bbb929af-5057-4e70-962a-1abd8e274446"]}],"mendeley":{"formattedCitation":"(21)","plainTextFormattedCitation":"(21)","previouslyFormattedCitation":"(21)"},"properties":{"noteIndex":0},"schema":"https://github.com/citation-style-language/schema/raw/master/csl-citation.json"}</w:instrText>
            </w:r>
            <w:r w:rsidRPr="00F02BC6">
              <w:rPr>
                <w:color w:val="000000"/>
                <w:lang w:val="en-US"/>
              </w:rPr>
              <w:fldChar w:fldCharType="separate"/>
            </w:r>
            <w:r w:rsidRPr="00F02BC6">
              <w:rPr>
                <w:color w:val="000000"/>
                <w:lang w:val="en-US"/>
              </w:rPr>
              <w:t>(21)</w:t>
            </w:r>
            <w:r w:rsidRPr="00F02BC6">
              <w:rPr>
                <w:color w:val="000000"/>
                <w:lang w:val="en-US"/>
              </w:rPr>
              <w:fldChar w:fldCharType="end"/>
            </w:r>
          </w:p>
        </w:tc>
      </w:tr>
      <w:tr w:rsidR="00801304" w:rsidRPr="00F02BC6" w14:paraId="0F8639CD" w14:textId="77777777" w:rsidTr="00495804">
        <w:tc>
          <w:tcPr>
            <w:tcW w:w="2245" w:type="dxa"/>
            <w:vMerge/>
          </w:tcPr>
          <w:p w14:paraId="65B50AD7" w14:textId="77777777" w:rsidR="00801304" w:rsidRPr="00F02BC6" w:rsidRDefault="00801304" w:rsidP="00495804">
            <w:pPr>
              <w:rPr>
                <w:color w:val="000000"/>
                <w:lang w:val="en-US"/>
              </w:rPr>
            </w:pPr>
          </w:p>
        </w:tc>
        <w:tc>
          <w:tcPr>
            <w:tcW w:w="2610" w:type="dxa"/>
          </w:tcPr>
          <w:p w14:paraId="6D6DC999" w14:textId="77777777" w:rsidR="00801304" w:rsidRPr="00F02BC6" w:rsidRDefault="00801304" w:rsidP="00495804">
            <w:pPr>
              <w:rPr>
                <w:color w:val="000000"/>
                <w:lang w:val="en-US"/>
              </w:rPr>
            </w:pPr>
            <w:r w:rsidRPr="00F02BC6">
              <w:rPr>
                <w:color w:val="000000"/>
                <w:lang w:val="en-US"/>
              </w:rPr>
              <w:t>PDC ≥50% and ≥80%</w:t>
            </w:r>
          </w:p>
        </w:tc>
        <w:tc>
          <w:tcPr>
            <w:tcW w:w="2435" w:type="dxa"/>
          </w:tcPr>
          <w:p w14:paraId="27DBD736" w14:textId="77777777" w:rsidR="00801304" w:rsidRPr="00F02BC6" w:rsidRDefault="00801304" w:rsidP="00495804">
            <w:pPr>
              <w:jc w:val="center"/>
              <w:rPr>
                <w:color w:val="000000"/>
                <w:lang w:val="en-US"/>
              </w:rPr>
            </w:pPr>
          </w:p>
        </w:tc>
        <w:tc>
          <w:tcPr>
            <w:tcW w:w="2613" w:type="dxa"/>
          </w:tcPr>
          <w:p w14:paraId="37DC0A5C" w14:textId="77777777" w:rsidR="00801304" w:rsidRPr="00F02BC6" w:rsidRDefault="00801304" w:rsidP="00495804">
            <w:pPr>
              <w:jc w:val="center"/>
              <w:rPr>
                <w:color w:val="000000"/>
                <w:lang w:val="en-US"/>
              </w:rPr>
            </w:pPr>
            <w:r w:rsidRPr="00F02BC6">
              <w:rPr>
                <w:color w:val="000000"/>
                <w:lang w:val="en-US"/>
              </w:rPr>
              <w:fldChar w:fldCharType="begin" w:fldLock="1"/>
            </w:r>
            <w:r w:rsidRPr="00F02BC6">
              <w:rPr>
                <w:color w:val="000000"/>
                <w:lang w:val="en-US"/>
              </w:rPr>
              <w:instrText>ADDIN CSL_CITATION {"citationItems":[{"id":"ITEM-1","itemData":{"DOI":"10.1300/J123v52n03_16","ISSN":"0361526X","author":[{"dropping-particle":"","family":"Svedsater","given":"H","non-dropping-particle":"","parse-names":false,"suffix":""},{"dropping-particle":"","family":"Parimi","given":"M","non-dropping-particle":"","parse-names":false,"suffix":""},{"dropping-particle":"","family":"Ann","given":"Q","non-dropping-particle":"","parse-names":false,"suffix":""},{"dropping-particle":"","family":"Gray","given":"CM","non-dropping-particle":"","parse-names":false,"suffix":""},{"dropping-particle":"","family":"Nixon","given":"M","non-dropping-particle":"","parse-names":false,"suffix":""},{"dropping-particle":"","family":"Boxall","given":"N","non-dropping-particle":"","parse-names":false,"suffix":""}],"container-title":"Thorax-2019-BTSabstracts2019.372","id":"ITEM-1","issue":"Suppl 2","issued":{"date-parts":[["2019"]]},"page":"A1-A262","title":"A retrospective database study of persistence abd adherence in patients with asthma in the UK (UK-THIN): Fluticasone furoate/Vilanterol (FF/ VI) versus Beclometasone Dipropionate/Formoterol (BDP/FM)","type":"paper-conference","volume":"74"},"uris":["http://www.mendeley.com/documents/?uuid=e2c23895-c37c-4870-b11f-fe014a1ac10c"]}],"mendeley":{"formattedCitation":"(42)","plainTextFormattedCitation":"(42)","previouslyFormattedCitation":"(42)"},"properties":{"noteIndex":0},"schema":"https://github.com/citation-style-language/schema/raw/master/csl-citation.json"}</w:instrText>
            </w:r>
            <w:r w:rsidRPr="00F02BC6">
              <w:rPr>
                <w:color w:val="000000"/>
                <w:lang w:val="en-US"/>
              </w:rPr>
              <w:fldChar w:fldCharType="separate"/>
            </w:r>
            <w:r w:rsidRPr="00F02BC6">
              <w:rPr>
                <w:color w:val="000000"/>
                <w:lang w:val="en-US"/>
              </w:rPr>
              <w:t>(42)</w:t>
            </w:r>
            <w:r w:rsidRPr="00F02BC6">
              <w:rPr>
                <w:color w:val="000000"/>
                <w:lang w:val="en-US"/>
              </w:rPr>
              <w:fldChar w:fldCharType="end"/>
            </w:r>
          </w:p>
        </w:tc>
      </w:tr>
      <w:tr w:rsidR="00801304" w:rsidRPr="00F02BC6" w14:paraId="28F34B59" w14:textId="77777777" w:rsidTr="00495804">
        <w:tc>
          <w:tcPr>
            <w:tcW w:w="2245" w:type="dxa"/>
          </w:tcPr>
          <w:p w14:paraId="2B6420CD" w14:textId="77777777" w:rsidR="00801304" w:rsidRPr="00F02BC6" w:rsidRDefault="00801304" w:rsidP="00495804">
            <w:pPr>
              <w:rPr>
                <w:color w:val="000000"/>
                <w:lang w:val="en-US"/>
              </w:rPr>
            </w:pPr>
            <w:r w:rsidRPr="00F02BC6">
              <w:rPr>
                <w:color w:val="000000"/>
                <w:lang w:val="en-US"/>
              </w:rPr>
              <w:t xml:space="preserve">Adjusted PDC </w:t>
            </w:r>
          </w:p>
        </w:tc>
        <w:tc>
          <w:tcPr>
            <w:tcW w:w="2610" w:type="dxa"/>
          </w:tcPr>
          <w:p w14:paraId="3B4B1C35" w14:textId="77777777" w:rsidR="00801304" w:rsidRPr="00F02BC6" w:rsidRDefault="00801304" w:rsidP="00495804">
            <w:pPr>
              <w:rPr>
                <w:color w:val="000000"/>
                <w:lang w:val="en-US"/>
              </w:rPr>
            </w:pPr>
            <w:r w:rsidRPr="00F02BC6">
              <w:rPr>
                <w:color w:val="000000"/>
                <w:lang w:val="en-US"/>
              </w:rPr>
              <w:t>PDC ≥75%)</w:t>
            </w:r>
          </w:p>
        </w:tc>
        <w:tc>
          <w:tcPr>
            <w:tcW w:w="2435" w:type="dxa"/>
          </w:tcPr>
          <w:p w14:paraId="4B85FEE3" w14:textId="77777777" w:rsidR="00801304" w:rsidRPr="00F02BC6" w:rsidRDefault="00801304" w:rsidP="00495804">
            <w:pPr>
              <w:jc w:val="center"/>
              <w:rPr>
                <w:color w:val="000000"/>
                <w:lang w:val="en-US"/>
              </w:rPr>
            </w:pPr>
            <w:r w:rsidRPr="00F02BC6">
              <w:rPr>
                <w:color w:val="000000"/>
                <w:lang w:val="en-US"/>
              </w:rPr>
              <w:t>PDC &lt; 75%,</w:t>
            </w:r>
          </w:p>
        </w:tc>
        <w:tc>
          <w:tcPr>
            <w:tcW w:w="2613" w:type="dxa"/>
          </w:tcPr>
          <w:p w14:paraId="6E9017F0" w14:textId="77777777" w:rsidR="00801304" w:rsidRPr="00F02BC6" w:rsidRDefault="00801304" w:rsidP="00495804">
            <w:pPr>
              <w:jc w:val="center"/>
              <w:rPr>
                <w:color w:val="000000"/>
                <w:lang w:val="en-US"/>
              </w:rPr>
            </w:pPr>
            <w:r w:rsidRPr="00F02BC6">
              <w:rPr>
                <w:color w:val="000000"/>
                <w:lang w:val="en-US"/>
              </w:rPr>
              <w:fldChar w:fldCharType="begin" w:fldLock="1"/>
            </w:r>
            <w:r w:rsidRPr="00F02BC6">
              <w:rPr>
                <w:color w:val="000000"/>
                <w:lang w:val="en-US"/>
              </w:rPr>
              <w:instrText>ADDIN CSL_CITATION {"citationItems":[{"id":"ITEM-1","itemData":{"DOI":"10.1513/AnnalsATS.201410-459OC","ISSN":"23256621","abstract":"Rationale: Few previous studies have evaluated primary adherence (whether a new prescription is filled within 30 d) to controller medications in individuals with persistent asthma. Objective: To compare adherence to the major controller medication regimens for asthma. Methods: This was a retrospective cohort study of enrollees from five large health plans. Weused electronic medical data on patients of all ages with asthma who had experienced an asthma-related exacerbation in the prior 12 months.Westudied adherence measures including proportion of days covered and primary adherence (first prescription filled within 30 d). Measurements and Main Results: Our population included 69,652 subjects who had probable persistent asthma and were prescribed inhaled corticosteroids (ICSs), leukotriene antagonists (LTRAs), or ICS/long-acting b-agonists (ICS/LABAs). The mean age was 37 years and 58% were female.Wefound that 14-20% of subjects who were prescribed controller medicines for the first time did not fill their prescriptions. The mean proportion of days covered was 19% for ICS, 30% for LTRA, and 25% for ICS/LABA over 12 months. Using multivariate logistic regression, subjects prescribedLTRAwere less likely to be primary adherent than subjects prescribed ICS (odds ratio, 0.82; 95% confidence interval, 0.74-0.92) or ICS/LABA (odds ratio, 0.88; 95% confidence interval, 0.80-0.97). Black and Latino patients were less likely to fill the prescription compared with white patients. Conclusions: Adherence to controller medications for asthma is poor. In this insured population, primary adherence to ICSswas better than toLTRAs and ICS/LABAs.Adherence asmeasured by proportion of days covered was better for LTRAs and ICS/LABAs than for ICSs.","author":[{"dropping-particle":"","family":"Wu","given":"Ann Chen","non-dropping-particle":"","parse-names":false,"suffix":""},{"dropping-particle":"","family":"Butler","given":"Melissa G.","non-dropping-particle":"","parse-names":false,"suffix":""},{"dropping-particle":"","family":"Li","given":"Lingling","non-dropping-particle":"","parse-names":false,"suffix":""},{"dropping-particle":"","family":"Fung","given":"Vicki","non-dropping-particle":"","parse-names":false,"suffix":""},{"dropping-particle":"","family":"Kharbanda","given":"Elyse O.","non-dropping-particle":"","parse-names":false,"suffix":""},{"dropping-particle":"","family":"Larkin","given":"Emma K.","non-dropping-particle":"","parse-names":false,"suffix":""},{"dropping-particle":"","family":"Vollmer","given":"William M.","non-dropping-particle":"","parse-names":false,"suffix":""},{"dropping-particle":"","family":"Miroshnik","given":"Irina","non-dropping-particle":"","parse-names":false,"suffix":""},{"dropping-particle":"","family":"Davis","given":"Robert L.","non-dropping-particle":"","parse-names":false,"suffix":""},{"dropping-particle":"","family":"Lieu","given":"Tracy A.","non-dropping-particle":"","parse-names":false,"suffix":""},{"dropping-particle":"","family":"Soumerai","given":"Stephen B.","non-dropping-particle":"","parse-names":false,"suffix":""}],"container-title":"Annals of the American Thoracic Society","id":"ITEM-1","issue":"2","issued":{"date-parts":[["2015"]]},"page":"161-166","title":"Primary adherence to controller medications for asthma is poor","type":"article-journal","volume":"12"},"uris":["http://www.mendeley.com/documents/?uuid=14f9c980-5148-49e2-a7e5-752fbd6b3e63"]}],"mendeley":{"formattedCitation":"(47)","plainTextFormattedCitation":"(47)","previouslyFormattedCitation":"(47)"},"properties":{"noteIndex":0},"schema":"https://github.com/citation-style-language/schema/raw/master/csl-citation.json"}</w:instrText>
            </w:r>
            <w:r w:rsidRPr="00F02BC6">
              <w:rPr>
                <w:color w:val="000000"/>
                <w:lang w:val="en-US"/>
              </w:rPr>
              <w:fldChar w:fldCharType="separate"/>
            </w:r>
            <w:r w:rsidRPr="00F02BC6">
              <w:rPr>
                <w:color w:val="000000"/>
                <w:lang w:val="en-US"/>
              </w:rPr>
              <w:t>(47)</w:t>
            </w:r>
            <w:r w:rsidRPr="00F02BC6">
              <w:rPr>
                <w:color w:val="000000"/>
                <w:lang w:val="en-US"/>
              </w:rPr>
              <w:fldChar w:fldCharType="end"/>
            </w:r>
          </w:p>
        </w:tc>
      </w:tr>
      <w:tr w:rsidR="00801304" w:rsidRPr="00F02BC6" w14:paraId="4C2CF1BF" w14:textId="77777777" w:rsidTr="00495804">
        <w:tc>
          <w:tcPr>
            <w:tcW w:w="2245" w:type="dxa"/>
            <w:vMerge w:val="restart"/>
          </w:tcPr>
          <w:p w14:paraId="189E643C" w14:textId="77777777" w:rsidR="00801304" w:rsidRPr="00F02BC6" w:rsidRDefault="00801304" w:rsidP="00495804">
            <w:pPr>
              <w:rPr>
                <w:color w:val="000000"/>
                <w:lang w:val="en-US"/>
              </w:rPr>
            </w:pPr>
            <w:r w:rsidRPr="00F02BC6">
              <w:rPr>
                <w:color w:val="000000"/>
                <w:lang w:val="en-US"/>
              </w:rPr>
              <w:t>MPR</w:t>
            </w:r>
          </w:p>
        </w:tc>
        <w:tc>
          <w:tcPr>
            <w:tcW w:w="2610" w:type="dxa"/>
          </w:tcPr>
          <w:p w14:paraId="0F780F8B" w14:textId="77777777" w:rsidR="00801304" w:rsidRPr="00F02BC6" w:rsidRDefault="00801304" w:rsidP="00495804">
            <w:pPr>
              <w:rPr>
                <w:color w:val="000000"/>
                <w:lang w:val="en-US"/>
              </w:rPr>
            </w:pPr>
            <w:r w:rsidRPr="00F02BC6">
              <w:rPr>
                <w:color w:val="000000"/>
                <w:lang w:val="en-US"/>
              </w:rPr>
              <w:t>Medium-high = MPR ≥0.5, MPR ≥ 0.8</w:t>
            </w:r>
          </w:p>
        </w:tc>
        <w:tc>
          <w:tcPr>
            <w:tcW w:w="2435" w:type="dxa"/>
          </w:tcPr>
          <w:p w14:paraId="0BF8EE63" w14:textId="77777777" w:rsidR="00801304" w:rsidRPr="00F02BC6" w:rsidRDefault="00801304" w:rsidP="00495804">
            <w:pPr>
              <w:jc w:val="center"/>
              <w:rPr>
                <w:color w:val="000000"/>
                <w:lang w:val="en-US"/>
              </w:rPr>
            </w:pPr>
            <w:r w:rsidRPr="00F02BC6">
              <w:rPr>
                <w:color w:val="000000"/>
                <w:lang w:val="en-US"/>
              </w:rPr>
              <w:t>Low = MPR&lt;0.5</w:t>
            </w:r>
          </w:p>
        </w:tc>
        <w:tc>
          <w:tcPr>
            <w:tcW w:w="2613" w:type="dxa"/>
          </w:tcPr>
          <w:p w14:paraId="67DE09DA" w14:textId="77777777" w:rsidR="00801304" w:rsidRPr="00F02BC6" w:rsidRDefault="00801304" w:rsidP="00495804">
            <w:pPr>
              <w:jc w:val="center"/>
              <w:rPr>
                <w:color w:val="000000"/>
                <w:lang w:val="en-US"/>
              </w:rPr>
            </w:pPr>
            <w:r w:rsidRPr="00F02BC6">
              <w:rPr>
                <w:color w:val="000000"/>
                <w:lang w:val="en-US"/>
              </w:rPr>
              <w:fldChar w:fldCharType="begin" w:fldLock="1"/>
            </w:r>
            <w:r w:rsidRPr="00F02BC6">
              <w:rPr>
                <w:color w:val="000000"/>
                <w:lang w:val="en-US"/>
              </w:rPr>
              <w:instrText>ADDIN CSL_CITATION {"citationItems":[{"id":"ITEM-1","itemData":{"DOI":"10.1016/j.sapharm.2016.07.007","ISSN":"15517411","abstract":"Background Adherence with asthma medications is less than optimal, measuring approximately 30–50%. Several factors have been shown to contribute to medication non-adherence including low-socioeconomic status, low literacy, medication cost, access to care, and language barriers. Community Health Clinic Ole has attempted to reduce medication adherence barriers associated with cost, access to care, and language by 1) allowing medications to be obtained from the clinic at a reduced cost via the 340B drug pricing program and patient assistance programs, and 2) providing one-on-one consultations from bilingual Spanish-speaking clinicians. Limited evidence is available regarding chronic disease-state medication adherence among Spanish-speaking individuals presenting to a Federally Qualified Health Center (FQHC). Objective The purpose of this study is to assess asthma medication adherence and determine predictors of non-adherence in the underserved population at an FQHC. Methods Adult patients with a diagnosis of persistent asthma receiving medication refills from clinic between October 1, 2011 and October 31, 2012 were identified (N = 121). Individuals with intermittent or seasonal asthma only, exercise-induced asthma only, or mixed asthma/COPD; individuals who have not picked up at least one fill of inhaled corticosteroid in the past one-year; and individuals without active prescriptions for asthma controller medications were excluded. Medication adherence was assessed by using the medication possession ratio (MPR) for asthma controller medications (e.g. inhaled corticosteroids, long-acting beta-2 agonists, leukotriene modifiers, and theophylline). Patients were categorized into two adherence groups: medium–high (MPR ≥ 0.5) and low (MPR &lt; 0.5). Results Approximately one-third of individuals were identified with medium–high adherence to asthma medications, of which only 8.3% of individuals were found to be fully adherent (MPR ≥ 0.8). The majority of individuals (66.1%) were identified with low adherence, despite efforts to reduce medication adherence barriers associated with drug cost, access to care, and language. Patients with low adherence were younger (39.3 vs. 45.4 yo; P &lt; 0.012), had fewer medication refills (2.1 vs. 5.3; P &lt; 0.001), had fewer primary care provider (PCP) visits (3.4 vs. 5.0; P &lt; 0.05), lower baseline Asthma Control Test (ACT) scores (13.1 vs. 17.3; P &lt; 0.001), and lower asthma medication ratios (AMR) (0.7 vs. 0.9; P &lt; 0.001) than patient…","author":[{"dropping-particle":"","family":"Bidwal","given":"Monica","non-dropping-particle":"","parse-names":false,"suffix":""},{"dropping-particle":"","family":"Lor","given":"Kajua","non-dropping-particle":"","parse-names":false,"suffix":""},{"dropping-particle":"","family":"Yu","given":"Junhua","non-dropping-particle":"","parse-names":false,"suffix":""},{"dropping-particle":"","family":"Ip","given":"Eric","non-dropping-particle":"","parse-names":false,"suffix":""}],"container-title":"Research in Social and Administrative Pharmacy","id":"ITEM-1","issue":"4","issued":{"date-parts":[["2017"]]},"page":"759-766","publisher":"Elsevier Inc","title":"Evaluation of asthma medication adherence rates and strategies to improve adherence in the underserved population at a Federally Qualified Health Center","type":"article-journal","volume":"13"},"uris":["http://www.mendeley.com/documents/?uuid=8ba2c98f-c86a-4685-b037-4813f165f572"]}],"mendeley":{"formattedCitation":"(19)","plainTextFormattedCitation":"(19)","previouslyFormattedCitation":"(19)"},"properties":{"noteIndex":0},"schema":"https://github.com/citation-style-language/schema/raw/master/csl-citation.json"}</w:instrText>
            </w:r>
            <w:r w:rsidRPr="00F02BC6">
              <w:rPr>
                <w:color w:val="000000"/>
                <w:lang w:val="en-US"/>
              </w:rPr>
              <w:fldChar w:fldCharType="separate"/>
            </w:r>
            <w:r w:rsidRPr="00F02BC6">
              <w:rPr>
                <w:color w:val="000000"/>
                <w:lang w:val="en-US"/>
              </w:rPr>
              <w:t>(19)</w:t>
            </w:r>
            <w:r w:rsidRPr="00F02BC6">
              <w:rPr>
                <w:color w:val="000000"/>
                <w:lang w:val="en-US"/>
              </w:rPr>
              <w:fldChar w:fldCharType="end"/>
            </w:r>
          </w:p>
        </w:tc>
      </w:tr>
      <w:tr w:rsidR="00801304" w:rsidRPr="00F02BC6" w14:paraId="344F6983" w14:textId="77777777" w:rsidTr="00495804">
        <w:tc>
          <w:tcPr>
            <w:tcW w:w="2245" w:type="dxa"/>
            <w:vMerge/>
          </w:tcPr>
          <w:p w14:paraId="73430865" w14:textId="77777777" w:rsidR="00801304" w:rsidRPr="00F02BC6" w:rsidRDefault="00801304" w:rsidP="00495804">
            <w:pPr>
              <w:rPr>
                <w:color w:val="000000"/>
                <w:lang w:val="en-US"/>
              </w:rPr>
            </w:pPr>
          </w:p>
        </w:tc>
        <w:tc>
          <w:tcPr>
            <w:tcW w:w="2610" w:type="dxa"/>
          </w:tcPr>
          <w:p w14:paraId="6DA60CFD" w14:textId="77777777" w:rsidR="00801304" w:rsidRPr="00F02BC6" w:rsidRDefault="00801304" w:rsidP="00495804">
            <w:pPr>
              <w:rPr>
                <w:color w:val="000000"/>
                <w:lang w:val="en-US"/>
              </w:rPr>
            </w:pPr>
            <w:r w:rsidRPr="00F02BC6">
              <w:rPr>
                <w:color w:val="000000"/>
                <w:lang w:val="en-US"/>
              </w:rPr>
              <w:t>Good = MPR &gt; 0.75, intermediate =MPR: 0.74-0.51, poor &lt;0.5.</w:t>
            </w:r>
          </w:p>
        </w:tc>
        <w:tc>
          <w:tcPr>
            <w:tcW w:w="2435" w:type="dxa"/>
          </w:tcPr>
          <w:p w14:paraId="164D4152" w14:textId="77777777" w:rsidR="00801304" w:rsidRPr="00F02BC6" w:rsidRDefault="00801304" w:rsidP="00495804">
            <w:pPr>
              <w:jc w:val="center"/>
              <w:rPr>
                <w:color w:val="000000"/>
                <w:lang w:val="en-US"/>
              </w:rPr>
            </w:pPr>
            <w:r w:rsidRPr="00F02BC6">
              <w:rPr>
                <w:color w:val="000000"/>
                <w:lang w:val="en-US"/>
              </w:rPr>
              <w:t>MPR ≤ 0.5</w:t>
            </w:r>
          </w:p>
        </w:tc>
        <w:tc>
          <w:tcPr>
            <w:tcW w:w="2613" w:type="dxa"/>
          </w:tcPr>
          <w:p w14:paraId="2CCFA08F" w14:textId="77777777" w:rsidR="00801304" w:rsidRPr="00F02BC6" w:rsidRDefault="00801304" w:rsidP="00495804">
            <w:pPr>
              <w:jc w:val="center"/>
              <w:rPr>
                <w:color w:val="000000"/>
                <w:lang w:val="en-US"/>
              </w:rPr>
            </w:pPr>
            <w:r w:rsidRPr="00F02BC6">
              <w:rPr>
                <w:color w:val="000000"/>
                <w:lang w:val="en-US"/>
              </w:rPr>
              <w:fldChar w:fldCharType="begin" w:fldLock="1"/>
            </w:r>
            <w:r w:rsidRPr="00F02BC6">
              <w:rPr>
                <w:color w:val="000000"/>
                <w:lang w:val="en-US"/>
              </w:rPr>
              <w:instrText>ADDIN CSL_CITATION {"citationItems":[{"id":"ITEM-1","itemData":{"DOI":"10.1183/13993003.02259-2019","ISSN":"0903-1936","PMID":"32060061","abstract":"INTRODUCTION Inhaled corticosteroids (ICS) achieve disease control in the majority of asthmatics, although adherence to prescribed ICS is often poor. Patients with severe eosinophilic asthma (SEA) may require treatment with oral corticosteroids (OCS) and/or biologic agents such as mepolizumab. It is unknown if ICS adherence changes on, or alters clinical response to, biologic therapy. METHODS We examined ICS adherence and clinical outcomes in OCS-dependent SEA patients who completed 1 year of mepolizumab therapy. The ICS Medicines Possession Ratio was calculated (MPR; the number of doses of ICS issued on prescription/expected number) for the year before and the year after biologic initiation. Good adherence was defined as MPR&gt;0.75, intermediate: 0.74-0.51 and poor: &lt;0.5. We examined outcomes after 12 months of biologic therapy, including OCS reduction and annualised exacerbation rate (AER), stratified by adherence to ICS on mepolizumab. RESULTS Of 109 patients commencing mepolizumab, 91 who had completed 12 months of treatment were included in the final analysis. Whilst receiving mepolizumab, 68% had good ICS adherence, with 16(18%) having poor ICS adherence. ICS use within the cohort remained similar before (MPR 0.81±0.32) and on mepolizumab (0.82±0.32;p=0.78). Patients with good adherence had greater reductions in OCS dose (median percentage OCS reduction 100(IQR 74-100) versus 60(IQR 27-100);p=0.031) and exacerbations (AER change -2.1±3.1 versus 0.3±2.5;p=0.011) than those with poor adherence. Good ICS adherence predicted the likelihood of stopping maintenance OCS (adjusted OR 3.19;95%CI 1.02-9.94;p=0.045). CONCLUSION ICS non-adherence is common in SEA patients receiving mepolizumab, and is associated with a lesser reduction in OCS requirements and AER.","author":[{"dropping-particle":"","family":"D'Ancona","given":"Gráinne","non-dropping-particle":"","parse-names":false,"suffix":""},{"dropping-particle":"","family":"Kavanagh","given":"Joanne","non-dropping-particle":"","parse-names":false,"suffix":""},{"dropping-particle":"","family":"Roxas","given":"Cris","non-dropping-particle":"","parse-names":false,"suffix":""},{"dropping-particle":"","family":"Green","given":"Linda","non-dropping-particle":"","parse-names":false,"suffix":""},{"dropping-particle":"","family":"Fernandes","given":"Mariana","non-dropping-particle":"","parse-names":false,"suffix":""},{"dropping-particle":"","family":"Thomson","given":"Louise","non-dropping-particle":"","parse-names":false,"suffix":""},{"dropping-particle":"","family":"Dhariwal","given":"Jaideep","non-dropping-particle":"","parse-names":false,"suffix":""},{"dropping-particle":"","family":"Nanzer","given":"Alexandra M.","non-dropping-particle":"","parse-names":false,"suffix":""},{"dropping-particle":"","family":"Jackson","given":"David J.","non-dropping-particle":"","parse-names":false,"suffix":""},{"dropping-particle":"","family":"Kent","given":"Brian D.","non-dropping-particle":"","parse-names":false,"suffix":""}],"container-title":"European Respiratory Journal","id":"ITEM-1","issued":{"date-parts":[["2020"]]},"page":"1-7","title":"Adherence to Inhaled Corticosteroids and Clinical Outcomes in Mepolizumab Therapy for Severe Asthma","type":"article-journal","volume":"55"},"uris":["http://www.mendeley.com/documents/?uuid=d6208da8-4362-401e-90d4-73e33b8a53cf"]}],"mendeley":{"formattedCitation":"(56)","plainTextFormattedCitation":"(56)","previouslyFormattedCitation":"(56)"},"properties":{"noteIndex":0},"schema":"https://github.com/citation-style-language/schema/raw/master/csl-citation.json"}</w:instrText>
            </w:r>
            <w:r w:rsidRPr="00F02BC6">
              <w:rPr>
                <w:color w:val="000000"/>
                <w:lang w:val="en-US"/>
              </w:rPr>
              <w:fldChar w:fldCharType="separate"/>
            </w:r>
            <w:r w:rsidRPr="00F02BC6">
              <w:rPr>
                <w:color w:val="000000"/>
                <w:lang w:val="en-US"/>
              </w:rPr>
              <w:t>(56)</w:t>
            </w:r>
            <w:r w:rsidRPr="00F02BC6">
              <w:rPr>
                <w:color w:val="000000"/>
                <w:lang w:val="en-US"/>
              </w:rPr>
              <w:fldChar w:fldCharType="end"/>
            </w:r>
          </w:p>
        </w:tc>
      </w:tr>
      <w:tr w:rsidR="00801304" w:rsidRPr="00F02BC6" w14:paraId="719365DC" w14:textId="77777777" w:rsidTr="00495804">
        <w:tc>
          <w:tcPr>
            <w:tcW w:w="2245" w:type="dxa"/>
            <w:vMerge/>
          </w:tcPr>
          <w:p w14:paraId="658F9F14" w14:textId="77777777" w:rsidR="00801304" w:rsidRPr="00F02BC6" w:rsidRDefault="00801304" w:rsidP="00495804">
            <w:pPr>
              <w:rPr>
                <w:color w:val="000000"/>
                <w:lang w:val="en-US"/>
              </w:rPr>
            </w:pPr>
          </w:p>
        </w:tc>
        <w:tc>
          <w:tcPr>
            <w:tcW w:w="2610" w:type="dxa"/>
          </w:tcPr>
          <w:p w14:paraId="51D6AFF6" w14:textId="77777777" w:rsidR="00801304" w:rsidRPr="00F02BC6" w:rsidRDefault="00801304" w:rsidP="00495804">
            <w:pPr>
              <w:rPr>
                <w:color w:val="000000"/>
                <w:lang w:val="en-US"/>
              </w:rPr>
            </w:pPr>
            <w:r w:rsidRPr="00F02BC6">
              <w:rPr>
                <w:color w:val="000000"/>
                <w:lang w:val="en-US"/>
              </w:rPr>
              <w:t xml:space="preserve">MPR ≥ 80%, </w:t>
            </w:r>
          </w:p>
        </w:tc>
        <w:tc>
          <w:tcPr>
            <w:tcW w:w="2435" w:type="dxa"/>
          </w:tcPr>
          <w:p w14:paraId="34294736" w14:textId="77777777" w:rsidR="00801304" w:rsidRPr="00F02BC6" w:rsidRDefault="00801304" w:rsidP="00495804">
            <w:pPr>
              <w:jc w:val="center"/>
              <w:rPr>
                <w:color w:val="000000"/>
                <w:lang w:val="en-US"/>
              </w:rPr>
            </w:pPr>
            <w:r w:rsidRPr="00F02BC6">
              <w:rPr>
                <w:color w:val="000000"/>
                <w:lang w:val="en-US"/>
              </w:rPr>
              <w:t>MPR &lt;80%</w:t>
            </w:r>
          </w:p>
        </w:tc>
        <w:tc>
          <w:tcPr>
            <w:tcW w:w="2613" w:type="dxa"/>
          </w:tcPr>
          <w:p w14:paraId="2E9DAA1A" w14:textId="77777777" w:rsidR="00801304" w:rsidRPr="00F02BC6" w:rsidRDefault="00801304" w:rsidP="00495804">
            <w:pPr>
              <w:jc w:val="center"/>
              <w:rPr>
                <w:color w:val="000000"/>
                <w:lang w:val="en-US"/>
              </w:rPr>
            </w:pPr>
            <w:r w:rsidRPr="00F02BC6">
              <w:rPr>
                <w:color w:val="000000"/>
                <w:lang w:val="en-US"/>
              </w:rPr>
              <w:fldChar w:fldCharType="begin" w:fldLock="1"/>
            </w:r>
            <w:r w:rsidRPr="00F02BC6">
              <w:rPr>
                <w:color w:val="000000"/>
                <w:lang w:val="en-US"/>
              </w:rPr>
              <w:instrText>ADDIN CSL_CITATION {"citationItems":[{"id":"ITEM-1","itemData":{"DOI":"10.1185/03007995.2014.908827","ISSN":"14734877","abstract":"Objective: Low adherence with asthma treatment may be associated with suboptimal outcomes and hence create a treatment gap in the real-life setting. The objective of this study was to assess the long-term association between adherence to treatment with fixed-dose fluticasone propionate/salmeterol (FSC) and the risk of exacerbations and health care utilization in patients with asthma. Research design and methods: Observational single cohort study utilizing the Quebec Health Insurance databases. All patients (age &gt;12 years) with a diagnosis of asthma (ICD9-CM 493.xx) between 2001 and 2010 were entered into the study cohort at the time of their first prescription for FSC at any dose. Follow-up continued to the last known claim or death. Adherence to treatment was ascertained as compliance (medication possession ratio ≥80%) and persistence (absence of treatment gap ≥30 days). Main outcome measures: Outcomes assessed were exacerbations defined as one of the following: use of oral corticosteroid (OCS), emergency room (ER) visit for asthma or hospitalization for asthma. Asthma related health care resource utilizations ascertained were number of prescription claims for rescue medications, ER visits, hospitalizations, intensive care unit (ICU) stay, intubations, and general practitioner (GP) and respirologist visits. Results: A total of 19,126 patients were included in the study. The proportion of compliant and persistent patients were 42.7% and 29.3% respectively. Multivariate logistic regression analyses showed a significantly reduced adjusted odds of exacerbations for compliant (OR=0.48; 95% CI: 0.44-0.54) and persistent patients (OR=0.42; 95% CI: 0.38-0.48). Similarly, significantly lower rates of health care utilization were observed for compliant and persistent patients. Conclusions: The results of this large population-based study have shown that increased adherence to treatment with FSC is associated with lower risk for exacerbations, lower rescue medication use and lower health care utilization in asthma patients. Despite the typical limitations of an administrative database study including validity of the diagnosis, the fact that compliance and persistence are calculated based on filled claims which does not guarantee that the patients actually took their medications, and the absence of clinical and laboratory data, the findings have implications for physician and patient awareness of the importance of adherence in the management of asthma. © 2014 All …","author":[{"dropping-particle":"","family":"Ismaila","given":"A.","non-dropping-particle":"","parse-names":false,"suffix":""},{"dropping-particle":"","family":"Corriveau","given":"D.","non-dropping-particle":"","parse-names":false,"suffix":""},{"dropping-particle":"","family":"Vaillancourt","given":"J.","non-dropping-particle":"","parse-names":false,"suffix":""},{"dropping-particle":"","family":"Parsons","given":"D.","non-dropping-particle":"","parse-names":false,"suffix":""},{"dropping-particle":"","family":"Stanford","given":"R.","non-dropping-particle":"","parse-names":false,"suffix":""},{"dropping-particle":"","family":"Su","given":"Z.","non-dropping-particle":"","parse-names":false,"suffix":""},{"dropping-particle":"","family":"Sampalis","given":"J. S.","non-dropping-particle":"","parse-names":false,"suffix":""}],"container-title":"Current Medical Research and Opinion","id":"ITEM-1","issue":"7","issued":{"date-parts":[["2014"]]},"page":"1417-1425","title":"Impact of adherence to treatment with fluticasone propionate/salmeterol in asthma patients","type":"article-journal","volume":"30"},"uris":["http://www.mendeley.com/documents/?uuid=cc0cbd3a-4aca-4eda-a2ba-598540b818a6"]}],"mendeley":{"formattedCitation":"(14)","plainTextFormattedCitation":"(14)","previouslyFormattedCitation":"(14)"},"properties":{"noteIndex":0},"schema":"https://github.com/citation-style-language/schema/raw/master/csl-citation.json"}</w:instrText>
            </w:r>
            <w:r w:rsidRPr="00F02BC6">
              <w:rPr>
                <w:color w:val="000000"/>
                <w:lang w:val="en-US"/>
              </w:rPr>
              <w:fldChar w:fldCharType="separate"/>
            </w:r>
            <w:r w:rsidRPr="00F02BC6">
              <w:rPr>
                <w:color w:val="000000"/>
                <w:lang w:val="en-US"/>
              </w:rPr>
              <w:t>(14)</w:t>
            </w:r>
            <w:r w:rsidRPr="00F02BC6">
              <w:rPr>
                <w:color w:val="000000"/>
                <w:lang w:val="en-US"/>
              </w:rPr>
              <w:fldChar w:fldCharType="end"/>
            </w:r>
          </w:p>
        </w:tc>
      </w:tr>
      <w:tr w:rsidR="00801304" w:rsidRPr="00F02BC6" w14:paraId="3C4699D4" w14:textId="77777777" w:rsidTr="00495804">
        <w:tc>
          <w:tcPr>
            <w:tcW w:w="2245" w:type="dxa"/>
            <w:vMerge/>
          </w:tcPr>
          <w:p w14:paraId="3EB78E86" w14:textId="77777777" w:rsidR="00801304" w:rsidRPr="00F02BC6" w:rsidRDefault="00801304" w:rsidP="00495804">
            <w:pPr>
              <w:rPr>
                <w:color w:val="000000"/>
                <w:lang w:val="en-US"/>
              </w:rPr>
            </w:pPr>
          </w:p>
        </w:tc>
        <w:tc>
          <w:tcPr>
            <w:tcW w:w="2610" w:type="dxa"/>
          </w:tcPr>
          <w:p w14:paraId="22E39036" w14:textId="77777777" w:rsidR="00801304" w:rsidRPr="00F02BC6" w:rsidRDefault="00801304" w:rsidP="00495804">
            <w:pPr>
              <w:rPr>
                <w:color w:val="000000"/>
                <w:lang w:val="en-US"/>
              </w:rPr>
            </w:pPr>
            <w:r w:rsidRPr="00F02BC6">
              <w:rPr>
                <w:color w:val="000000"/>
                <w:lang w:val="en-US"/>
              </w:rPr>
              <w:t>Excess adherence (MPR &gt;100%.</w:t>
            </w:r>
          </w:p>
        </w:tc>
        <w:tc>
          <w:tcPr>
            <w:tcW w:w="2435" w:type="dxa"/>
          </w:tcPr>
          <w:p w14:paraId="0F201FD1" w14:textId="77777777" w:rsidR="00801304" w:rsidRPr="00F02BC6" w:rsidRDefault="00801304" w:rsidP="00495804">
            <w:pPr>
              <w:jc w:val="center"/>
              <w:rPr>
                <w:color w:val="000000"/>
                <w:lang w:val="en-US"/>
              </w:rPr>
            </w:pPr>
            <w:r w:rsidRPr="00F02BC6">
              <w:rPr>
                <w:color w:val="000000"/>
                <w:lang w:val="en-US"/>
              </w:rPr>
              <w:t>MPR≤100%</w:t>
            </w:r>
          </w:p>
        </w:tc>
        <w:tc>
          <w:tcPr>
            <w:tcW w:w="2613" w:type="dxa"/>
          </w:tcPr>
          <w:p w14:paraId="5E71513E" w14:textId="77777777" w:rsidR="00801304" w:rsidRPr="00F02BC6" w:rsidRDefault="00801304" w:rsidP="00495804">
            <w:pPr>
              <w:jc w:val="center"/>
              <w:rPr>
                <w:color w:val="000000"/>
                <w:lang w:val="en-US"/>
              </w:rPr>
            </w:pPr>
            <w:r w:rsidRPr="00F02BC6">
              <w:rPr>
                <w:color w:val="000000"/>
                <w:lang w:val="en-US"/>
              </w:rPr>
              <w:fldChar w:fldCharType="begin" w:fldLock="1"/>
            </w:r>
            <w:r w:rsidRPr="00F02BC6">
              <w:rPr>
                <w:color w:val="000000"/>
                <w:lang w:val="en-US"/>
              </w:rPr>
              <w:instrText>ADDIN CSL_CITATION {"citationItems":[{"id":"ITEM-1","itemData":{"abstract":"The proceedings contain 3712 papers. The topics discussed include: cardiopulmonary exercise test (CPET) may show initial right cardiac dysfunction in patients with moderate-severe chronic obstructive pulmonary disease (COPD); benefits of pulmonary rehabilitation on exercise desaturation in COPD patients; does muscle wasting always mean muscle weakness? a prevalence study in COPD; cross sectional analysis of COPD care by specialists and general practitioners - national survey; correlations between the German versions of the clinical COPD questionnaire (CCQ), COPD assessment test (CAT) and the St George respiratory questionnaire (SGRQ); does using the largest measured vital capacity in PFT intepretation help categorize patients out of the nonspecific pattern?; nonlinear dynamics of heart rate variability in patients with chronic obstructive pulmonary disease and changes after 4-week rehabilitation; and clinical and functional differences, exercise capacity and physical activity among frequent and not frequent exacerbators in COPD patients.","author":[{"dropping-particle":"","family":"Martin","given":"Richard","non-dropping-particle":"","parse-names":false,"suffix":""},{"dropping-particle":"","family":"Price","given":"David","non-dropping-particle":"","parse-names":false,"suffix":""},{"dropping-particle":"","family":"Krishnan","given":"Jerry","non-dropping-particle":"","parse-names":false,"suffix":""},{"dropping-particle":"","family":"Campbell","given":"Jonathan D","non-dropping-particle":"","parse-names":false,"suffix":""},{"dropping-particle":"","family":"Bjermer","given":"Leif","non-dropping-particle":"","parse-names":false,"suffix":""},{"dropping-particle":"","family":"Mclvor","given":"Andrew","non-dropping-particle":"","parse-names":false,"suffix":""},{"dropping-particle":"","family":"Wong","given":"Gary","non-dropping-particle":"","parse-names":false,"suffix":""},{"dropping-particle":"","family":"Miravitlles","given":"Marc","non-dropping-particle":"","parse-names":false,"suffix":""},{"dropping-particle":"","family":"Chisholm","given":"Alison","non-dropping-particle":"","parse-names":false,"suffix":""},{"dropping-particle":"","family":"Burden","given":"Annie","non-dropping-particle":"","parse-names":false,"suffix":""}],"container-title":"European Respiratory Society Annual Congress 2013","id":"ITEM-1","issued":{"date-parts":[["2013"]]},"page":"10-11","title":"Excess inhaled corticosteroid adherence may be a marker of uncontrolled asthma","type":"paper-conference","volume":"3"},"uris":["http://www.mendeley.com/documents/?uuid=819c43af-bc88-4b29-9019-ee8a2caa9940"]}],"mendeley":{"formattedCitation":"(60)","plainTextFormattedCitation":"(60)","previouslyFormattedCitation":"(60)"},"properties":{"noteIndex":0},"schema":"https://github.com/citation-style-language/schema/raw/master/csl-citation.json"}</w:instrText>
            </w:r>
            <w:r w:rsidRPr="00F02BC6">
              <w:rPr>
                <w:color w:val="000000"/>
                <w:lang w:val="en-US"/>
              </w:rPr>
              <w:fldChar w:fldCharType="separate"/>
            </w:r>
            <w:r w:rsidRPr="00F02BC6">
              <w:rPr>
                <w:color w:val="000000"/>
                <w:lang w:val="en-US"/>
              </w:rPr>
              <w:t>(60)</w:t>
            </w:r>
            <w:r w:rsidRPr="00F02BC6">
              <w:rPr>
                <w:color w:val="000000"/>
                <w:lang w:val="en-US"/>
              </w:rPr>
              <w:fldChar w:fldCharType="end"/>
            </w:r>
          </w:p>
        </w:tc>
      </w:tr>
      <w:tr w:rsidR="00801304" w:rsidRPr="00F02BC6" w14:paraId="39573050" w14:textId="77777777" w:rsidTr="00495804">
        <w:tc>
          <w:tcPr>
            <w:tcW w:w="2245" w:type="dxa"/>
            <w:vMerge/>
          </w:tcPr>
          <w:p w14:paraId="7B883FD7" w14:textId="77777777" w:rsidR="00801304" w:rsidRPr="00F02BC6" w:rsidRDefault="00801304" w:rsidP="00495804">
            <w:pPr>
              <w:rPr>
                <w:color w:val="000000"/>
                <w:lang w:val="en-US"/>
              </w:rPr>
            </w:pPr>
          </w:p>
        </w:tc>
        <w:tc>
          <w:tcPr>
            <w:tcW w:w="2610" w:type="dxa"/>
          </w:tcPr>
          <w:p w14:paraId="3506158A" w14:textId="77777777" w:rsidR="00801304" w:rsidRPr="00F02BC6" w:rsidRDefault="00801304" w:rsidP="00495804">
            <w:pPr>
              <w:rPr>
                <w:color w:val="000000"/>
                <w:lang w:val="en-US"/>
              </w:rPr>
            </w:pPr>
            <w:r w:rsidRPr="00F02BC6">
              <w:rPr>
                <w:color w:val="000000"/>
                <w:lang w:val="en-US"/>
              </w:rPr>
              <w:t>Values above the median MPR</w:t>
            </w:r>
          </w:p>
        </w:tc>
        <w:tc>
          <w:tcPr>
            <w:tcW w:w="2435" w:type="dxa"/>
          </w:tcPr>
          <w:p w14:paraId="4575217B" w14:textId="77777777" w:rsidR="00801304" w:rsidRPr="00F02BC6" w:rsidRDefault="00801304" w:rsidP="00495804">
            <w:pPr>
              <w:jc w:val="center"/>
              <w:rPr>
                <w:color w:val="000000"/>
                <w:lang w:val="en-US"/>
              </w:rPr>
            </w:pPr>
            <w:r w:rsidRPr="00F02BC6">
              <w:rPr>
                <w:color w:val="000000"/>
                <w:lang w:val="en-US"/>
              </w:rPr>
              <w:t>Values below the median MPR</w:t>
            </w:r>
          </w:p>
        </w:tc>
        <w:tc>
          <w:tcPr>
            <w:tcW w:w="2613" w:type="dxa"/>
          </w:tcPr>
          <w:p w14:paraId="39923710" w14:textId="77777777" w:rsidR="00801304" w:rsidRPr="00F02BC6" w:rsidRDefault="00801304" w:rsidP="00495804">
            <w:pPr>
              <w:jc w:val="center"/>
              <w:rPr>
                <w:color w:val="000000"/>
                <w:lang w:val="en-US"/>
              </w:rPr>
            </w:pPr>
            <w:r w:rsidRPr="00F02BC6">
              <w:rPr>
                <w:color w:val="000000"/>
                <w:lang w:val="en-US"/>
              </w:rPr>
              <w:fldChar w:fldCharType="begin" w:fldLock="1"/>
            </w:r>
            <w:r w:rsidRPr="00F02BC6">
              <w:rPr>
                <w:color w:val="000000"/>
                <w:lang w:val="en-US"/>
              </w:rPr>
              <w:instrText>ADDIN CSL_CITATION {"citationItems":[{"id":"ITEM-1","itemData":{"DOI":"10.1080/03007995.2019.1586221","ISSN":"14734877","abstract":"Purpose: The purpose of this study is to determine racial and ethnic disparities with the adherence to inhaled corticosteroids (ICSs) in adults with persistent asthma, and their association with healthcare expenditures. Methods: A retrospective, cross-sectional study using the Medical Expenditure Panel Survey (MEPS) 2013–2014 data included patients ≥18 years with persistent asthma. Median medication possession ratio (MPR) was used to dichotomize adherence levels. Multivariate regression analysis was conducted to ascertain the association between adherence and race/ethnicity. Total expenditures and association with adherence were analyzed using a generalized linear model with a log link function and gamma distribution. Unadjusted expenditures were compared after bootstrapping. Results: The average MPR of ICSs for the sample of 277 patients was 0.34. The average MPR level was 0.33 among whites, 0.37 among African-Americans and 0.35 among other minorities. The average MPR was 0.30 among Hispanics, and 0.35 among non-Hispanics. African-Americans were less likely to be adherent than whites (OR 0.95). Hispanics were less likely to be adherent (OR 0.4; CI 0.206–0.777). Higher adherence was associated with significantly higher total health expenditure than lower adherence ($19,223 vs. $12,840 respectively, p &lt;.0001). African-Americans had slightly higher total expenditure compared to whites; however, other minorities had significantly lower health expenditures compared to whites (p =.01). Non-Hispanics spent significantly less on healthcare compared to Hispanics (p =.04). Conclusions: Valuable insight into the economic cost of the disparities as they relate to persistent asthma provides further evidence of possible ethnic inequities that warrant addressing.","author":[{"dropping-particle":"","family":"Vaidya","given":"Varun","non-dropping-particle":"","parse-names":false,"suffix":""},{"dropping-particle":"","family":"Gabriel","given":"Meghan Hufstader","non-dropping-particle":"","parse-names":false,"suffix":""},{"dropping-particle":"","family":"Patel","given":"Pranav","non-dropping-particle":"","parse-names":false,"suffix":""},{"dropping-particle":"","family":"Gupte","given":"Renuka","non-dropping-particle":"","parse-names":false,"suffix":""},{"dropping-particle":"","family":"James","given":"Cameron","non-dropping-particle":"","parse-names":false,"suffix":""}],"container-title":"Current Medical Research and Opinion","id":"ITEM-1","issue":"8","issued":{"date-parts":[["2019"]]},"page":"1379-1385","publisher":"Taylor &amp; Francis","title":"The impact of racial and ethnic disparities in inhaled corticosteroid adherence on healthcare expenditures in adults with asthma","type":"article-journal","volume":"35"},"uris":["http://www.mendeley.com/documents/?uuid=79108e3b-a7b8-4951-84e0-0ae4e06a5566"]}],"mendeley":{"formattedCitation":"(57)","plainTextFormattedCitation":"(57)","previouslyFormattedCitation":"(57)"},"properties":{"noteIndex":0},"schema":"https://github.com/citation-style-language/schema/raw/master/csl-citation.json"}</w:instrText>
            </w:r>
            <w:r w:rsidRPr="00F02BC6">
              <w:rPr>
                <w:color w:val="000000"/>
                <w:lang w:val="en-US"/>
              </w:rPr>
              <w:fldChar w:fldCharType="separate"/>
            </w:r>
            <w:r w:rsidRPr="00F02BC6">
              <w:rPr>
                <w:color w:val="000000"/>
                <w:lang w:val="en-US"/>
              </w:rPr>
              <w:t>(57)</w:t>
            </w:r>
            <w:r w:rsidRPr="00F02BC6">
              <w:rPr>
                <w:color w:val="000000"/>
                <w:lang w:val="en-US"/>
              </w:rPr>
              <w:fldChar w:fldCharType="end"/>
            </w:r>
          </w:p>
        </w:tc>
      </w:tr>
      <w:tr w:rsidR="00801304" w:rsidRPr="00F02BC6" w14:paraId="3F91D499" w14:textId="77777777" w:rsidTr="00495804">
        <w:tc>
          <w:tcPr>
            <w:tcW w:w="2245" w:type="dxa"/>
            <w:vMerge/>
          </w:tcPr>
          <w:p w14:paraId="60E53C2F" w14:textId="77777777" w:rsidR="00801304" w:rsidRPr="00F02BC6" w:rsidRDefault="00801304" w:rsidP="00495804">
            <w:pPr>
              <w:rPr>
                <w:color w:val="000000"/>
                <w:lang w:val="en-US"/>
              </w:rPr>
            </w:pPr>
          </w:p>
        </w:tc>
        <w:tc>
          <w:tcPr>
            <w:tcW w:w="2610" w:type="dxa"/>
          </w:tcPr>
          <w:p w14:paraId="5542D015" w14:textId="77777777" w:rsidR="00801304" w:rsidRPr="00F02BC6" w:rsidRDefault="00801304" w:rsidP="00495804">
            <w:pPr>
              <w:rPr>
                <w:color w:val="000000"/>
                <w:lang w:val="en-US"/>
              </w:rPr>
            </w:pPr>
            <w:r w:rsidRPr="00F02BC6">
              <w:rPr>
                <w:color w:val="000000"/>
                <w:lang w:val="en-US"/>
              </w:rPr>
              <w:t>Values above the median MPR</w:t>
            </w:r>
          </w:p>
        </w:tc>
        <w:tc>
          <w:tcPr>
            <w:tcW w:w="2435" w:type="dxa"/>
          </w:tcPr>
          <w:p w14:paraId="7F359CE0" w14:textId="77777777" w:rsidR="00801304" w:rsidRPr="00F02BC6" w:rsidRDefault="00801304" w:rsidP="00495804">
            <w:pPr>
              <w:jc w:val="center"/>
              <w:rPr>
                <w:color w:val="000000"/>
                <w:lang w:val="en-US"/>
              </w:rPr>
            </w:pPr>
            <w:r w:rsidRPr="00F02BC6">
              <w:rPr>
                <w:color w:val="000000"/>
                <w:lang w:val="en-US"/>
              </w:rPr>
              <w:t>Values below the median MPR</w:t>
            </w:r>
          </w:p>
        </w:tc>
        <w:tc>
          <w:tcPr>
            <w:tcW w:w="2613" w:type="dxa"/>
          </w:tcPr>
          <w:p w14:paraId="46D0491E" w14:textId="77777777" w:rsidR="00801304" w:rsidRPr="00F02BC6" w:rsidRDefault="00801304" w:rsidP="00495804">
            <w:pPr>
              <w:jc w:val="center"/>
              <w:rPr>
                <w:color w:val="000000"/>
                <w:lang w:val="en-US"/>
              </w:rPr>
            </w:pPr>
            <w:r w:rsidRPr="00F02BC6">
              <w:rPr>
                <w:color w:val="000000"/>
                <w:lang w:val="en-US"/>
              </w:rPr>
              <w:fldChar w:fldCharType="begin" w:fldLock="1"/>
            </w:r>
            <w:r w:rsidRPr="00F02BC6">
              <w:rPr>
                <w:color w:val="000000"/>
                <w:lang w:val="en-US"/>
              </w:rPr>
              <w:instrText>ADDIN CSL_CITATION {"citationItems":[{"id":"ITEM-1","itemData":{"DOI":"10.1111/jphs.12035","ISSN":"17598893","abstract":"Introduction: Asthmatic patients are at risk for poor medication adherence when cost sharing keeps patients from accessing required controller medications. The risk for poor medication adherence would be even higher when asthmatic patients are in need of multiple controller drugs. This study aimed to quantify the effect of cost-sharing levels on medication adherence among asthmatic patients in the USA who were initiated on dual-controller therapies. Methods: This study was a retrospective cohort study. Using a large administrative commercial claims and encounters dataset (MarketScan), patients who were initiated on dual-controller therapy (inhaled corticosteroids and long-acting beta-2-agonist or inhaled corticosteroids and leukotriene receptor antagonist) during 1 July 2000 and 30 June 2001 were identified from pharmacy claims. For asthmatic patients aged 6-65 years, medication adherence (i.e., medication possession ratio) was measured in a 1-year follow-up period. Patients' average out-of-pocket expenses were determined for a month's supply and then stratified into the following four categories: US$0-15, US$16-30, US$31-45 and &gt;US$45. Logistic regression analysis was used to estimate odds ratio (OR) for medication adherence. Results: Altogether, 1447 patients met the study criteria. Of these patients, 898 (62.1%) were initiated on inhaled corticosteroids and long-acting beta-2-agonist, and 549 (37.9%) were initiated on inhaled corticosteroids and leukotriene receptor antagonist. The study showed significant association of cost-sharing levels and poor medication adherence. Compared with patients on US$0-15 cost-sharing level, patients on US$16-30 (OR=0.449, 95% confidence interval (CI)=0.312-0.616), US$31-45 (OR=0.246, 95% CI=0.168-0.358) and US$46 or higher (OR=0.131, 95% CI=0.084-0.206) levels all had lower odds of acceptable medication adherence. Conclusions: Cost sharing was associated with poor medication adherence among asthmatic patients who needed dual controllers. Healthcare providers and payers should take caution when asthmatic patients face increased levels of cost sharing to fill prescription for dual controllers. © 2013 Royal Pharmaceutical Society.","author":[{"dropping-particle":"","family":"Vaidya","given":"Varun","non-dropping-particle":"","parse-names":false,"suffix":""},{"dropping-particle":"","family":"Tak","given":"Sunghee","non-dropping-particle":"","parse-names":false,"suffix":""},{"dropping-particle":"","family":"Hong","given":"Song Hee","non-dropping-particle":"","parse-names":false,"suffix":""}],"container-title":"Journal of Pharmaceutical Health Services Research","id":"ITEM-1","issue":"4","issued":{"date-parts":[["2013"]]},"page":"227-233","title":"Impact of patient cost sharing on medication adherence among asthmatic patients on dual-controller therapy","type":"article-journal","volume":"4"},"uris":["http://www.mendeley.com/documents/?uuid=f0c02b22-71f0-4f4f-af5b-55db9fbd1858"]}],"mendeley":{"formattedCitation":"(43)","plainTextFormattedCitation":"(43)","previouslyFormattedCitation":"(43)"},"properties":{"noteIndex":0},"schema":"https://github.com/citation-style-language/schema/raw/master/csl-citation.json"}</w:instrText>
            </w:r>
            <w:r w:rsidRPr="00F02BC6">
              <w:rPr>
                <w:color w:val="000000"/>
                <w:lang w:val="en-US"/>
              </w:rPr>
              <w:fldChar w:fldCharType="separate"/>
            </w:r>
            <w:r w:rsidRPr="00F02BC6">
              <w:rPr>
                <w:color w:val="000000"/>
                <w:lang w:val="en-US"/>
              </w:rPr>
              <w:t>(43)</w:t>
            </w:r>
            <w:r w:rsidRPr="00F02BC6">
              <w:rPr>
                <w:color w:val="000000"/>
                <w:lang w:val="en-US"/>
              </w:rPr>
              <w:fldChar w:fldCharType="end"/>
            </w:r>
          </w:p>
        </w:tc>
      </w:tr>
      <w:tr w:rsidR="00801304" w:rsidRPr="00F02BC6" w14:paraId="08F72665" w14:textId="77777777" w:rsidTr="00495804">
        <w:tc>
          <w:tcPr>
            <w:tcW w:w="2245" w:type="dxa"/>
            <w:vMerge/>
          </w:tcPr>
          <w:p w14:paraId="5895BD1C" w14:textId="77777777" w:rsidR="00801304" w:rsidRPr="00F02BC6" w:rsidRDefault="00801304" w:rsidP="00495804">
            <w:pPr>
              <w:rPr>
                <w:color w:val="000000"/>
                <w:lang w:val="en-US"/>
              </w:rPr>
            </w:pPr>
          </w:p>
        </w:tc>
        <w:tc>
          <w:tcPr>
            <w:tcW w:w="2610" w:type="dxa"/>
          </w:tcPr>
          <w:p w14:paraId="0384B89D" w14:textId="77777777" w:rsidR="00801304" w:rsidRPr="00F02BC6" w:rsidRDefault="00801304" w:rsidP="00495804">
            <w:pPr>
              <w:rPr>
                <w:color w:val="000000"/>
                <w:lang w:val="en-US"/>
              </w:rPr>
            </w:pPr>
            <w:r w:rsidRPr="00F02BC6">
              <w:rPr>
                <w:color w:val="000000"/>
                <w:lang w:val="en-US"/>
              </w:rPr>
              <w:t>MPR &gt;80%; patients with at least 2 prescriptions</w:t>
            </w:r>
          </w:p>
        </w:tc>
        <w:tc>
          <w:tcPr>
            <w:tcW w:w="2435" w:type="dxa"/>
          </w:tcPr>
          <w:p w14:paraId="15AAFF8F" w14:textId="77777777" w:rsidR="00801304" w:rsidRPr="00F02BC6" w:rsidRDefault="00801304" w:rsidP="00495804">
            <w:pPr>
              <w:jc w:val="center"/>
              <w:rPr>
                <w:color w:val="000000"/>
                <w:lang w:val="en-US"/>
              </w:rPr>
            </w:pPr>
            <w:r w:rsidRPr="00F02BC6">
              <w:rPr>
                <w:color w:val="000000"/>
                <w:lang w:val="en-US"/>
              </w:rPr>
              <w:t>MPR &lt;80%; patients with only 1 prescription</w:t>
            </w:r>
          </w:p>
        </w:tc>
        <w:tc>
          <w:tcPr>
            <w:tcW w:w="2613" w:type="dxa"/>
          </w:tcPr>
          <w:p w14:paraId="5C1ABDFB" w14:textId="77777777" w:rsidR="00801304" w:rsidRPr="00F02BC6" w:rsidRDefault="00801304" w:rsidP="00495804">
            <w:pPr>
              <w:jc w:val="center"/>
              <w:rPr>
                <w:color w:val="000000"/>
                <w:lang w:val="en-US"/>
              </w:rPr>
            </w:pPr>
            <w:r w:rsidRPr="00F02BC6">
              <w:rPr>
                <w:color w:val="000000"/>
                <w:lang w:val="en-US"/>
              </w:rPr>
              <w:fldChar w:fldCharType="begin" w:fldLock="1"/>
            </w:r>
            <w:r w:rsidRPr="00F02BC6">
              <w:rPr>
                <w:color w:val="000000"/>
                <w:lang w:val="en-US"/>
              </w:rPr>
              <w:instrText>ADDIN CSL_CITATION {"citationItems":[{"id":"ITEM-1","itemData":{"DOI":"10.1016/j.jaip.2018.03.008","ISSN":"22132198","PMID":"29627457","abstract":"Background: Patients with asthma and elevated blood eosinophils are at increased risk of severe exacerbations. Management of these patients should consider nonadherence to inhaled corticosteroid (ICS) therapy as a factor for increased exacerbation risk. Objective: The objective of this study was to investigate whether poor adherence to ICS therapy explains the occurrence of asthma exacerbations in patients with elevated blood eosinophil levels. Methods: This historical cohort study identified patients within the Optimum Patient Care Research Database, aged 18 years or more, at Global Initiative for Asthma step 3 or 4, with 2 or more ICS prescriptions during the year before the clinical review. Patient characteristics and adherence (based on prescription refills and patient self-report) for ICS therapy were analyzed for those with elevated (&gt;400 cells/μL) or normal (≤400 cells/μL) blood eosinophils. Results: We studied 7195 patients (66% female, mean age 60 years) with median eosinophil count of 200 cells/μL and found 81% to be not fully adherent to ICS therapy. A total of 1031 patients (14%) had elevated blood eosinophil counts (58% female, mean age 60 years), 83% of whom were not fully adherent to ICS. An increased proportion of adherent patients in the elevated blood eosinophil group had 2 or more exacerbations (14.0% vs 7.2%; P =.003) and uncontrolled asthma (73% vs 60.8%; P =.004) as compared with non–fully adherent patients. Conclusions: Approximately 1 in 7 patients had elevated eosinophils. Adherence to ICS therapy was not associated with decreased exacerbations for these patients. Additional therapy should be considered for these patients, such as biologics, which have been previously shown to improve control in severe uncontrolled eosinophilic asthma.","author":[{"dropping-particle":"","family":"Papi","given":"Alberto","non-dropping-particle":"","parse-names":false,"suffix":""},{"dropping-particle":"","family":"Ryan","given":"Dermot","non-dropping-particle":"","parse-names":false,"suffix":""},{"dropping-particle":"","family":"Soriano","given":"Joan B.","non-dropping-particle":"","parse-names":false,"suffix":""},{"dropping-particle":"","family":"Chrystyn","given":"Henry","non-dropping-particle":"","parse-names":false,"suffix":""},{"dropping-particle":"","family":"Bjermer","given":"Leif","non-dropping-particle":"","parse-names":false,"suffix":""},{"dropping-particle":"","family":"Rodríguez-Roisin","given":"Roberto","non-dropping-particle":"","parse-names":false,"suffix":""},{"dropping-particle":"","family":"Dolovich","given":"Myrna B.","non-dropping-particle":"","parse-names":false,"suffix":""},{"dropping-particle":"","family":"Harris","given":"Mark","non-dropping-particle":"","parse-names":false,"suffix":""},{"dropping-particle":"","family":"Wood","given":"Lucy","non-dropping-particle":"","parse-names":false,"suffix":""},{"dropping-particle":"","family":"Batsiou","given":"Maria","non-dropping-particle":"","parse-names":false,"suffix":""},{"dropping-particle":"","family":"Thornhill","given":"Susannah I.","non-dropping-particle":"","parse-names":false,"suffix":""},{"dropping-particle":"","family":"Price","given":"David B.","non-dropping-particle":"","parse-names":false,"suffix":""}],"container-title":"Journal of Allergy and Clinical Immunology: In Practice","id":"ITEM-1","issue":"6","issued":{"date-parts":[["2018"]]},"page":"1989-1998.e3","publisher":"Elsevier Inc","title":"Relationship of Inhaled Corticosteroid Adherence to Asthma Exacerbations in Patients with Moderate-to-Severe Asthma","type":"article-journal","volume":"6"},"uris":["http://www.mendeley.com/documents/?uuid=8d19c891-6813-41fd-860e-54bd5e725e5f"]}],"mendeley":{"formattedCitation":"(37)","plainTextFormattedCitation":"(37)","previouslyFormattedCitation":"(37)"},"properties":{"noteIndex":0},"schema":"https://github.com/citation-style-language/schema/raw/master/csl-citation.json"}</w:instrText>
            </w:r>
            <w:r w:rsidRPr="00F02BC6">
              <w:rPr>
                <w:color w:val="000000"/>
                <w:lang w:val="en-US"/>
              </w:rPr>
              <w:fldChar w:fldCharType="separate"/>
            </w:r>
            <w:r w:rsidRPr="00F02BC6">
              <w:rPr>
                <w:color w:val="000000"/>
                <w:lang w:val="en-US"/>
              </w:rPr>
              <w:t>(37)</w:t>
            </w:r>
            <w:r w:rsidRPr="00F02BC6">
              <w:rPr>
                <w:color w:val="000000"/>
                <w:lang w:val="en-US"/>
              </w:rPr>
              <w:fldChar w:fldCharType="end"/>
            </w:r>
          </w:p>
        </w:tc>
      </w:tr>
      <w:tr w:rsidR="00801304" w:rsidRPr="00F02BC6" w14:paraId="79B41979" w14:textId="77777777" w:rsidTr="00495804">
        <w:tc>
          <w:tcPr>
            <w:tcW w:w="2245" w:type="dxa"/>
            <w:vMerge/>
          </w:tcPr>
          <w:p w14:paraId="0C88ACDD" w14:textId="77777777" w:rsidR="00801304" w:rsidRPr="00F02BC6" w:rsidRDefault="00801304" w:rsidP="00495804">
            <w:pPr>
              <w:rPr>
                <w:color w:val="000000"/>
                <w:lang w:val="en-US"/>
              </w:rPr>
            </w:pPr>
          </w:p>
        </w:tc>
        <w:tc>
          <w:tcPr>
            <w:tcW w:w="2610" w:type="dxa"/>
          </w:tcPr>
          <w:p w14:paraId="725C484A" w14:textId="77777777" w:rsidR="00801304" w:rsidRPr="00F02BC6" w:rsidRDefault="00801304" w:rsidP="00495804">
            <w:pPr>
              <w:rPr>
                <w:color w:val="000000"/>
                <w:lang w:val="en-US"/>
              </w:rPr>
            </w:pPr>
            <w:r w:rsidRPr="00F02BC6">
              <w:rPr>
                <w:color w:val="000000"/>
                <w:lang w:val="en-US"/>
              </w:rPr>
              <w:t>75</w:t>
            </w:r>
            <w:r w:rsidRPr="00F02BC6">
              <w:rPr>
                <w:color w:val="000000"/>
                <w:vertAlign w:val="superscript"/>
                <w:lang w:val="en-US"/>
              </w:rPr>
              <w:t>th</w:t>
            </w:r>
            <w:r w:rsidRPr="00F02BC6">
              <w:rPr>
                <w:color w:val="000000"/>
                <w:lang w:val="en-US"/>
              </w:rPr>
              <w:t xml:space="preserve"> Percentile of MPR values; </w:t>
            </w:r>
            <w:r w:rsidRPr="00F02BC6">
              <w:rPr>
                <w:color w:val="000000"/>
                <w:sz w:val="20"/>
                <w:szCs w:val="20"/>
                <w:lang w:val="en-US"/>
              </w:rPr>
              <w:t>MPR=1 or 100%.</w:t>
            </w:r>
          </w:p>
        </w:tc>
        <w:tc>
          <w:tcPr>
            <w:tcW w:w="2435" w:type="dxa"/>
          </w:tcPr>
          <w:p w14:paraId="594E2CF4" w14:textId="77777777" w:rsidR="00801304" w:rsidRPr="00F02BC6" w:rsidRDefault="00801304" w:rsidP="00495804">
            <w:pPr>
              <w:jc w:val="center"/>
              <w:rPr>
                <w:color w:val="000000"/>
                <w:lang w:val="en-US"/>
              </w:rPr>
            </w:pPr>
          </w:p>
        </w:tc>
        <w:tc>
          <w:tcPr>
            <w:tcW w:w="2613" w:type="dxa"/>
          </w:tcPr>
          <w:p w14:paraId="271F600A" w14:textId="77777777" w:rsidR="00801304" w:rsidRPr="00F02BC6" w:rsidRDefault="00801304" w:rsidP="00495804">
            <w:pPr>
              <w:jc w:val="center"/>
              <w:rPr>
                <w:color w:val="000000"/>
                <w:lang w:val="en-US"/>
              </w:rPr>
            </w:pPr>
            <w:r w:rsidRPr="00F02BC6">
              <w:rPr>
                <w:color w:val="000000"/>
                <w:lang w:val="en-US"/>
              </w:rPr>
              <w:fldChar w:fldCharType="begin" w:fldLock="1"/>
            </w:r>
            <w:r w:rsidRPr="00F02BC6">
              <w:rPr>
                <w:color w:val="000000"/>
                <w:lang w:val="en-US"/>
              </w:rPr>
              <w:instrText>ADDIN CSL_CITATION {"citationItems":[{"id":"ITEM-1","itemData":{"DOI":"10.1016/S1081-1206(10)60808-3","ISSN":"10811206","abstract":"Background: Compliance with asthma medications probably results in improved outcomes, but few studies have examined this relationship. Objective: To examine the association between medication compliance and exacerbation in asthmatic patients. Methods: Retrospective analysis of a managed care database. The 97,743 participants (aged 6-99 years; mean age, 32.8 years) had asthma and prescriptions for controller medications. Compliance with the index medication (the first controller medication prescribed) was measured using 2 methods: medication possession ratio (MPR), calculated for 365 days after the index date, and number of prescriptions for each index medication. Exacerbation was defined as 1 or more emergency department visits or hospitalizations within 1 year of the index date. Multivariate models were used to determine the odds of exacerbation based on relative compliance for each definition of compliance. Results: Based on the median MPR, more-compliant patients were less likely to experience exacerbation than less-compliant patients (odds ratio, 0.94; 95% confidence interval, 0.91-0.97; P &lt; .001). Using the 75th percentile MPR, risk of exacerbation was even smaller (odds ratio, 0.89; 95% confidence interval, 0.86-0.92; P &lt; .001). All the cutoff points for compliance (≥2 through ≥6 prescriptions) demonstrated significantly less exacerbations in more-compliant vs less-compliant patients after adjusting for covariates. As the criteria for compliance became more stringent, more-compliant patients became increasingly less likely to have an exacerbation vs less-compliant patients. Conclusion: More-compliant asthmatic patients were significantly less likely to experience exacerbation than less-compliant asthmatic patients. These findings demonstrate the importance of improving medication compliance among asthmatic patients to impact outcomes. Ann Allergy Asthma Immunol. 2006;97:402-408.","author":[{"dropping-particle":"","family":"Stern","given":"Lee","non-dropping-particle":"","parse-names":false,"suffix":""},{"dropping-particle":"","family":"Berman","given":"Jeff","non-dropping-particle":"","parse-names":false,"suffix":""},{"dropping-particle":"","family":"Lumry","given":"William","non-dropping-particle":"","parse-names":false,"suffix":""},{"dropping-particle":"","family":"Katz","given":"Laura","non-dropping-particle":"","parse-names":false,"suffix":""},{"dropping-particle":"","family":"Wang","given":"Lujing","non-dropping-particle":"","parse-names":false,"suffix":""},{"dropping-particle":"","family":"Rosenblatt","given":"Lisa","non-dropping-particle":"","parse-names":false,"suffix":""},{"dropping-particle":"","family":"Doyle","given":"John J.","non-dropping-particle":"","parse-names":false,"suffix":""}],"container-title":"Annals of Allergy, Asthma and Immunology","id":"ITEM-1","issue":"3","issued":{"date-parts":[["2006"]]},"page":"402-408","publisher":"American College of Allergy, Asthma &amp; Immunology","title":"Medication compliance and disease exacerbation in patients with asthma: A retrospective study of managed care data","type":"article-journal","volume":"97"},"uris":["http://www.mendeley.com/documents/?uuid=1ac10356-b92b-4945-a439-505c15bcbf6f"]}],"mendeley":{"formattedCitation":"(40)","plainTextFormattedCitation":"(40)","previouslyFormattedCitation":"(40)"},"properties":{"noteIndex":0},"schema":"https://github.com/citation-style-language/schema/raw/master/csl-citation.json"}</w:instrText>
            </w:r>
            <w:r w:rsidRPr="00F02BC6">
              <w:rPr>
                <w:color w:val="000000"/>
                <w:lang w:val="en-US"/>
              </w:rPr>
              <w:fldChar w:fldCharType="separate"/>
            </w:r>
            <w:r w:rsidRPr="00F02BC6">
              <w:rPr>
                <w:color w:val="000000"/>
                <w:lang w:val="en-US"/>
              </w:rPr>
              <w:t>(40)</w:t>
            </w:r>
            <w:r w:rsidRPr="00F02BC6">
              <w:rPr>
                <w:color w:val="000000"/>
                <w:lang w:val="en-US"/>
              </w:rPr>
              <w:fldChar w:fldCharType="end"/>
            </w:r>
          </w:p>
        </w:tc>
      </w:tr>
      <w:tr w:rsidR="00801304" w:rsidRPr="00F02BC6" w14:paraId="6D62BD2D" w14:textId="77777777" w:rsidTr="00495804">
        <w:tc>
          <w:tcPr>
            <w:tcW w:w="2245" w:type="dxa"/>
            <w:vMerge/>
          </w:tcPr>
          <w:p w14:paraId="0D423FDB" w14:textId="77777777" w:rsidR="00801304" w:rsidRPr="00F02BC6" w:rsidRDefault="00801304" w:rsidP="00495804">
            <w:pPr>
              <w:rPr>
                <w:color w:val="000000"/>
                <w:lang w:val="en-US"/>
              </w:rPr>
            </w:pPr>
          </w:p>
        </w:tc>
        <w:tc>
          <w:tcPr>
            <w:tcW w:w="2610" w:type="dxa"/>
          </w:tcPr>
          <w:p w14:paraId="419862A4" w14:textId="77777777" w:rsidR="00801304" w:rsidRPr="00F02BC6" w:rsidRDefault="00801304" w:rsidP="00495804">
            <w:pPr>
              <w:rPr>
                <w:color w:val="000000"/>
                <w:lang w:val="en-US"/>
              </w:rPr>
            </w:pPr>
            <w:r w:rsidRPr="00F02BC6">
              <w:rPr>
                <w:color w:val="000000"/>
                <w:lang w:val="en-US"/>
              </w:rPr>
              <w:t xml:space="preserve">MPR ≥ 80%, </w:t>
            </w:r>
          </w:p>
        </w:tc>
        <w:tc>
          <w:tcPr>
            <w:tcW w:w="2435" w:type="dxa"/>
          </w:tcPr>
          <w:p w14:paraId="0E0CFC42" w14:textId="77777777" w:rsidR="00801304" w:rsidRPr="00F02BC6" w:rsidRDefault="00801304" w:rsidP="00495804">
            <w:pPr>
              <w:jc w:val="center"/>
              <w:rPr>
                <w:color w:val="000000"/>
                <w:lang w:val="en-US"/>
              </w:rPr>
            </w:pPr>
            <w:r w:rsidRPr="00F02BC6">
              <w:rPr>
                <w:color w:val="000000"/>
                <w:lang w:val="en-US"/>
              </w:rPr>
              <w:t>MPR&lt; 80%</w:t>
            </w:r>
          </w:p>
        </w:tc>
        <w:tc>
          <w:tcPr>
            <w:tcW w:w="2613" w:type="dxa"/>
          </w:tcPr>
          <w:p w14:paraId="233618D1" w14:textId="77777777" w:rsidR="00801304" w:rsidRPr="00F02BC6" w:rsidRDefault="00801304" w:rsidP="00495804">
            <w:pPr>
              <w:jc w:val="center"/>
              <w:rPr>
                <w:color w:val="000000"/>
                <w:lang w:val="en-US"/>
              </w:rPr>
            </w:pPr>
            <w:r w:rsidRPr="00F02BC6">
              <w:rPr>
                <w:color w:val="000000"/>
                <w:lang w:val="en-US"/>
              </w:rPr>
              <w:fldChar w:fldCharType="begin" w:fldLock="1"/>
            </w:r>
            <w:r w:rsidRPr="00F02BC6">
              <w:rPr>
                <w:color w:val="000000"/>
                <w:lang w:val="en-US"/>
              </w:rPr>
              <w:instrText>ADDIN CSL_CITATION {"citationItems":[{"id":"ITEM-1","itemData":{"author":[{"dropping-particle":"","family":"Sicras-Mainar","given":"A","non-dropping-particle":"","parse-names":false,"suffix":""},{"dropping-particle":"","family":"Huerta","given":"A","non-dropping-particle":"","parse-names":false,"suffix":""},{"dropping-particle":"","family":"Sánchez","given":"D","non-dropping-particle":"","parse-names":false,"suffix":""},{"dropping-particle":"","family":"Navarro-Artieda","given":"R","non-dropping-particle":"","parse-names":false,"suffix":""}],"container-title":"Semergen","id":"ITEM-1","issue":"1","issued":{"date-parts":[["2018"]]},"page":"13-22","title":"Use of resources and costs associated with non-adherence to inhaled corticosteroid treatment in asthma","type":"article-journal","volume":"44"},"uris":["http://www.mendeley.com/documents/?uuid=e1d76827-fe4f-4250-8141-31abdf72ac64"]}],"mendeley":{"formattedCitation":"(38)","plainTextFormattedCitation":"(38)","previouslyFormattedCitation":"(38)"},"properties":{"noteIndex":0},"schema":"https://github.com/citation-style-language/schema/raw/master/csl-citation.json"}</w:instrText>
            </w:r>
            <w:r w:rsidRPr="00F02BC6">
              <w:rPr>
                <w:color w:val="000000"/>
                <w:lang w:val="en-US"/>
              </w:rPr>
              <w:fldChar w:fldCharType="separate"/>
            </w:r>
            <w:r w:rsidRPr="00F02BC6">
              <w:rPr>
                <w:color w:val="000000"/>
                <w:lang w:val="en-US"/>
              </w:rPr>
              <w:t>(38)</w:t>
            </w:r>
            <w:r w:rsidRPr="00F02BC6">
              <w:rPr>
                <w:color w:val="000000"/>
                <w:lang w:val="en-US"/>
              </w:rPr>
              <w:fldChar w:fldCharType="end"/>
            </w:r>
          </w:p>
        </w:tc>
      </w:tr>
      <w:tr w:rsidR="00801304" w:rsidRPr="00F02BC6" w14:paraId="3409610D" w14:textId="77777777" w:rsidTr="00495804">
        <w:tc>
          <w:tcPr>
            <w:tcW w:w="2245" w:type="dxa"/>
            <w:vMerge/>
          </w:tcPr>
          <w:p w14:paraId="00004A7B" w14:textId="77777777" w:rsidR="00801304" w:rsidRPr="00F02BC6" w:rsidRDefault="00801304" w:rsidP="00495804">
            <w:pPr>
              <w:rPr>
                <w:color w:val="000000"/>
                <w:lang w:val="en-US"/>
              </w:rPr>
            </w:pPr>
          </w:p>
        </w:tc>
        <w:tc>
          <w:tcPr>
            <w:tcW w:w="2610" w:type="dxa"/>
          </w:tcPr>
          <w:p w14:paraId="26361026" w14:textId="77777777" w:rsidR="00801304" w:rsidRPr="00F02BC6" w:rsidRDefault="00801304" w:rsidP="00495804">
            <w:pPr>
              <w:rPr>
                <w:color w:val="000000"/>
                <w:lang w:val="en-US"/>
              </w:rPr>
            </w:pPr>
            <w:r w:rsidRPr="00F02BC6">
              <w:rPr>
                <w:color w:val="000000"/>
                <w:lang w:val="en-US"/>
              </w:rPr>
              <w:t>MPR&gt;0.80</w:t>
            </w:r>
          </w:p>
        </w:tc>
        <w:tc>
          <w:tcPr>
            <w:tcW w:w="2435" w:type="dxa"/>
          </w:tcPr>
          <w:p w14:paraId="031655E1" w14:textId="77777777" w:rsidR="00801304" w:rsidRPr="00F02BC6" w:rsidRDefault="00801304" w:rsidP="00495804">
            <w:pPr>
              <w:jc w:val="center"/>
              <w:rPr>
                <w:color w:val="000000"/>
                <w:lang w:val="en-US"/>
              </w:rPr>
            </w:pPr>
            <w:r w:rsidRPr="00F02BC6">
              <w:rPr>
                <w:color w:val="000000"/>
                <w:lang w:val="en-US"/>
              </w:rPr>
              <w:t>MPR &lt; 0.80</w:t>
            </w:r>
          </w:p>
        </w:tc>
        <w:tc>
          <w:tcPr>
            <w:tcW w:w="2613" w:type="dxa"/>
          </w:tcPr>
          <w:p w14:paraId="0AE9525D" w14:textId="77777777" w:rsidR="00801304" w:rsidRPr="00F02BC6" w:rsidRDefault="00801304" w:rsidP="00495804">
            <w:pPr>
              <w:jc w:val="center"/>
              <w:rPr>
                <w:color w:val="000000"/>
                <w:lang w:val="en-US"/>
              </w:rPr>
            </w:pPr>
            <w:r w:rsidRPr="00F02BC6">
              <w:rPr>
                <w:color w:val="000000"/>
                <w:lang w:val="en-US"/>
              </w:rPr>
              <w:fldChar w:fldCharType="begin" w:fldLock="1"/>
            </w:r>
            <w:r w:rsidRPr="00F02BC6">
              <w:rPr>
                <w:color w:val="000000"/>
                <w:lang w:val="en-US"/>
              </w:rPr>
              <w:instrText>ADDIN CSL_CITATION {"citationItems":[{"id":"ITEM-1","itemData":{"author":[{"dropping-particle":"","family":"Williams","given":"S","non-dropping-particle":"","parse-names":false,"suffix":""},{"dropping-particle":"","family":"Trudo","given":"F","non-dropping-particle":"","parse-names":false,"suffix":""},{"dropping-particle":"","family":"Suchower","given":"L","non-dropping-particle":"","parse-names":false,"suffix":""},{"dropping-particle":"","family":"Tunceli","given":"O","non-dropping-particle":"","parse-names":false,"suffix":""},{"dropping-particle":"","family":"Kern","given":"D","non-dropping-particle":"","parse-names":false,"suffix":""},{"dropping-particle":"","family":"Pethick","given":"N","non-dropping-particle":"","parse-names":false,"suffix":""},{"dropping-particle":"","family":"H","given":"Elhefni","non-dropping-particle":"","parse-names":false,"suffix":""},{"dropping-particle":"","family":"Bullano","given":"M","non-dropping-particle":"","parse-names":false,"suffix":""}],"container-title":"J. Managed Care Pharm","id":"ITEM-1","issue":"7","issued":{"date-parts":[["2012"]]},"page":"551","title":"Is history of patient adherence to asthma controller medication associated with initial choice of prescription for inhaled corticosteroid and long-acting β2-adrenergic agonist combination therapy?","type":"article-journal","volume":"18"},"uris":["http://www.mendeley.com/documents/?uuid=e2588d4e-4bcc-4f5f-ac23-f76b003aeb06"]}],"mendeley":{"formattedCitation":"(45)","plainTextFormattedCitation":"(45)","previouslyFormattedCitation":"(45)"},"properties":{"noteIndex":0},"schema":"https://github.com/citation-style-language/schema/raw/master/csl-citation.json"}</w:instrText>
            </w:r>
            <w:r w:rsidRPr="00F02BC6">
              <w:rPr>
                <w:color w:val="000000"/>
                <w:lang w:val="en-US"/>
              </w:rPr>
              <w:fldChar w:fldCharType="separate"/>
            </w:r>
            <w:r w:rsidRPr="00F02BC6">
              <w:rPr>
                <w:color w:val="000000"/>
                <w:lang w:val="en-US"/>
              </w:rPr>
              <w:t>(45)</w:t>
            </w:r>
            <w:r w:rsidRPr="00F02BC6">
              <w:rPr>
                <w:color w:val="000000"/>
                <w:lang w:val="en-US"/>
              </w:rPr>
              <w:fldChar w:fldCharType="end"/>
            </w:r>
          </w:p>
        </w:tc>
      </w:tr>
      <w:tr w:rsidR="00801304" w:rsidRPr="00F02BC6" w14:paraId="4F1536B9" w14:textId="77777777" w:rsidTr="00495804">
        <w:tc>
          <w:tcPr>
            <w:tcW w:w="2245" w:type="dxa"/>
            <w:vMerge/>
          </w:tcPr>
          <w:p w14:paraId="66DD0115" w14:textId="77777777" w:rsidR="00801304" w:rsidRPr="00F02BC6" w:rsidRDefault="00801304" w:rsidP="00495804">
            <w:pPr>
              <w:rPr>
                <w:color w:val="000000"/>
                <w:lang w:val="en-US"/>
              </w:rPr>
            </w:pPr>
          </w:p>
        </w:tc>
        <w:tc>
          <w:tcPr>
            <w:tcW w:w="2610" w:type="dxa"/>
          </w:tcPr>
          <w:p w14:paraId="477F7DA0" w14:textId="77777777" w:rsidR="00801304" w:rsidRPr="00F02BC6" w:rsidRDefault="00801304" w:rsidP="00495804">
            <w:pPr>
              <w:rPr>
                <w:color w:val="000000"/>
                <w:lang w:val="en-US"/>
              </w:rPr>
            </w:pPr>
            <w:r w:rsidRPr="00F02BC6">
              <w:rPr>
                <w:color w:val="000000"/>
                <w:lang w:val="en-US"/>
              </w:rPr>
              <w:t>MPR ≥80%</w:t>
            </w:r>
          </w:p>
        </w:tc>
        <w:tc>
          <w:tcPr>
            <w:tcW w:w="2435" w:type="dxa"/>
          </w:tcPr>
          <w:p w14:paraId="01033001" w14:textId="77777777" w:rsidR="00801304" w:rsidRPr="00F02BC6" w:rsidRDefault="00801304" w:rsidP="00495804">
            <w:pPr>
              <w:jc w:val="center"/>
              <w:rPr>
                <w:color w:val="000000"/>
                <w:lang w:val="en-US"/>
              </w:rPr>
            </w:pPr>
            <w:r w:rsidRPr="00F02BC6">
              <w:rPr>
                <w:color w:val="000000"/>
                <w:lang w:val="en-US"/>
              </w:rPr>
              <w:t>MPR &lt; 80%</w:t>
            </w:r>
          </w:p>
        </w:tc>
        <w:tc>
          <w:tcPr>
            <w:tcW w:w="2613" w:type="dxa"/>
          </w:tcPr>
          <w:p w14:paraId="725557C6" w14:textId="77777777" w:rsidR="00801304" w:rsidRPr="00F02BC6" w:rsidRDefault="00801304" w:rsidP="00495804">
            <w:pPr>
              <w:jc w:val="center"/>
              <w:rPr>
                <w:color w:val="000000"/>
                <w:lang w:val="en-US"/>
              </w:rPr>
            </w:pPr>
            <w:r w:rsidRPr="00F02BC6">
              <w:rPr>
                <w:color w:val="000000"/>
                <w:lang w:val="en-US"/>
              </w:rPr>
              <w:fldChar w:fldCharType="begin" w:fldLock="1"/>
            </w:r>
            <w:r w:rsidRPr="00F02BC6">
              <w:rPr>
                <w:color w:val="000000"/>
                <w:lang w:val="en-US"/>
              </w:rPr>
              <w:instrText>ADDIN CSL_CITATION {"citationItems":[{"id":"ITEM-1","itemData":{"DOI":"10.1016/j.chest.2016.08.927","ISSN":"00123692","abstract":"PURPOSE: Severe asthma represents a small proportion of asthma cases yet accounts for a disproportionate amount of resource expenditure. This study aimed to characterize health care resource utilization (HCRU) and associated direct health care costs (DHCs) among severe asthmatics in Quebec. METHODS: This observational retrospective cohort study utilized claims data from Quebec Health Insurance administrative databases. Patients &gt;=12 years old with an incident diagnosis of asthma/severe asthma based on GINA steps 4-5 were included. Asthma-related HCRU and associated DHCs were assessed overall and stratified by adherence, defined as an overall Medication Possession Ratio &gt;=80%, and number of exacerbations/year. Poisson regression (medical HCRU) and Generalized Linear Models (prescription HCRU and DHC) were used to assess the impact of adherence and exacerbations on HCRU and DHCs, adjusted for duration of follow-up, age, gender, and Charlson Comorbidity Index. RESULTS: Overall, 9716 patients were included (median follow-up 4.90 years). The mean age was 47.09 years, and 62.5% were female. An average 68.11 physician visits, 20.00 specialist visits, 5.14 emergency room visits, and 2.90 hospitalizations were reported per 100 person-years. Average adjusted DHC of a severe asthmatic was approximately &gt;=1,900 CAD/year, with nonadherent patients costing more per year than adherent patients ($1,937 vs. $1,596, P&lt;0.001). ), Patients experiencing &gt;=2 exacerbations/year reported adjusted DHCs more than 5 times that of the overall cohort ($10,384). CONCLUSIONS: The results of this analysis show that patients with severe asthma represent a significant burden, both in terms of HCRU and DHCs. This is especially true for severe asthma patients who experience &gt;=2 exacerbations per year, as the DHCs associated with these patients is upwards of $10,000 CAD/year. These findings add to the current evidence related to the known disproportionate resource expenditure of severe asthmatics.","author":[{"dropping-particle":"","family":"Zhang","given":"Shiyuan","non-dropping-particle":"","parse-names":false,"suffix":""},{"dropping-particle":"","family":"Dang-Tan","given":"Tam","non-dropping-particle":"","parse-names":false,"suffix":""},{"dropping-particle":"","family":"Ismaila","given":"Afisi","non-dropping-particle":"","parse-names":false,"suffix":""},{"dropping-particle":"","family":"Tacon","given":"Claire","non-dropping-particle":"","parse-names":false,"suffix":""},{"dropping-particle":"","family":"Daugherty","given":"Jonas","non-dropping-particle":"","parse-names":false,"suffix":""},{"dropping-particle":"","family":"Tavares","given":"Ruben","non-dropping-particle":"","parse-names":false,"suffix":""},{"dropping-particle":"","family":"Goodall","given":"Emma","non-dropping-particle":"","parse-names":false,"suffix":""},{"dropping-particle":"","family":"Smith","given":"Steven","non-dropping-particle":"","parse-names":false,"suffix":""},{"dropping-particle":"","family":"Stutz","given":"Melissa","non-dropping-particle":"","parse-names":false,"suffix":""},{"dropping-particle":"","family":"Vaillancourt","given":"Julie","non-dropping-particle":"","parse-names":false,"suffix":""},{"dropping-particle":"","family":"Parsons","given":"Daria","non-dropping-particle":"","parse-names":false,"suffix":""},{"dropping-particle":"","family":"Lin","given":"Xiwu","non-dropping-particle":"","parse-names":false,"suffix":""},{"dropping-particle":"","family":"Nadeau","given":"Gilbert","non-dropping-particle":"","parse-names":false,"suffix":""},{"dropping-particle":"","family":"Simidchiev","given":"Alexander","non-dropping-particle":"","parse-names":false,"suffix":""},{"dropping-particle":"","family":"Sampalis","given":"John","non-dropping-particle":"","parse-names":false,"suffix":""}],"container-title":"Chest","id":"ITEM-1","issue":"4","issued":{"date-parts":[["2016"]]},"page":"827A","title":"The Impact of Adherence and Exacerbation Frequency on Health Care Utilization and Associated Direct Costs in Severe Asthma","type":"article-journal","volume":"150"},"uris":["http://www.mendeley.com/documents/?uuid=f217da50-0f40-45c6-be40-bd01a351203d"]}],"mendeley":{"formattedCitation":"(49)","plainTextFormattedCitation":"(49)","previouslyFormattedCitation":"(49)"},"properties":{"noteIndex":0},"schema":"https://github.com/citation-style-language/schema/raw/master/csl-citation.json"}</w:instrText>
            </w:r>
            <w:r w:rsidRPr="00F02BC6">
              <w:rPr>
                <w:color w:val="000000"/>
                <w:lang w:val="en-US"/>
              </w:rPr>
              <w:fldChar w:fldCharType="separate"/>
            </w:r>
            <w:r w:rsidRPr="00F02BC6">
              <w:rPr>
                <w:color w:val="000000"/>
                <w:lang w:val="en-US"/>
              </w:rPr>
              <w:t>(49)</w:t>
            </w:r>
            <w:r w:rsidRPr="00F02BC6">
              <w:rPr>
                <w:color w:val="000000"/>
                <w:lang w:val="en-US"/>
              </w:rPr>
              <w:fldChar w:fldCharType="end"/>
            </w:r>
          </w:p>
        </w:tc>
      </w:tr>
      <w:tr w:rsidR="00801304" w:rsidRPr="00F02BC6" w14:paraId="3CAE19CC" w14:textId="77777777" w:rsidTr="00495804">
        <w:tc>
          <w:tcPr>
            <w:tcW w:w="2245" w:type="dxa"/>
          </w:tcPr>
          <w:p w14:paraId="7BE13CE2" w14:textId="77777777" w:rsidR="00801304" w:rsidRPr="00F02BC6" w:rsidRDefault="00801304" w:rsidP="00495804">
            <w:pPr>
              <w:rPr>
                <w:color w:val="000000"/>
                <w:lang w:val="en-US"/>
              </w:rPr>
            </w:pPr>
            <w:r w:rsidRPr="00F02BC6">
              <w:rPr>
                <w:color w:val="000000"/>
                <w:lang w:val="en-US"/>
              </w:rPr>
              <w:t>Continuous Medication Availability (CMA I), CMA II)</w:t>
            </w:r>
          </w:p>
        </w:tc>
        <w:tc>
          <w:tcPr>
            <w:tcW w:w="2610" w:type="dxa"/>
          </w:tcPr>
          <w:p w14:paraId="0AE9969A" w14:textId="77777777" w:rsidR="00801304" w:rsidRPr="00F02BC6" w:rsidRDefault="00801304" w:rsidP="00495804">
            <w:pPr>
              <w:rPr>
                <w:color w:val="000000"/>
                <w:lang w:val="en-US"/>
              </w:rPr>
            </w:pPr>
            <w:r w:rsidRPr="00F02BC6">
              <w:rPr>
                <w:color w:val="000000"/>
                <w:lang w:val="en-US"/>
              </w:rPr>
              <w:t>CMAI ≥ 80%, and CMA II ≥80%.</w:t>
            </w:r>
          </w:p>
        </w:tc>
        <w:tc>
          <w:tcPr>
            <w:tcW w:w="2435" w:type="dxa"/>
          </w:tcPr>
          <w:p w14:paraId="3E434605" w14:textId="77777777" w:rsidR="00801304" w:rsidRPr="00F02BC6" w:rsidRDefault="00801304" w:rsidP="00495804">
            <w:pPr>
              <w:jc w:val="center"/>
              <w:rPr>
                <w:color w:val="000000"/>
                <w:lang w:val="en-US"/>
              </w:rPr>
            </w:pPr>
          </w:p>
        </w:tc>
        <w:tc>
          <w:tcPr>
            <w:tcW w:w="2613" w:type="dxa"/>
          </w:tcPr>
          <w:p w14:paraId="35E210DF" w14:textId="77777777" w:rsidR="00801304" w:rsidRPr="00F02BC6" w:rsidRDefault="00801304" w:rsidP="00495804">
            <w:pPr>
              <w:jc w:val="center"/>
              <w:rPr>
                <w:color w:val="000000"/>
                <w:lang w:val="en-US"/>
              </w:rPr>
            </w:pPr>
            <w:r w:rsidRPr="00F02BC6">
              <w:rPr>
                <w:color w:val="000000"/>
                <w:lang w:val="en-US"/>
              </w:rPr>
              <w:fldChar w:fldCharType="begin" w:fldLock="1"/>
            </w:r>
            <w:r w:rsidRPr="00F02BC6">
              <w:rPr>
                <w:color w:val="000000"/>
                <w:lang w:val="en-US"/>
              </w:rPr>
              <w:instrText>ADDIN CSL_CITATION {"citationItems":[{"id":"ITEM-1","itemData":{"DOI":"10.1016/j.jaip.2016.09.022","ISSN":"22132198","PMID":"27815064","abstract":"Background Electronic prescribing records can enable exploration of medication adherence, but analysis decisions may influence estimates and require alignment to new consensus-based definitions. Objective To compare different computations of inhaled corticosteroid (ICS) implementation in a primary care asthma population initiating ICS therapy when assessed within episodes of persistent use, and examine longitudinal variation in implementation. Methods A historical cohort study was conducted on UK's Optimum Patient Care Research Database. Eligible patients had physician-diagnosed asthma, initiated ICS therapy, and had 3 or more years of continuous registration. ICS treatment episodes were constructed on the basis of 3 definitions, permitting 30-, 90-, and 182-day gaps between prescriptions. Implementation was estimated using 2 continuous medication availability (CMA I and II) definitions to explore effects of carryover of previous prescriptions in 4 observation windows: 6, 8, 12, and 24 months. Impact of methodology was assessed by descriptive statistics, linear mixed models, and measures of agreement. Results A total of 13,922 eligible patients (mean age, 39.9 years; 48.7% men) were identified. For CMA I, permitting a 90-day gap, mean ICS implementation for the 2-year period was 89.3% (±16.0%; range, 14.4%-100%). Sensitivity analyses with 30- and 182-day gaps resulted in increased (97.0% ± 7.2%) and decreased (81.1% ± 21.6%) estimates. CMA II produced estimates with varying concordance (0.69-0.87). Substantial variance was found between and within patients (intraclass coefficient, 0.30-0.36). Conclusions Different analysis choices resulted in substantial variation in implementation estimates, highlighting the need for transparent and clinically relevant methododology. Distinguishing between (non)persistence and implementation is important in clinical practice, and may require different interventions in routine consultations.","author":[{"dropping-particle":"","family":"Souverein","given":"Patrick C.","non-dropping-particle":"","parse-names":false,"suffix":""},{"dropping-particle":"","family":"Koster","given":"Ellen S.","non-dropping-particle":"","parse-names":false,"suffix":""},{"dropping-particle":"","family":"Colice","given":"Gene","non-dropping-particle":"","parse-names":false,"suffix":""},{"dropping-particle":"","family":"Ganse","given":"Eric","non-dropping-particle":"van","parse-names":false,"suffix":""},{"dropping-particle":"","family":"Chisholm","given":"Alison","non-dropping-particle":"","parse-names":false,"suffix":""},{"dropping-particle":"","family":"Price","given":"David","non-dropping-particle":"","parse-names":false,"suffix":""},{"dropping-particle":"","family":"Dima","given":"Alexandra L.","non-dropping-particle":"","parse-names":false,"suffix":""}],"container-title":"Journal of Allergy and Clinical Immunology: In Practice","id":"ITEM-1","issue":"2","issued":{"date-parts":[["2017"]]},"page":"448-456.e2","publisher":"Elsevier Inc","title":"Inhaled Corticosteroid Adherence Patterns in a Longitudinal Asthma Cohort","type":"article-journal","volume":"5"},"uris":["http://www.mendeley.com/documents/?uuid=6388f985-611e-4fb2-a1f1-6cb0972a3df9"]}],"mendeley":{"formattedCitation":"(39)","plainTextFormattedCitation":"(39)","previouslyFormattedCitation":"(39)"},"properties":{"noteIndex":0},"schema":"https://github.com/citation-style-language/schema/raw/master/csl-citation.json"}</w:instrText>
            </w:r>
            <w:r w:rsidRPr="00F02BC6">
              <w:rPr>
                <w:color w:val="000000"/>
                <w:lang w:val="en-US"/>
              </w:rPr>
              <w:fldChar w:fldCharType="separate"/>
            </w:r>
            <w:r w:rsidRPr="00F02BC6">
              <w:rPr>
                <w:color w:val="000000"/>
                <w:lang w:val="en-US"/>
              </w:rPr>
              <w:t>(39)</w:t>
            </w:r>
            <w:r w:rsidRPr="00F02BC6">
              <w:rPr>
                <w:color w:val="000000"/>
                <w:lang w:val="en-US"/>
              </w:rPr>
              <w:fldChar w:fldCharType="end"/>
            </w:r>
          </w:p>
        </w:tc>
      </w:tr>
      <w:tr w:rsidR="00801304" w:rsidRPr="00F02BC6" w14:paraId="00A5048B" w14:textId="77777777" w:rsidTr="00495804">
        <w:tc>
          <w:tcPr>
            <w:tcW w:w="2245" w:type="dxa"/>
          </w:tcPr>
          <w:p w14:paraId="7E207854" w14:textId="77777777" w:rsidR="00801304" w:rsidRPr="00F02BC6" w:rsidRDefault="00801304" w:rsidP="00495804">
            <w:pPr>
              <w:rPr>
                <w:color w:val="000000"/>
                <w:lang w:val="en-US"/>
              </w:rPr>
            </w:pPr>
            <w:r w:rsidRPr="00F02BC6">
              <w:rPr>
                <w:color w:val="000000"/>
                <w:lang w:val="en-US"/>
              </w:rPr>
              <w:t>Persistence</w:t>
            </w:r>
          </w:p>
        </w:tc>
        <w:tc>
          <w:tcPr>
            <w:tcW w:w="2610" w:type="dxa"/>
          </w:tcPr>
          <w:p w14:paraId="3EB52AD2" w14:textId="77777777" w:rsidR="00801304" w:rsidRPr="00F02BC6" w:rsidRDefault="00801304" w:rsidP="00495804">
            <w:pPr>
              <w:rPr>
                <w:color w:val="000000"/>
                <w:lang w:val="en-US"/>
              </w:rPr>
            </w:pPr>
            <w:r w:rsidRPr="00F02BC6">
              <w:rPr>
                <w:color w:val="000000"/>
                <w:lang w:val="en-US"/>
              </w:rPr>
              <w:t>Absence of treatment gap ≥30 days.</w:t>
            </w:r>
          </w:p>
        </w:tc>
        <w:tc>
          <w:tcPr>
            <w:tcW w:w="2435" w:type="dxa"/>
          </w:tcPr>
          <w:p w14:paraId="4738A151" w14:textId="77777777" w:rsidR="00801304" w:rsidRPr="00F02BC6" w:rsidRDefault="00801304" w:rsidP="00495804">
            <w:pPr>
              <w:jc w:val="center"/>
              <w:rPr>
                <w:color w:val="000000"/>
                <w:lang w:val="en-US"/>
              </w:rPr>
            </w:pPr>
          </w:p>
        </w:tc>
        <w:tc>
          <w:tcPr>
            <w:tcW w:w="2613" w:type="dxa"/>
          </w:tcPr>
          <w:p w14:paraId="629170E6" w14:textId="77777777" w:rsidR="00801304" w:rsidRPr="00F02BC6" w:rsidRDefault="00801304" w:rsidP="00495804">
            <w:pPr>
              <w:jc w:val="center"/>
              <w:rPr>
                <w:color w:val="000000"/>
                <w:lang w:val="en-US"/>
              </w:rPr>
            </w:pPr>
            <w:r w:rsidRPr="00F02BC6">
              <w:rPr>
                <w:color w:val="000000"/>
                <w:lang w:val="en-US"/>
              </w:rPr>
              <w:fldChar w:fldCharType="begin" w:fldLock="1"/>
            </w:r>
            <w:r w:rsidRPr="00F02BC6">
              <w:rPr>
                <w:color w:val="000000"/>
                <w:lang w:val="en-US"/>
              </w:rPr>
              <w:instrText>ADDIN CSL_CITATION {"citationItems":[{"id":"ITEM-1","itemData":{"DOI":"10.1016/j.jaip.2018.12.021","ISSN":"22132198","abstract":"Background: Although efficacy and safety of fluticasone furoate/vilanterol (FF/VI) and budesonide/formoterol (BUD/F) have been demonstrated in clinical studies, real-world comparisons of utilization have not been performed. Objective: To compare similar patients with asthma initiating FF/VI or BUD/F on measures of adherence, persistence, and the asthma medication ratio (AMR). Methods: This was a retrospective cohort study of commercial and Medicare Advantage with Part D enrollees initiating FF/VI or BUD/F for asthma. Adult patients (≥18 years) with at least 15-month (12-month preindex and 3-month postindex) continuous enrollment and 1 or more asthma diagnosis code were eligible for the study. Patients with a history of fixed-dose inhaled corticosteroid/long-acting β-agonist and other respiratory disorders (chronic obstructive pulmonary disease, cystic fibrosis, acute respiratory failure) in the baseline period were excluded. Propensity-score matching was used to balance cohorts on baseline characteristics. Logistic regression and Cox-proportional hazard models were used to assess differences. Results: A total of 9951 patients met all criteria. After propensity-score matching, 1725 patients were matched in each cohort. Subjects who initiated FF/VI had a significantly higher mean proportion of days covered (P &lt; .001), had 86% greater odds of having a proportion of days covered value of greater than or equal to 0.80 (adjusted odds ratio, 1.86; 95% CI, 1.51-2.30), 26% lower risk of discontinuation (adjusted hazard ratio, 0.74; 95% CI, 0.69-0.79), and 36% greater odds of an AMR of greater than or equal to 0.50 (adjusted odds ratio, 1.36; 95% CI, 1.23-1.50) compared with BUD/F. Conclusions: Adherence and treatment persistence were low in both cohorts; however, patients initiating once-daily FF/VI were more likely to be adherent, have an AMR of greater than or equal to 0.5, and were less likely to discontinue therapy compared with patients initiating twice-daily BUD/F (GlaxoSmithKline Study HO1617302/206482).","author":[{"dropping-particle":"","family":"Stanford","given":"Richard H.","non-dropping-particle":"","parse-names":false,"suffix":""},{"dropping-particle":"","family":"Averell","given":"Carlyne","non-dropping-particle":"","parse-names":false,"suffix":""},{"dropping-particle":"","family":"Parker","given":"Emily D.","non-dropping-particle":"","parse-names":false,"suffix":""},{"dropping-particle":"","family":"Blauer-Peterson","given":"Cori","non-dropping-particle":"","parse-names":false,"suffix":""},{"dropping-particle":"","family":"Reinsch","given":"Tyler K.","non-dropping-particle":"","parse-names":false,"suffix":""},{"dropping-particle":"","family":"Buikema","given":"Ami R.","non-dropping-particle":"","parse-names":false,"suffix":""}],"container-title":"Journal of Allergy and Clinical Immunology: In Practice","id":"ITEM-1","issue":"5","issued":{"date-parts":[["2019"]]},"page":"1488-1496.e7","publisher":"Elsevier Inc","title":"Assessment of Adherence and Asthma Medication Ratio for a Once-Daily and Twice-Daily Inhaled Corticosteroid/Long-Acting β-Agonist for Asthma","type":"article-journal","volume":"7"},"uris":["http://www.mendeley.com/documents/?uuid=bbb929af-5057-4e70-962a-1abd8e274446"]}],"mendeley":{"formattedCitation":"(21)","plainTextFormattedCitation":"(21)","previouslyFormattedCitation":"(21)"},"properties":{"noteIndex":0},"schema":"https://github.com/citation-style-language/schema/raw/master/csl-citation.json"}</w:instrText>
            </w:r>
            <w:r w:rsidRPr="00F02BC6">
              <w:rPr>
                <w:color w:val="000000"/>
                <w:lang w:val="en-US"/>
              </w:rPr>
              <w:fldChar w:fldCharType="separate"/>
            </w:r>
            <w:r w:rsidRPr="00F02BC6">
              <w:rPr>
                <w:color w:val="000000"/>
                <w:lang w:val="en-US"/>
              </w:rPr>
              <w:t>(21)</w:t>
            </w:r>
            <w:r w:rsidRPr="00F02BC6">
              <w:rPr>
                <w:color w:val="000000"/>
                <w:lang w:val="en-US"/>
              </w:rPr>
              <w:fldChar w:fldCharType="end"/>
            </w:r>
          </w:p>
        </w:tc>
      </w:tr>
      <w:tr w:rsidR="00801304" w:rsidRPr="00F02BC6" w14:paraId="03A6AEDB" w14:textId="77777777" w:rsidTr="00495804">
        <w:tc>
          <w:tcPr>
            <w:tcW w:w="2245" w:type="dxa"/>
          </w:tcPr>
          <w:p w14:paraId="55AC0BEE" w14:textId="77777777" w:rsidR="00801304" w:rsidRPr="00F02BC6" w:rsidRDefault="00801304" w:rsidP="00495804">
            <w:pPr>
              <w:rPr>
                <w:color w:val="000000"/>
                <w:lang w:val="en-US"/>
              </w:rPr>
            </w:pPr>
            <w:r w:rsidRPr="00F02BC6">
              <w:rPr>
                <w:color w:val="000000"/>
                <w:lang w:val="en-US"/>
              </w:rPr>
              <w:t>AMR</w:t>
            </w:r>
          </w:p>
        </w:tc>
        <w:tc>
          <w:tcPr>
            <w:tcW w:w="2610" w:type="dxa"/>
          </w:tcPr>
          <w:p w14:paraId="44529595" w14:textId="77777777" w:rsidR="00801304" w:rsidRPr="00F02BC6" w:rsidRDefault="00801304" w:rsidP="00495804">
            <w:pPr>
              <w:rPr>
                <w:color w:val="000000"/>
                <w:lang w:val="en-US"/>
              </w:rPr>
            </w:pPr>
            <w:r w:rsidRPr="00F02BC6">
              <w:rPr>
                <w:color w:val="000000"/>
                <w:lang w:val="en-US"/>
              </w:rPr>
              <w:t>AMR ≥ 0.5</w:t>
            </w:r>
          </w:p>
        </w:tc>
        <w:tc>
          <w:tcPr>
            <w:tcW w:w="2435" w:type="dxa"/>
          </w:tcPr>
          <w:p w14:paraId="2F415E8E" w14:textId="77777777" w:rsidR="00801304" w:rsidRPr="00F02BC6" w:rsidRDefault="00801304" w:rsidP="00495804">
            <w:pPr>
              <w:jc w:val="center"/>
              <w:rPr>
                <w:color w:val="000000"/>
                <w:lang w:val="en-US"/>
              </w:rPr>
            </w:pPr>
          </w:p>
        </w:tc>
        <w:tc>
          <w:tcPr>
            <w:tcW w:w="2613" w:type="dxa"/>
          </w:tcPr>
          <w:p w14:paraId="79D536DD" w14:textId="77777777" w:rsidR="00801304" w:rsidRPr="00F02BC6" w:rsidRDefault="00801304" w:rsidP="00495804">
            <w:pPr>
              <w:jc w:val="center"/>
              <w:rPr>
                <w:color w:val="000000"/>
                <w:lang w:val="en-US"/>
              </w:rPr>
            </w:pPr>
            <w:r w:rsidRPr="00F02BC6">
              <w:rPr>
                <w:color w:val="000000"/>
                <w:lang w:val="en-US"/>
              </w:rPr>
              <w:fldChar w:fldCharType="begin" w:fldLock="1"/>
            </w:r>
            <w:r w:rsidRPr="00F02BC6">
              <w:rPr>
                <w:color w:val="000000"/>
                <w:lang w:val="en-US"/>
              </w:rPr>
              <w:instrText>ADDIN CSL_CITATION {"citationItems":[{"id":"ITEM-1","itemData":{"DOI":"10.1016/j.sapharm.2016.07.007","ISSN":"15517411","abstract":"Background Adherence with asthma medications is less than optimal, measuring approximately 30–50%. Several factors have been shown to contribute to medication non-adherence including low-socioeconomic status, low literacy, medication cost, access to care, and language barriers. Community Health Clinic Ole has attempted to reduce medication adherence barriers associated with cost, access to care, and language by 1) allowing medications to be obtained from the clinic at a reduced cost via the 340B drug pricing program and patient assistance programs, and 2) providing one-on-one consultations from bilingual Spanish-speaking clinicians. Limited evidence is available regarding chronic disease-state medication adherence among Spanish-speaking individuals presenting to a Federally Qualified Health Center (FQHC). Objective The purpose of this study is to assess asthma medication adherence and determine predictors of non-adherence in the underserved population at an FQHC. Methods Adult patients with a diagnosis of persistent asthma receiving medication refills from clinic between October 1, 2011 and October 31, 2012 were identified (N = 121). Individuals with intermittent or seasonal asthma only, exercise-induced asthma only, or mixed asthma/COPD; individuals who have not picked up at least one fill of inhaled corticosteroid in the past one-year; and individuals without active prescriptions for asthma controller medications were excluded. Medication adherence was assessed by using the medication possession ratio (MPR) for asthma controller medications (e.g. inhaled corticosteroids, long-acting beta-2 agonists, leukotriene modifiers, and theophylline). Patients were categorized into two adherence groups: medium–high (MPR ≥ 0.5) and low (MPR &lt; 0.5). Results Approximately one-third of individuals were identified with medium–high adherence to asthma medications, of which only 8.3% of individuals were found to be fully adherent (MPR ≥ 0.8). The majority of individuals (66.1%) were identified with low adherence, despite efforts to reduce medication adherence barriers associated with drug cost, access to care, and language. Patients with low adherence were younger (39.3 vs. 45.4 yo; P &lt; 0.012), had fewer medication refills (2.1 vs. 5.3; P &lt; 0.001), had fewer primary care provider (PCP) visits (3.4 vs. 5.0; P &lt; 0.05), lower baseline Asthma Control Test (ACT) scores (13.1 vs. 17.3; P &lt; 0.001), and lower asthma medication ratios (AMR) (0.7 vs. 0.9; P &lt; 0.001) than patient…","author":[{"dropping-particle":"","family":"Bidwal","given":"Monica","non-dropping-particle":"","parse-names":false,"suffix":""},{"dropping-particle":"","family":"Lor","given":"Kajua","non-dropping-particle":"","parse-names":false,"suffix":""},{"dropping-particle":"","family":"Yu","given":"Junhua","non-dropping-particle":"","parse-names":false,"suffix":""},{"dropping-particle":"","family":"Ip","given":"Eric","non-dropping-particle":"","parse-names":false,"suffix":""}],"container-title":"Research in Social and Administrative Pharmacy","id":"ITEM-1","issue":"4","issued":{"date-parts":[["2017"]]},"page":"759-766","publisher":"Elsevier Inc","title":"Evaluation of asthma medication adherence rates and strategies to improve adherence in the underserved population at a Federally Qualified Health Center","type":"article-journal","volume":"13"},"uris":["http://www.mendeley.com/documents/?uuid=8ba2c98f-c86a-4685-b037-4813f165f572"]}],"mendeley":{"formattedCitation":"(19)","plainTextFormattedCitation":"(19)","previouslyFormattedCitation":"(19)"},"properties":{"noteIndex":0},"schema":"https://github.com/citation-style-language/schema/raw/master/csl-citation.json"}</w:instrText>
            </w:r>
            <w:r w:rsidRPr="00F02BC6">
              <w:rPr>
                <w:color w:val="000000"/>
                <w:lang w:val="en-US"/>
              </w:rPr>
              <w:fldChar w:fldCharType="separate"/>
            </w:r>
            <w:r w:rsidRPr="00F02BC6">
              <w:rPr>
                <w:color w:val="000000"/>
                <w:lang w:val="en-US"/>
              </w:rPr>
              <w:t>(19)</w:t>
            </w:r>
            <w:r w:rsidRPr="00F02BC6">
              <w:rPr>
                <w:color w:val="000000"/>
                <w:lang w:val="en-US"/>
              </w:rPr>
              <w:fldChar w:fldCharType="end"/>
            </w:r>
          </w:p>
        </w:tc>
      </w:tr>
    </w:tbl>
    <w:p w14:paraId="2C8EB0B2" w14:textId="77777777" w:rsidR="00801304" w:rsidRPr="00F02BC6" w:rsidRDefault="00801304" w:rsidP="00801304">
      <w:pPr>
        <w:rPr>
          <w:color w:val="000000"/>
          <w:sz w:val="20"/>
          <w:szCs w:val="20"/>
          <w:lang w:val="en-US"/>
        </w:rPr>
      </w:pPr>
    </w:p>
    <w:p w14:paraId="791D6BC9" w14:textId="77777777" w:rsidR="00801304" w:rsidRPr="00F02BC6" w:rsidRDefault="00801304" w:rsidP="00801304">
      <w:pPr>
        <w:rPr>
          <w:b/>
          <w:color w:val="000000"/>
          <w:sz w:val="20"/>
          <w:szCs w:val="20"/>
          <w:lang w:val="en-US"/>
        </w:rPr>
      </w:pPr>
    </w:p>
    <w:p w14:paraId="78BCF707" w14:textId="77777777" w:rsidR="00801304" w:rsidRPr="00F02BC6" w:rsidRDefault="00801304" w:rsidP="00801304">
      <w:pPr>
        <w:rPr>
          <w:b/>
          <w:color w:val="000000"/>
          <w:sz w:val="20"/>
          <w:szCs w:val="20"/>
          <w:lang w:val="en-US"/>
        </w:rPr>
      </w:pPr>
    </w:p>
    <w:p w14:paraId="045DAEE0" w14:textId="77777777" w:rsidR="00801304" w:rsidRPr="00F02BC6" w:rsidRDefault="00801304" w:rsidP="00801304">
      <w:pPr>
        <w:rPr>
          <w:b/>
          <w:color w:val="000000"/>
          <w:sz w:val="20"/>
          <w:szCs w:val="20"/>
          <w:lang w:val="en-US"/>
        </w:rPr>
      </w:pPr>
    </w:p>
    <w:p w14:paraId="190A6713" w14:textId="77777777" w:rsidR="00801304" w:rsidRPr="00F02BC6" w:rsidRDefault="00801304" w:rsidP="00801304">
      <w:pPr>
        <w:rPr>
          <w:b/>
          <w:color w:val="000000"/>
          <w:sz w:val="20"/>
          <w:szCs w:val="20"/>
          <w:lang w:val="en-US"/>
        </w:rPr>
      </w:pPr>
    </w:p>
    <w:p w14:paraId="12F6015F" w14:textId="77777777" w:rsidR="00801304" w:rsidRPr="00F02BC6" w:rsidRDefault="00801304" w:rsidP="0067724A">
      <w:pPr>
        <w:tabs>
          <w:tab w:val="left" w:pos="1665"/>
        </w:tabs>
        <w:rPr>
          <w:b/>
          <w:bCs/>
          <w:color w:val="000000"/>
          <w:lang w:val="en-US"/>
        </w:rPr>
      </w:pPr>
    </w:p>
    <w:p w14:paraId="02C2CDE0" w14:textId="1BDFA348" w:rsidR="0059046C" w:rsidRPr="00F02BC6" w:rsidRDefault="0059046C" w:rsidP="0059046C">
      <w:pPr>
        <w:rPr>
          <w:color w:val="000000"/>
          <w:sz w:val="20"/>
          <w:szCs w:val="20"/>
          <w:lang w:val="en-US"/>
        </w:rPr>
      </w:pPr>
    </w:p>
    <w:p w14:paraId="6D87AFAF" w14:textId="48C2D2BC" w:rsidR="00E569A5" w:rsidRPr="00F02BC6" w:rsidRDefault="00E569A5" w:rsidP="0059046C">
      <w:pPr>
        <w:rPr>
          <w:color w:val="000000"/>
          <w:sz w:val="20"/>
          <w:szCs w:val="20"/>
          <w:lang w:val="en-US"/>
        </w:rPr>
      </w:pPr>
    </w:p>
    <w:p w14:paraId="751B5DEB" w14:textId="35EF0897" w:rsidR="00E569A5" w:rsidRPr="00F02BC6" w:rsidRDefault="00E569A5" w:rsidP="0059046C">
      <w:pPr>
        <w:rPr>
          <w:color w:val="000000"/>
          <w:sz w:val="20"/>
          <w:szCs w:val="20"/>
          <w:lang w:val="en-US"/>
        </w:rPr>
      </w:pPr>
    </w:p>
    <w:p w14:paraId="2E296B63" w14:textId="06098957" w:rsidR="00E569A5" w:rsidRPr="00F02BC6" w:rsidRDefault="00E569A5" w:rsidP="0059046C">
      <w:pPr>
        <w:rPr>
          <w:color w:val="000000"/>
          <w:sz w:val="20"/>
          <w:szCs w:val="20"/>
          <w:lang w:val="en-US"/>
        </w:rPr>
      </w:pPr>
    </w:p>
    <w:p w14:paraId="36E66FF3" w14:textId="41619099" w:rsidR="00E569A5" w:rsidRPr="00F02BC6" w:rsidRDefault="00E569A5" w:rsidP="0059046C">
      <w:pPr>
        <w:rPr>
          <w:color w:val="000000"/>
          <w:sz w:val="20"/>
          <w:szCs w:val="20"/>
          <w:lang w:val="en-US"/>
        </w:rPr>
      </w:pPr>
    </w:p>
    <w:p w14:paraId="56F516D2" w14:textId="47C805F5" w:rsidR="00E569A5" w:rsidRPr="00F02BC6" w:rsidRDefault="00E569A5" w:rsidP="0059046C">
      <w:pPr>
        <w:rPr>
          <w:color w:val="000000"/>
          <w:sz w:val="20"/>
          <w:szCs w:val="20"/>
          <w:lang w:val="en-US"/>
        </w:rPr>
      </w:pPr>
    </w:p>
    <w:p w14:paraId="5F9950D5" w14:textId="17BEEA80" w:rsidR="00E569A5" w:rsidRPr="00F02BC6" w:rsidRDefault="00E569A5" w:rsidP="0059046C">
      <w:pPr>
        <w:rPr>
          <w:color w:val="000000"/>
          <w:sz w:val="20"/>
          <w:szCs w:val="20"/>
          <w:lang w:val="en-US"/>
        </w:rPr>
      </w:pPr>
    </w:p>
    <w:p w14:paraId="1236F24A" w14:textId="60F9C6CA" w:rsidR="00E569A5" w:rsidRPr="00F02BC6" w:rsidRDefault="00E569A5" w:rsidP="0059046C">
      <w:pPr>
        <w:rPr>
          <w:color w:val="000000"/>
          <w:sz w:val="20"/>
          <w:szCs w:val="20"/>
          <w:lang w:val="en-US"/>
        </w:rPr>
      </w:pPr>
    </w:p>
    <w:p w14:paraId="694C1F47" w14:textId="2858D637" w:rsidR="00E569A5" w:rsidRPr="00F02BC6" w:rsidRDefault="00E569A5" w:rsidP="0059046C">
      <w:pPr>
        <w:rPr>
          <w:color w:val="000000"/>
          <w:sz w:val="20"/>
          <w:szCs w:val="20"/>
          <w:lang w:val="en-US"/>
        </w:rPr>
      </w:pPr>
    </w:p>
    <w:p w14:paraId="731EB346" w14:textId="7BD08694" w:rsidR="00E569A5" w:rsidRPr="00F02BC6" w:rsidRDefault="00E569A5" w:rsidP="0059046C">
      <w:pPr>
        <w:rPr>
          <w:color w:val="000000"/>
          <w:sz w:val="20"/>
          <w:szCs w:val="20"/>
          <w:lang w:val="en-US"/>
        </w:rPr>
      </w:pPr>
    </w:p>
    <w:p w14:paraId="09C7C93D" w14:textId="507FEB2C" w:rsidR="00E569A5" w:rsidRPr="00F02BC6" w:rsidRDefault="00E569A5" w:rsidP="0059046C">
      <w:pPr>
        <w:rPr>
          <w:color w:val="000000"/>
          <w:sz w:val="20"/>
          <w:szCs w:val="20"/>
          <w:lang w:val="en-US"/>
        </w:rPr>
      </w:pPr>
    </w:p>
    <w:p w14:paraId="566DD1CC" w14:textId="4E165EA4" w:rsidR="00E569A5" w:rsidRPr="00F02BC6" w:rsidRDefault="00E569A5" w:rsidP="0059046C">
      <w:pPr>
        <w:rPr>
          <w:color w:val="000000"/>
          <w:sz w:val="20"/>
          <w:szCs w:val="20"/>
          <w:lang w:val="en-US"/>
        </w:rPr>
      </w:pPr>
    </w:p>
    <w:p w14:paraId="4B39AA1F" w14:textId="7E403A5B" w:rsidR="00E569A5" w:rsidRPr="00F02BC6" w:rsidRDefault="00E569A5" w:rsidP="0059046C">
      <w:pPr>
        <w:rPr>
          <w:color w:val="000000"/>
          <w:sz w:val="20"/>
          <w:szCs w:val="20"/>
          <w:lang w:val="en-US"/>
        </w:rPr>
      </w:pPr>
    </w:p>
    <w:p w14:paraId="010B9FC3" w14:textId="35FCA221" w:rsidR="00E569A5" w:rsidRPr="00F02BC6" w:rsidRDefault="00E569A5" w:rsidP="0059046C">
      <w:pPr>
        <w:rPr>
          <w:color w:val="000000"/>
          <w:sz w:val="20"/>
          <w:szCs w:val="20"/>
          <w:lang w:val="en-US"/>
        </w:rPr>
      </w:pPr>
    </w:p>
    <w:p w14:paraId="37E49EDC" w14:textId="58AF3F2D" w:rsidR="00E569A5" w:rsidRPr="00F02BC6" w:rsidRDefault="00E569A5" w:rsidP="0059046C">
      <w:pPr>
        <w:rPr>
          <w:color w:val="000000"/>
          <w:sz w:val="20"/>
          <w:szCs w:val="20"/>
          <w:lang w:val="en-US"/>
        </w:rPr>
      </w:pPr>
    </w:p>
    <w:p w14:paraId="5565AE7B" w14:textId="0D5C92A5" w:rsidR="00E569A5" w:rsidRPr="00F02BC6" w:rsidRDefault="00E569A5" w:rsidP="0059046C">
      <w:pPr>
        <w:rPr>
          <w:color w:val="000000"/>
          <w:sz w:val="20"/>
          <w:szCs w:val="20"/>
          <w:lang w:val="en-US"/>
        </w:rPr>
      </w:pPr>
    </w:p>
    <w:p w14:paraId="497034A3" w14:textId="77777777" w:rsidR="00801304" w:rsidRPr="00F02BC6" w:rsidRDefault="00801304" w:rsidP="00801304">
      <w:pPr>
        <w:ind w:left="-993"/>
        <w:rPr>
          <w:b/>
          <w:bCs/>
          <w:color w:val="000000"/>
          <w:lang w:val="en-US"/>
        </w:rPr>
      </w:pPr>
      <w:r w:rsidRPr="00F02BC6">
        <w:rPr>
          <w:b/>
          <w:bCs/>
          <w:color w:val="000000"/>
          <w:lang w:val="en-US"/>
        </w:rPr>
        <w:t>Table S9: Additional summary of study characteristic</w:t>
      </w:r>
    </w:p>
    <w:tbl>
      <w:tblPr>
        <w:tblW w:w="15401" w:type="dxa"/>
        <w:tblInd w:w="-1085" w:type="dxa"/>
        <w:tblLayout w:type="fixed"/>
        <w:tblLook w:val="04A0" w:firstRow="1" w:lastRow="0" w:firstColumn="1" w:lastColumn="0" w:noHBand="0" w:noVBand="1"/>
      </w:tblPr>
      <w:tblGrid>
        <w:gridCol w:w="2219"/>
        <w:gridCol w:w="1984"/>
        <w:gridCol w:w="1843"/>
        <w:gridCol w:w="2127"/>
        <w:gridCol w:w="2976"/>
        <w:gridCol w:w="2693"/>
        <w:gridCol w:w="144"/>
        <w:gridCol w:w="1415"/>
      </w:tblGrid>
      <w:tr w:rsidR="00801304" w:rsidRPr="00F02BC6" w14:paraId="0C2C0629" w14:textId="77777777" w:rsidTr="005F62B6">
        <w:tc>
          <w:tcPr>
            <w:tcW w:w="2219" w:type="dxa"/>
            <w:tcBorders>
              <w:top w:val="single" w:sz="4" w:space="0" w:color="auto"/>
              <w:bottom w:val="single" w:sz="4" w:space="0" w:color="auto"/>
            </w:tcBorders>
          </w:tcPr>
          <w:p w14:paraId="70A0341E" w14:textId="77777777" w:rsidR="00801304" w:rsidRPr="00F02BC6" w:rsidRDefault="00801304" w:rsidP="00495804">
            <w:pPr>
              <w:rPr>
                <w:b/>
                <w:color w:val="000000"/>
                <w:sz w:val="20"/>
                <w:szCs w:val="20"/>
                <w:lang w:val="en-US"/>
              </w:rPr>
            </w:pPr>
            <w:r w:rsidRPr="00F02BC6">
              <w:rPr>
                <w:b/>
                <w:color w:val="000000"/>
                <w:sz w:val="20"/>
                <w:szCs w:val="20"/>
                <w:lang w:val="en-US"/>
              </w:rPr>
              <w:t>Author</w:t>
            </w:r>
          </w:p>
        </w:tc>
        <w:tc>
          <w:tcPr>
            <w:tcW w:w="1984" w:type="dxa"/>
            <w:tcBorders>
              <w:top w:val="single" w:sz="4" w:space="0" w:color="auto"/>
              <w:bottom w:val="single" w:sz="4" w:space="0" w:color="auto"/>
            </w:tcBorders>
          </w:tcPr>
          <w:p w14:paraId="4CFC5A1C" w14:textId="77777777" w:rsidR="00801304" w:rsidRPr="00F02BC6" w:rsidRDefault="00801304" w:rsidP="00495804">
            <w:pPr>
              <w:rPr>
                <w:b/>
                <w:color w:val="000000"/>
                <w:sz w:val="20"/>
                <w:szCs w:val="20"/>
                <w:lang w:val="en-US"/>
              </w:rPr>
            </w:pPr>
            <w:r w:rsidRPr="00F02BC6">
              <w:rPr>
                <w:b/>
                <w:color w:val="000000"/>
                <w:sz w:val="20"/>
                <w:szCs w:val="20"/>
                <w:lang w:val="en-US"/>
              </w:rPr>
              <w:t>Definition/Diagnosis of asthma</w:t>
            </w:r>
          </w:p>
        </w:tc>
        <w:tc>
          <w:tcPr>
            <w:tcW w:w="1843" w:type="dxa"/>
            <w:tcBorders>
              <w:top w:val="single" w:sz="4" w:space="0" w:color="auto"/>
              <w:bottom w:val="single" w:sz="4" w:space="0" w:color="auto"/>
            </w:tcBorders>
          </w:tcPr>
          <w:p w14:paraId="0819BDB7" w14:textId="77777777" w:rsidR="00801304" w:rsidRPr="00F02BC6" w:rsidRDefault="00801304" w:rsidP="00495804">
            <w:pPr>
              <w:rPr>
                <w:b/>
                <w:color w:val="000000"/>
                <w:sz w:val="20"/>
                <w:szCs w:val="20"/>
                <w:lang w:val="en-US"/>
              </w:rPr>
            </w:pPr>
            <w:r w:rsidRPr="00F02BC6">
              <w:rPr>
                <w:b/>
                <w:color w:val="000000"/>
                <w:sz w:val="20"/>
                <w:szCs w:val="20"/>
                <w:lang w:val="en-US"/>
              </w:rPr>
              <w:t>Mean Medication Adherence Rate± Standard deviation</w:t>
            </w:r>
          </w:p>
        </w:tc>
        <w:tc>
          <w:tcPr>
            <w:tcW w:w="2127" w:type="dxa"/>
            <w:tcBorders>
              <w:top w:val="single" w:sz="4" w:space="0" w:color="auto"/>
              <w:bottom w:val="single" w:sz="4" w:space="0" w:color="auto"/>
            </w:tcBorders>
          </w:tcPr>
          <w:p w14:paraId="5E8FCB47" w14:textId="77777777" w:rsidR="00801304" w:rsidRPr="00F02BC6" w:rsidRDefault="00801304" w:rsidP="00495804">
            <w:pPr>
              <w:rPr>
                <w:b/>
                <w:color w:val="000000"/>
                <w:sz w:val="20"/>
                <w:szCs w:val="20"/>
                <w:lang w:val="en-US"/>
              </w:rPr>
            </w:pPr>
            <w:r w:rsidRPr="00F02BC6">
              <w:rPr>
                <w:b/>
                <w:color w:val="000000"/>
                <w:sz w:val="20"/>
                <w:szCs w:val="20"/>
                <w:lang w:val="en-US"/>
              </w:rPr>
              <w:t>Medication Adherence rate Threshold</w:t>
            </w:r>
          </w:p>
        </w:tc>
        <w:tc>
          <w:tcPr>
            <w:tcW w:w="2976" w:type="dxa"/>
            <w:tcBorders>
              <w:top w:val="single" w:sz="4" w:space="0" w:color="auto"/>
              <w:bottom w:val="single" w:sz="4" w:space="0" w:color="auto"/>
            </w:tcBorders>
          </w:tcPr>
          <w:p w14:paraId="4D764CAB" w14:textId="77777777" w:rsidR="00801304" w:rsidRPr="00F02BC6" w:rsidRDefault="00801304" w:rsidP="00495804">
            <w:pPr>
              <w:rPr>
                <w:b/>
                <w:color w:val="000000"/>
                <w:sz w:val="20"/>
                <w:szCs w:val="20"/>
                <w:lang w:val="en-US"/>
              </w:rPr>
            </w:pPr>
            <w:r w:rsidRPr="00F02BC6">
              <w:rPr>
                <w:b/>
                <w:color w:val="000000"/>
                <w:sz w:val="20"/>
                <w:szCs w:val="20"/>
                <w:lang w:val="en-US"/>
              </w:rPr>
              <w:t>Probability to reach the targeted clinical /surrogate outcome with Medication Adherence Threshold (Odds ratios [OR], Hazards ratios [HR] and Confidence Interval [CI])</w:t>
            </w:r>
          </w:p>
        </w:tc>
        <w:tc>
          <w:tcPr>
            <w:tcW w:w="2693" w:type="dxa"/>
            <w:tcBorders>
              <w:top w:val="single" w:sz="4" w:space="0" w:color="auto"/>
              <w:bottom w:val="single" w:sz="4" w:space="0" w:color="auto"/>
            </w:tcBorders>
          </w:tcPr>
          <w:p w14:paraId="4E6808D9" w14:textId="77777777" w:rsidR="00801304" w:rsidRPr="00F02BC6" w:rsidRDefault="00801304" w:rsidP="00495804">
            <w:pPr>
              <w:rPr>
                <w:b/>
                <w:color w:val="000000"/>
                <w:sz w:val="20"/>
                <w:szCs w:val="20"/>
                <w:lang w:val="en-US"/>
              </w:rPr>
            </w:pPr>
            <w:r w:rsidRPr="00F02BC6">
              <w:rPr>
                <w:b/>
                <w:color w:val="000000"/>
                <w:sz w:val="20"/>
                <w:szCs w:val="20"/>
                <w:lang w:val="en-US"/>
              </w:rPr>
              <w:t>Methods of Threshold Determination</w:t>
            </w:r>
          </w:p>
        </w:tc>
        <w:tc>
          <w:tcPr>
            <w:tcW w:w="1559" w:type="dxa"/>
            <w:gridSpan w:val="2"/>
            <w:tcBorders>
              <w:top w:val="single" w:sz="4" w:space="0" w:color="auto"/>
              <w:bottom w:val="single" w:sz="4" w:space="0" w:color="auto"/>
            </w:tcBorders>
          </w:tcPr>
          <w:p w14:paraId="082846AD" w14:textId="77777777" w:rsidR="00801304" w:rsidRPr="00F02BC6" w:rsidRDefault="00801304" w:rsidP="00495804">
            <w:pPr>
              <w:rPr>
                <w:b/>
                <w:color w:val="000000"/>
                <w:sz w:val="20"/>
                <w:szCs w:val="20"/>
                <w:lang w:val="en-US"/>
              </w:rPr>
            </w:pPr>
            <w:r w:rsidRPr="00F02BC6">
              <w:rPr>
                <w:b/>
                <w:color w:val="000000"/>
                <w:sz w:val="20"/>
                <w:szCs w:val="20"/>
                <w:lang w:val="en-US"/>
              </w:rPr>
              <w:t>Nonadherence Prevalence</w:t>
            </w:r>
          </w:p>
        </w:tc>
      </w:tr>
      <w:tr w:rsidR="00801304" w:rsidRPr="00F02BC6" w14:paraId="082665C0" w14:textId="77777777" w:rsidTr="005F62B6">
        <w:tc>
          <w:tcPr>
            <w:tcW w:w="2219" w:type="dxa"/>
          </w:tcPr>
          <w:p w14:paraId="0FF505ED" w14:textId="77777777" w:rsidR="00801304" w:rsidRPr="00F02BC6" w:rsidRDefault="00801304" w:rsidP="00495804">
            <w:pPr>
              <w:rPr>
                <w:color w:val="000000"/>
                <w:sz w:val="20"/>
                <w:szCs w:val="20"/>
                <w:lang w:val="en-US"/>
              </w:rPr>
            </w:pPr>
            <w:r w:rsidRPr="00F02BC6">
              <w:rPr>
                <w:color w:val="000000"/>
                <w:sz w:val="20"/>
                <w:szCs w:val="20"/>
                <w:lang w:val="en-US"/>
              </w:rPr>
              <w:t xml:space="preserve">Averell et al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{"citationItems":[{"id":"ITEM-1","itemData":{"DOI":"10.1080/02770903.2019.1663429","ISSN":"15324303","PMID":"31607180","abstract":"Objective: This real-world observational study compared medication adherence and persistence among patients with asthma receiving the once-daily inhaled corticosteroid/long-acting β2-agonist (ICS/LABA) fluticasone furoate/vilanterol (FF/VI) versus the twice-daily ICS/LABAs budesonide/formoterol (B/F) and fluticasone propionate/salmeterol (FP/SAL). Methods: This retrospective cohort study conducted using IQVIATM Health Plan Claims Data included patients with asthma ≥18 years of age initiating ICS/LABA therapy with FF/VI, B/F, or FP/SAL between January 1, 2014 and June 30, 2016 (index date). Patients had ≥12 months and ≥3 months of continuous eligibility pre- and post-index date, respectively. Patients receiving FF/VI were separately matched 1:1 with patients receiving B/F or FP/SAL using propensity score matching (PSM) and multivariable regression to balance baseline covariates between cohorts. The primary endpoint was medication adherence, measured by proportion of days covered (PDC). Secondary endpoints included proportion of patients achieving PDC ≥ 0.5 and PDC ≥ 0.8 and persistence with index medication, measured by time to discontinuation (&gt;45-day gap in therapy). Results: After PSM, 3,764 and 3,339 patients receiving FF/VI were matched with patients receiving B/F or FP/SAL, respectively. Mean PDC was significantly higher for FF/VI versus B/F (0.453 vs 0.345; adjusted p &lt; 0.001) and FP/SAL (0.446 vs 0.341; adjusted p &lt; 0.001). The proportion of patients achieving PDC ≥ 0.5 or PDC ≥ 0.8, and treatment persistence were significantly higher for FF/VI versus B/F and FP/SAL (all p &lt; 0.001). Conclusions: In this real-world study, patients initiating FF/VI had better adherence and lower risk of discontinuing treatment versus B/F or FP/SAL, suggesting that once-daily ICS/LABA treatment might improve adherence and persistence compared with twice-daily alternatives.","author":[{"dropping-particle":"","family":"Averell","given":"Carlyne M.","non-dropping-particle":"","parse-names":false,"suffix":""},{"dropping-particle":"","family":"Stanford","given":"Richard H.","non-dropping-particle":"","parse-names":false,"suffix":""},{"dropping-particle":"","family":"Laliberté","given":"François","non-dropping-particle":"","parse-names":false,"suffix":""},{"dropping-particle":"","family":"Wu","given":"Jennifer W.","non-dropping-particle":"","parse-names":false,"suffix":""},{"dropping-particle":"","family":"Germain","given":"Guillaume","non-dropping-particle":"","parse-names":false,"suffix":""},{"dropping-particle":"","family":"Duh","given":"Mei Sheng","non-dropping-particle":"","parse-names":false,"suffix":""}],"container-title":"Journal of Asthma","id":"ITEM-1","issue":"0","issued":{"date-parts":[["2019"]]},"page":"1-10","publisher":"Taylor &amp; Francis","title":"Medication adherence in patients with asthma using once-daily versus twice-daily ICS/LABAs","type":"article-journal","volume":"0"},"uris":["http://www.mendeley.com/documents/?uuid=13286ced-e40d-456d-8abd-72865ed361bf"]}],"mendeley":{"formattedCitation":"(50)","plainTextFormattedCitation":"(50)","previouslyFormattedCitation":"(50)"},"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(50)</w:t>
            </w:r>
            <w:r w:rsidRPr="00F02BC6">
              <w:rPr>
                <w:color w:val="000000"/>
                <w:sz w:val="20"/>
                <w:szCs w:val="20"/>
                <w:vertAlign w:val="superscript"/>
                <w:lang w:val="en-US"/>
              </w:rPr>
              <w:fldChar w:fldCharType="end"/>
            </w:r>
          </w:p>
        </w:tc>
        <w:tc>
          <w:tcPr>
            <w:tcW w:w="1984" w:type="dxa"/>
          </w:tcPr>
          <w:p w14:paraId="45F0FCF6" w14:textId="77777777" w:rsidR="00801304" w:rsidRPr="00F02BC6" w:rsidRDefault="00801304" w:rsidP="00495804">
            <w:pPr>
              <w:rPr>
                <w:color w:val="000000"/>
                <w:sz w:val="20"/>
                <w:szCs w:val="20"/>
                <w:lang w:val="en-US"/>
              </w:rPr>
            </w:pPr>
            <w:r w:rsidRPr="00F02BC6">
              <w:rPr>
                <w:color w:val="000000"/>
                <w:sz w:val="20"/>
                <w:szCs w:val="20"/>
                <w:lang w:val="en-US"/>
              </w:rPr>
              <w:t>The study used ICD-9/ICD-10 codes (493.xx, J43.x) to identify asthma patients. Additionally, patents were included if they had records of at least 1 prescription fill of furoate/vilanterol (FF/VI) or fluticasone propionate/salmeterol (FP/SAL).</w:t>
            </w:r>
          </w:p>
        </w:tc>
        <w:tc>
          <w:tcPr>
            <w:tcW w:w="1843" w:type="dxa"/>
          </w:tcPr>
          <w:p w14:paraId="4925351F" w14:textId="77777777" w:rsidR="00801304" w:rsidRPr="00F02BC6" w:rsidRDefault="00801304" w:rsidP="00495804">
            <w:pPr>
              <w:rPr>
                <w:color w:val="000000"/>
                <w:sz w:val="20"/>
                <w:szCs w:val="20"/>
                <w:lang w:val="en-US"/>
              </w:rPr>
            </w:pPr>
            <w:r w:rsidRPr="00F02BC6">
              <w:rPr>
                <w:color w:val="000000"/>
                <w:sz w:val="20"/>
                <w:szCs w:val="20"/>
                <w:lang w:val="en-US"/>
              </w:rPr>
              <w:t xml:space="preserve">PDC </w:t>
            </w:r>
          </w:p>
          <w:p w14:paraId="3373B23D" w14:textId="77777777" w:rsidR="00801304" w:rsidRPr="00F02BC6" w:rsidRDefault="00801304" w:rsidP="00495804">
            <w:pPr>
              <w:rPr>
                <w:color w:val="000000"/>
                <w:sz w:val="20"/>
                <w:szCs w:val="20"/>
                <w:lang w:val="en-US"/>
              </w:rPr>
            </w:pPr>
            <w:r w:rsidRPr="00F02BC6">
              <w:rPr>
                <w:color w:val="000000"/>
                <w:sz w:val="20"/>
                <w:szCs w:val="20"/>
                <w:lang w:val="en-US"/>
              </w:rPr>
              <w:t>0.34–0.45</w:t>
            </w:r>
          </w:p>
        </w:tc>
        <w:tc>
          <w:tcPr>
            <w:tcW w:w="2127" w:type="dxa"/>
          </w:tcPr>
          <w:p w14:paraId="7889AF0A" w14:textId="77777777" w:rsidR="00801304" w:rsidRPr="00F02BC6" w:rsidRDefault="00801304" w:rsidP="00495804">
            <w:pPr>
              <w:rPr>
                <w:color w:val="000000"/>
                <w:sz w:val="20"/>
                <w:szCs w:val="20"/>
                <w:lang w:val="en-US"/>
              </w:rPr>
            </w:pPr>
            <w:r w:rsidRPr="00F02BC6">
              <w:rPr>
                <w:color w:val="000000"/>
                <w:sz w:val="20"/>
                <w:szCs w:val="20"/>
                <w:lang w:val="en-US"/>
              </w:rPr>
              <w:t>≥0.5 or ≥0.8</w:t>
            </w:r>
          </w:p>
        </w:tc>
        <w:tc>
          <w:tcPr>
            <w:tcW w:w="2976" w:type="dxa"/>
          </w:tcPr>
          <w:p w14:paraId="550D0D84" w14:textId="77777777" w:rsidR="00801304" w:rsidRPr="00F02BC6" w:rsidRDefault="00801304" w:rsidP="00495804">
            <w:pPr>
              <w:rPr>
                <w:b/>
                <w:color w:val="000000"/>
                <w:sz w:val="20"/>
                <w:szCs w:val="20"/>
                <w:u w:val="single"/>
                <w:lang w:val="en-US"/>
              </w:rPr>
            </w:pPr>
            <w:r w:rsidRPr="00F02BC6">
              <w:rPr>
                <w:b/>
                <w:color w:val="000000"/>
                <w:sz w:val="20"/>
                <w:szCs w:val="20"/>
                <w:u w:val="single"/>
                <w:lang w:val="en-US"/>
              </w:rPr>
              <w:t>Medication Adherence</w:t>
            </w:r>
          </w:p>
          <w:p w14:paraId="70CC5698" w14:textId="77777777" w:rsidR="00801304" w:rsidRPr="00F02BC6" w:rsidRDefault="00801304" w:rsidP="00495804">
            <w:pPr>
              <w:rPr>
                <w:color w:val="000000"/>
                <w:sz w:val="20"/>
                <w:szCs w:val="20"/>
                <w:lang w:val="en-US"/>
              </w:rPr>
            </w:pPr>
            <w:r w:rsidRPr="00F02BC6">
              <w:rPr>
                <w:color w:val="000000"/>
                <w:sz w:val="20"/>
                <w:szCs w:val="20"/>
                <w:lang w:val="en-US"/>
              </w:rPr>
              <w:t>Adjusted odds of FF/VI</w:t>
            </w:r>
          </w:p>
          <w:p w14:paraId="6A22F6A8" w14:textId="77777777" w:rsidR="00801304" w:rsidRPr="00F02BC6" w:rsidRDefault="00801304" w:rsidP="00495804">
            <w:pPr>
              <w:rPr>
                <w:color w:val="000000"/>
                <w:sz w:val="20"/>
                <w:szCs w:val="20"/>
                <w:lang w:val="en-US"/>
              </w:rPr>
            </w:pPr>
            <w:r w:rsidRPr="00F02BC6">
              <w:rPr>
                <w:color w:val="000000"/>
                <w:sz w:val="20"/>
                <w:szCs w:val="20"/>
                <w:lang w:val="en-US"/>
              </w:rPr>
              <w:t>initiators achieving PDC ≥0.5 was 2.14 (95% CI: 1.95–2.36) compared with BF initiators</w:t>
            </w:r>
          </w:p>
          <w:p w14:paraId="5A5D8B88" w14:textId="77777777" w:rsidR="00801304" w:rsidRPr="00F02BC6" w:rsidRDefault="00801304" w:rsidP="00495804">
            <w:pPr>
              <w:rPr>
                <w:color w:val="000000"/>
                <w:sz w:val="20"/>
                <w:szCs w:val="20"/>
                <w:lang w:val="en-US"/>
              </w:rPr>
            </w:pPr>
            <w:r w:rsidRPr="00F02BC6">
              <w:rPr>
                <w:color w:val="000000"/>
                <w:sz w:val="20"/>
                <w:szCs w:val="20"/>
                <w:lang w:val="en-US"/>
              </w:rPr>
              <w:t>Adjusted odds of FF/VI versus BF initiators achieving PDC ≥ 0.8 was 2.84 (95% CI: 2.46–3.26)</w:t>
            </w:r>
          </w:p>
          <w:p w14:paraId="51BECDF3" w14:textId="77777777" w:rsidR="00801304" w:rsidRPr="00F02BC6" w:rsidRDefault="00801304" w:rsidP="00495804">
            <w:pPr>
              <w:rPr>
                <w:color w:val="000000"/>
                <w:sz w:val="20"/>
                <w:szCs w:val="20"/>
                <w:lang w:val="en-US"/>
              </w:rPr>
            </w:pPr>
          </w:p>
          <w:p w14:paraId="1FEFD28C" w14:textId="77777777" w:rsidR="00801304" w:rsidRPr="00F02BC6" w:rsidRDefault="00801304" w:rsidP="00495804">
            <w:pPr>
              <w:rPr>
                <w:color w:val="000000"/>
                <w:sz w:val="20"/>
                <w:szCs w:val="20"/>
                <w:lang w:val="en-US"/>
              </w:rPr>
            </w:pPr>
            <w:r w:rsidRPr="00F02BC6">
              <w:rPr>
                <w:color w:val="000000"/>
                <w:sz w:val="20"/>
                <w:szCs w:val="20"/>
                <w:lang w:val="en-US"/>
              </w:rPr>
              <w:t>Adjusted odds of FF/VI vs FF/SAL achieving PDC ≥0.5 was 2.11 (95% CI: 1.90–2.35) and PDC≥0.80 was 2.49 (95% CI: 2.16–2.88)</w:t>
            </w:r>
          </w:p>
          <w:p w14:paraId="4E6D1495" w14:textId="77777777" w:rsidR="00801304" w:rsidRPr="00F02BC6" w:rsidRDefault="00801304" w:rsidP="00495804">
            <w:pPr>
              <w:rPr>
                <w:b/>
                <w:color w:val="000000"/>
                <w:sz w:val="20"/>
                <w:szCs w:val="20"/>
                <w:u w:val="single"/>
                <w:lang w:val="en-US"/>
              </w:rPr>
            </w:pPr>
            <w:r w:rsidRPr="00F02BC6">
              <w:rPr>
                <w:b/>
                <w:color w:val="000000"/>
                <w:sz w:val="20"/>
                <w:szCs w:val="20"/>
                <w:u w:val="single"/>
                <w:lang w:val="en-US"/>
              </w:rPr>
              <w:t>Medication discontinuation</w:t>
            </w:r>
          </w:p>
          <w:p w14:paraId="49BB7C28" w14:textId="77777777" w:rsidR="00801304" w:rsidRPr="00F02BC6" w:rsidRDefault="00801304" w:rsidP="00495804">
            <w:pPr>
              <w:rPr>
                <w:color w:val="000000"/>
                <w:sz w:val="20"/>
                <w:szCs w:val="20"/>
                <w:lang w:val="en-US"/>
              </w:rPr>
            </w:pPr>
            <w:r w:rsidRPr="00F02BC6">
              <w:rPr>
                <w:color w:val="000000"/>
                <w:sz w:val="20"/>
                <w:szCs w:val="20"/>
                <w:lang w:val="en-US"/>
              </w:rPr>
              <w:t>(</w:t>
            </w:r>
            <w:proofErr w:type="gramStart"/>
            <w:r w:rsidRPr="00F02BC6">
              <w:rPr>
                <w:color w:val="000000"/>
                <w:sz w:val="20"/>
                <w:szCs w:val="20"/>
                <w:lang w:val="en-US"/>
              </w:rPr>
              <w:t>adjusted</w:t>
            </w:r>
            <w:proofErr w:type="gramEnd"/>
            <w:r w:rsidRPr="00F02BC6">
              <w:rPr>
                <w:color w:val="000000"/>
                <w:sz w:val="20"/>
                <w:szCs w:val="20"/>
                <w:lang w:val="en-US"/>
              </w:rPr>
              <w:t xml:space="preserve"> HR = 0.70; 95% CI: 0.66–0.74) FF/VI versus BF and (adjusted HR = 0.73; 95% CI: 0.68–0.77) for FF/VI versus and FP/SAL</w:t>
            </w:r>
          </w:p>
        </w:tc>
        <w:tc>
          <w:tcPr>
            <w:tcW w:w="2693" w:type="dxa"/>
          </w:tcPr>
          <w:p w14:paraId="3896F72E" w14:textId="77777777" w:rsidR="00801304" w:rsidRPr="00F02BC6" w:rsidRDefault="00801304" w:rsidP="00495804">
            <w:pPr>
              <w:rPr>
                <w:color w:val="000000"/>
                <w:sz w:val="20"/>
                <w:szCs w:val="20"/>
                <w:lang w:val="en-US"/>
              </w:rPr>
            </w:pPr>
            <w:r w:rsidRPr="00F02BC6">
              <w:rPr>
                <w:color w:val="000000"/>
                <w:sz w:val="20"/>
                <w:szCs w:val="20"/>
                <w:lang w:val="en-US"/>
              </w:rPr>
              <w:t>Propensity score matching (PSM), Inverse Probability weighting (IPWT) and multivariable regressions</w:t>
            </w:r>
          </w:p>
          <w:p w14:paraId="129561BA" w14:textId="77777777" w:rsidR="00801304" w:rsidRPr="00F02BC6" w:rsidRDefault="00801304" w:rsidP="00495804">
            <w:pPr>
              <w:rPr>
                <w:color w:val="000000"/>
                <w:sz w:val="20"/>
                <w:szCs w:val="20"/>
                <w:lang w:val="en-US"/>
              </w:rPr>
            </w:pPr>
            <w:r w:rsidRPr="00F02BC6">
              <w:rPr>
                <w:color w:val="000000"/>
                <w:sz w:val="20"/>
                <w:szCs w:val="20"/>
                <w:lang w:val="en-US"/>
              </w:rPr>
              <w:t xml:space="preserve">Survival </w:t>
            </w:r>
            <w:proofErr w:type="gramStart"/>
            <w:r w:rsidRPr="00F02BC6">
              <w:rPr>
                <w:color w:val="000000"/>
                <w:sz w:val="20"/>
                <w:szCs w:val="20"/>
                <w:lang w:val="en-US"/>
              </w:rPr>
              <w:t>analysis;</w:t>
            </w:r>
            <w:proofErr w:type="gramEnd"/>
          </w:p>
          <w:p w14:paraId="07D2D106" w14:textId="77777777" w:rsidR="00801304" w:rsidRPr="00F02BC6" w:rsidRDefault="00801304" w:rsidP="00495804">
            <w:pPr>
              <w:rPr>
                <w:color w:val="000000"/>
                <w:sz w:val="20"/>
                <w:szCs w:val="20"/>
                <w:lang w:val="en-US"/>
              </w:rPr>
            </w:pPr>
            <w:r w:rsidRPr="00F02BC6">
              <w:rPr>
                <w:color w:val="000000"/>
                <w:sz w:val="20"/>
                <w:szCs w:val="20"/>
                <w:lang w:val="en-US"/>
              </w:rPr>
              <w:t>Log rank</w:t>
            </w:r>
          </w:p>
        </w:tc>
        <w:tc>
          <w:tcPr>
            <w:tcW w:w="1559" w:type="dxa"/>
            <w:gridSpan w:val="2"/>
          </w:tcPr>
          <w:p w14:paraId="3DA98C5A" w14:textId="77777777" w:rsidR="00801304" w:rsidRPr="00F02BC6" w:rsidRDefault="00801304" w:rsidP="00495804">
            <w:pPr>
              <w:rPr>
                <w:b/>
                <w:color w:val="000000"/>
                <w:sz w:val="20"/>
                <w:szCs w:val="20"/>
                <w:u w:val="single"/>
                <w:lang w:val="en-US"/>
              </w:rPr>
            </w:pPr>
            <w:r w:rsidRPr="00F02BC6">
              <w:rPr>
                <w:b/>
                <w:color w:val="000000"/>
                <w:sz w:val="20"/>
                <w:szCs w:val="20"/>
                <w:u w:val="single"/>
                <w:lang w:val="en-US"/>
              </w:rPr>
              <w:t>PDC ≥0.5</w:t>
            </w:r>
          </w:p>
          <w:p w14:paraId="2C7A22E0" w14:textId="77777777" w:rsidR="00801304" w:rsidRPr="00F02BC6" w:rsidRDefault="00801304" w:rsidP="00495804">
            <w:pPr>
              <w:rPr>
                <w:color w:val="000000"/>
                <w:sz w:val="20"/>
                <w:szCs w:val="20"/>
                <w:lang w:val="en-US"/>
              </w:rPr>
            </w:pPr>
            <w:r w:rsidRPr="00F02BC6">
              <w:rPr>
                <w:color w:val="000000"/>
                <w:sz w:val="20"/>
                <w:szCs w:val="20"/>
                <w:lang w:val="en-US"/>
              </w:rPr>
              <w:t>FF/VI vs B/F</w:t>
            </w:r>
          </w:p>
          <w:p w14:paraId="6498BE78" w14:textId="77777777" w:rsidR="00801304" w:rsidRPr="00F02BC6" w:rsidRDefault="00801304" w:rsidP="00495804">
            <w:pPr>
              <w:rPr>
                <w:color w:val="000000"/>
                <w:sz w:val="20"/>
                <w:szCs w:val="20"/>
                <w:lang w:val="en-US"/>
              </w:rPr>
            </w:pPr>
            <w:r w:rsidRPr="00F02BC6">
              <w:rPr>
                <w:color w:val="000000"/>
                <w:sz w:val="20"/>
                <w:szCs w:val="20"/>
                <w:lang w:val="en-US"/>
              </w:rPr>
              <w:t>74.0%</w:t>
            </w:r>
          </w:p>
          <w:p w14:paraId="52CFEC4A" w14:textId="77777777" w:rsidR="00801304" w:rsidRPr="00F02BC6" w:rsidRDefault="00801304" w:rsidP="00495804">
            <w:pPr>
              <w:rPr>
                <w:color w:val="000000"/>
                <w:sz w:val="20"/>
                <w:szCs w:val="20"/>
                <w:lang w:val="en-US"/>
              </w:rPr>
            </w:pPr>
            <w:r w:rsidRPr="00F02BC6">
              <w:rPr>
                <w:color w:val="000000"/>
                <w:sz w:val="20"/>
                <w:szCs w:val="20"/>
                <w:lang w:val="en-US"/>
              </w:rPr>
              <w:t>FF/VI vs FP/SAL</w:t>
            </w:r>
          </w:p>
          <w:p w14:paraId="0DA8C5E7" w14:textId="77777777" w:rsidR="00801304" w:rsidRPr="00F02BC6" w:rsidRDefault="00801304" w:rsidP="00495804">
            <w:pPr>
              <w:rPr>
                <w:color w:val="000000"/>
                <w:sz w:val="20"/>
                <w:szCs w:val="20"/>
                <w:lang w:val="en-US"/>
              </w:rPr>
            </w:pPr>
            <w:r w:rsidRPr="00F02BC6">
              <w:rPr>
                <w:color w:val="000000"/>
                <w:sz w:val="20"/>
                <w:szCs w:val="20"/>
                <w:lang w:val="en-US"/>
              </w:rPr>
              <w:t>74.5%</w:t>
            </w:r>
          </w:p>
          <w:p w14:paraId="1EBCDB6E" w14:textId="77777777" w:rsidR="00801304" w:rsidRPr="00F02BC6" w:rsidRDefault="00801304" w:rsidP="00495804">
            <w:pPr>
              <w:rPr>
                <w:color w:val="000000"/>
                <w:sz w:val="20"/>
                <w:szCs w:val="20"/>
                <w:u w:val="single"/>
                <w:lang w:val="en-US"/>
              </w:rPr>
            </w:pPr>
            <w:r w:rsidRPr="00F02BC6">
              <w:rPr>
                <w:color w:val="000000"/>
                <w:sz w:val="20"/>
                <w:szCs w:val="20"/>
                <w:u w:val="single"/>
                <w:lang w:val="en-US"/>
              </w:rPr>
              <w:t>PDC ≥0.8</w:t>
            </w:r>
          </w:p>
          <w:p w14:paraId="4E3ABA64" w14:textId="77777777" w:rsidR="00801304" w:rsidRPr="00F02BC6" w:rsidRDefault="00801304" w:rsidP="00495804">
            <w:pPr>
              <w:rPr>
                <w:color w:val="000000"/>
                <w:sz w:val="20"/>
                <w:szCs w:val="20"/>
                <w:lang w:val="en-US"/>
              </w:rPr>
            </w:pPr>
            <w:r w:rsidRPr="00F02BC6">
              <w:rPr>
                <w:color w:val="000000"/>
                <w:sz w:val="20"/>
                <w:szCs w:val="20"/>
                <w:lang w:val="en-US"/>
              </w:rPr>
              <w:t>FF/VI vs B/F</w:t>
            </w:r>
          </w:p>
          <w:p w14:paraId="3E0D6758" w14:textId="77777777" w:rsidR="00801304" w:rsidRPr="00F02BC6" w:rsidRDefault="00801304" w:rsidP="00495804">
            <w:pPr>
              <w:rPr>
                <w:color w:val="000000"/>
                <w:sz w:val="20"/>
                <w:szCs w:val="20"/>
                <w:lang w:val="en-US"/>
              </w:rPr>
            </w:pPr>
            <w:r w:rsidRPr="00F02BC6">
              <w:rPr>
                <w:color w:val="000000"/>
                <w:sz w:val="20"/>
                <w:szCs w:val="20"/>
                <w:lang w:val="en-US"/>
              </w:rPr>
              <w:t>90.2%</w:t>
            </w:r>
          </w:p>
          <w:p w14:paraId="23426CB8" w14:textId="77777777" w:rsidR="00801304" w:rsidRPr="00F02BC6" w:rsidRDefault="00801304" w:rsidP="00495804">
            <w:pPr>
              <w:rPr>
                <w:color w:val="000000"/>
                <w:sz w:val="20"/>
                <w:szCs w:val="20"/>
                <w:lang w:val="en-US"/>
              </w:rPr>
            </w:pPr>
            <w:r w:rsidRPr="00F02BC6">
              <w:rPr>
                <w:color w:val="000000"/>
                <w:sz w:val="20"/>
                <w:szCs w:val="20"/>
                <w:lang w:val="en-US"/>
              </w:rPr>
              <w:t>FF/VI vs FP/SAL</w:t>
            </w:r>
          </w:p>
          <w:p w14:paraId="465188D7" w14:textId="77777777" w:rsidR="00801304" w:rsidRPr="00F02BC6" w:rsidRDefault="00801304" w:rsidP="00495804">
            <w:pPr>
              <w:rPr>
                <w:color w:val="000000"/>
                <w:sz w:val="20"/>
                <w:szCs w:val="20"/>
                <w:lang w:val="en-US"/>
              </w:rPr>
            </w:pPr>
            <w:r w:rsidRPr="00F02BC6">
              <w:rPr>
                <w:color w:val="000000"/>
                <w:sz w:val="20"/>
                <w:szCs w:val="20"/>
                <w:lang w:val="en-US"/>
              </w:rPr>
              <w:t>89.5%</w:t>
            </w:r>
          </w:p>
          <w:p w14:paraId="40FB6A36" w14:textId="77777777" w:rsidR="00801304" w:rsidRPr="00F02BC6" w:rsidRDefault="00801304" w:rsidP="00495804">
            <w:pPr>
              <w:rPr>
                <w:color w:val="000000"/>
                <w:sz w:val="20"/>
                <w:szCs w:val="20"/>
                <w:lang w:val="en-US"/>
              </w:rPr>
            </w:pPr>
          </w:p>
        </w:tc>
      </w:tr>
      <w:tr w:rsidR="00801304" w:rsidRPr="00F02BC6" w14:paraId="63E8D414" w14:textId="77777777" w:rsidTr="005F62B6">
        <w:tc>
          <w:tcPr>
            <w:tcW w:w="2219" w:type="dxa"/>
          </w:tcPr>
          <w:p w14:paraId="441A18D8" w14:textId="77777777" w:rsidR="00801304" w:rsidRPr="00F02BC6" w:rsidRDefault="00801304" w:rsidP="00495804">
            <w:pPr>
              <w:rPr>
                <w:color w:val="000000"/>
                <w:sz w:val="20"/>
                <w:szCs w:val="20"/>
                <w:lang w:val="en-US"/>
              </w:rPr>
            </w:pPr>
          </w:p>
        </w:tc>
        <w:tc>
          <w:tcPr>
            <w:tcW w:w="1984" w:type="dxa"/>
          </w:tcPr>
          <w:p w14:paraId="3837E2BF" w14:textId="77777777" w:rsidR="00801304" w:rsidRPr="00F02BC6" w:rsidRDefault="00801304" w:rsidP="00495804">
            <w:pPr>
              <w:rPr>
                <w:color w:val="000000"/>
                <w:sz w:val="20"/>
                <w:szCs w:val="20"/>
                <w:lang w:val="en-US"/>
              </w:rPr>
            </w:pPr>
          </w:p>
        </w:tc>
        <w:tc>
          <w:tcPr>
            <w:tcW w:w="1843" w:type="dxa"/>
          </w:tcPr>
          <w:p w14:paraId="53028FC7" w14:textId="77777777" w:rsidR="00801304" w:rsidRPr="00F02BC6" w:rsidRDefault="00801304" w:rsidP="00495804">
            <w:pPr>
              <w:rPr>
                <w:color w:val="000000"/>
                <w:sz w:val="20"/>
                <w:szCs w:val="20"/>
                <w:lang w:val="en-US"/>
              </w:rPr>
            </w:pPr>
          </w:p>
        </w:tc>
        <w:tc>
          <w:tcPr>
            <w:tcW w:w="2127" w:type="dxa"/>
          </w:tcPr>
          <w:p w14:paraId="2452AFB1" w14:textId="77777777" w:rsidR="00801304" w:rsidRPr="00F02BC6" w:rsidRDefault="00801304" w:rsidP="00495804">
            <w:pPr>
              <w:rPr>
                <w:color w:val="000000"/>
                <w:sz w:val="20"/>
                <w:szCs w:val="20"/>
                <w:lang w:val="en-US"/>
              </w:rPr>
            </w:pPr>
          </w:p>
        </w:tc>
        <w:tc>
          <w:tcPr>
            <w:tcW w:w="2976" w:type="dxa"/>
          </w:tcPr>
          <w:p w14:paraId="132AF072" w14:textId="77777777" w:rsidR="00801304" w:rsidRPr="00F02BC6" w:rsidRDefault="00801304" w:rsidP="00495804">
            <w:pPr>
              <w:rPr>
                <w:color w:val="000000"/>
                <w:sz w:val="20"/>
                <w:szCs w:val="20"/>
                <w:lang w:val="en-US"/>
              </w:rPr>
            </w:pPr>
          </w:p>
        </w:tc>
        <w:tc>
          <w:tcPr>
            <w:tcW w:w="2693" w:type="dxa"/>
          </w:tcPr>
          <w:p w14:paraId="71570267" w14:textId="77777777" w:rsidR="00801304" w:rsidRPr="00F02BC6" w:rsidRDefault="00801304" w:rsidP="00495804">
            <w:pPr>
              <w:rPr>
                <w:color w:val="000000"/>
                <w:sz w:val="20"/>
                <w:szCs w:val="20"/>
                <w:lang w:val="en-US"/>
              </w:rPr>
            </w:pPr>
          </w:p>
        </w:tc>
        <w:tc>
          <w:tcPr>
            <w:tcW w:w="1559" w:type="dxa"/>
            <w:gridSpan w:val="2"/>
          </w:tcPr>
          <w:p w14:paraId="32042414" w14:textId="77777777" w:rsidR="00801304" w:rsidRPr="00F02BC6" w:rsidRDefault="00801304" w:rsidP="00495804">
            <w:pPr>
              <w:rPr>
                <w:color w:val="000000"/>
                <w:sz w:val="20"/>
                <w:szCs w:val="20"/>
                <w:lang w:val="en-US"/>
              </w:rPr>
            </w:pPr>
          </w:p>
        </w:tc>
      </w:tr>
      <w:tr w:rsidR="00801304" w:rsidRPr="00F02BC6" w14:paraId="6C7286BA" w14:textId="77777777" w:rsidTr="005F62B6">
        <w:tc>
          <w:tcPr>
            <w:tcW w:w="2219" w:type="dxa"/>
            <w:tcBorders>
              <w:top w:val="single" w:sz="4" w:space="0" w:color="auto"/>
              <w:bottom w:val="single" w:sz="4" w:space="0" w:color="auto"/>
            </w:tcBorders>
          </w:tcPr>
          <w:p w14:paraId="761CE1AC" w14:textId="77777777" w:rsidR="00801304" w:rsidRPr="00F02BC6" w:rsidRDefault="00801304" w:rsidP="00495804">
            <w:pPr>
              <w:rPr>
                <w:b/>
                <w:color w:val="000000"/>
                <w:sz w:val="20"/>
                <w:szCs w:val="20"/>
                <w:lang w:val="en-US"/>
              </w:rPr>
            </w:pPr>
            <w:r w:rsidRPr="00F02BC6">
              <w:rPr>
                <w:b/>
                <w:color w:val="000000"/>
                <w:sz w:val="20"/>
                <w:szCs w:val="20"/>
                <w:lang w:val="en-US"/>
              </w:rPr>
              <w:t>Author</w:t>
            </w:r>
          </w:p>
        </w:tc>
        <w:tc>
          <w:tcPr>
            <w:tcW w:w="1984" w:type="dxa"/>
            <w:tcBorders>
              <w:top w:val="single" w:sz="4" w:space="0" w:color="auto"/>
              <w:bottom w:val="single" w:sz="4" w:space="0" w:color="auto"/>
            </w:tcBorders>
          </w:tcPr>
          <w:p w14:paraId="4D0A7E97" w14:textId="77777777" w:rsidR="00801304" w:rsidRPr="00F02BC6" w:rsidRDefault="00801304" w:rsidP="00495804">
            <w:pPr>
              <w:rPr>
                <w:b/>
                <w:color w:val="000000"/>
                <w:sz w:val="20"/>
                <w:szCs w:val="20"/>
                <w:lang w:val="en-US"/>
              </w:rPr>
            </w:pPr>
          </w:p>
        </w:tc>
        <w:tc>
          <w:tcPr>
            <w:tcW w:w="1843" w:type="dxa"/>
            <w:tcBorders>
              <w:top w:val="single" w:sz="4" w:space="0" w:color="auto"/>
              <w:bottom w:val="single" w:sz="4" w:space="0" w:color="auto"/>
            </w:tcBorders>
          </w:tcPr>
          <w:p w14:paraId="26A7517B" w14:textId="77777777" w:rsidR="00801304" w:rsidRPr="00F02BC6" w:rsidRDefault="00801304" w:rsidP="00495804">
            <w:pPr>
              <w:rPr>
                <w:b/>
                <w:color w:val="000000"/>
                <w:sz w:val="20"/>
                <w:szCs w:val="20"/>
                <w:lang w:val="en-US"/>
              </w:rPr>
            </w:pPr>
            <w:r w:rsidRPr="00F02BC6">
              <w:rPr>
                <w:b/>
                <w:color w:val="000000"/>
                <w:sz w:val="20"/>
                <w:szCs w:val="20"/>
                <w:lang w:val="en-US"/>
              </w:rPr>
              <w:t>Mean Medication Adherence Rate± Standard deviation</w:t>
            </w:r>
          </w:p>
        </w:tc>
        <w:tc>
          <w:tcPr>
            <w:tcW w:w="2127" w:type="dxa"/>
            <w:tcBorders>
              <w:top w:val="single" w:sz="4" w:space="0" w:color="auto"/>
              <w:bottom w:val="single" w:sz="4" w:space="0" w:color="auto"/>
            </w:tcBorders>
          </w:tcPr>
          <w:p w14:paraId="7BEDA15D" w14:textId="77777777" w:rsidR="00801304" w:rsidRPr="00F02BC6" w:rsidRDefault="00801304" w:rsidP="00495804">
            <w:pPr>
              <w:rPr>
                <w:b/>
                <w:color w:val="000000"/>
                <w:sz w:val="20"/>
                <w:szCs w:val="20"/>
                <w:lang w:val="en-US"/>
              </w:rPr>
            </w:pPr>
            <w:r w:rsidRPr="00F02BC6">
              <w:rPr>
                <w:b/>
                <w:color w:val="000000"/>
                <w:sz w:val="20"/>
                <w:szCs w:val="20"/>
                <w:lang w:val="en-US"/>
              </w:rPr>
              <w:t>Medication Adherence rate Threshold</w:t>
            </w:r>
          </w:p>
        </w:tc>
        <w:tc>
          <w:tcPr>
            <w:tcW w:w="2976" w:type="dxa"/>
            <w:tcBorders>
              <w:top w:val="single" w:sz="4" w:space="0" w:color="auto"/>
              <w:bottom w:val="single" w:sz="4" w:space="0" w:color="auto"/>
            </w:tcBorders>
          </w:tcPr>
          <w:p w14:paraId="66546A23" w14:textId="77777777" w:rsidR="00801304" w:rsidRPr="00F02BC6" w:rsidRDefault="00801304" w:rsidP="00495804">
            <w:pPr>
              <w:rPr>
                <w:b/>
                <w:color w:val="000000"/>
                <w:sz w:val="20"/>
                <w:szCs w:val="20"/>
                <w:lang w:val="en-US"/>
              </w:rPr>
            </w:pPr>
            <w:r w:rsidRPr="00F02BC6">
              <w:rPr>
                <w:b/>
                <w:color w:val="000000"/>
                <w:sz w:val="20"/>
                <w:szCs w:val="20"/>
                <w:lang w:val="en-US"/>
              </w:rPr>
              <w:t>Probability to reach the targeted clinical outcome with Medication Adherence Threshold (Odds ratios [OR], Hazards ratios [HR] and Confidence Interval [CI])</w:t>
            </w:r>
          </w:p>
        </w:tc>
        <w:tc>
          <w:tcPr>
            <w:tcW w:w="2693" w:type="dxa"/>
            <w:tcBorders>
              <w:top w:val="single" w:sz="4" w:space="0" w:color="auto"/>
              <w:bottom w:val="single" w:sz="4" w:space="0" w:color="auto"/>
            </w:tcBorders>
          </w:tcPr>
          <w:p w14:paraId="4F78BC92" w14:textId="77777777" w:rsidR="00801304" w:rsidRPr="00F02BC6" w:rsidRDefault="00801304" w:rsidP="00495804">
            <w:pPr>
              <w:rPr>
                <w:b/>
                <w:color w:val="000000"/>
                <w:sz w:val="20"/>
                <w:szCs w:val="20"/>
                <w:lang w:val="en-US"/>
              </w:rPr>
            </w:pPr>
            <w:r w:rsidRPr="00F02BC6">
              <w:rPr>
                <w:b/>
                <w:color w:val="000000"/>
                <w:sz w:val="20"/>
                <w:szCs w:val="20"/>
                <w:lang w:val="en-US"/>
              </w:rPr>
              <w:t>Methods of Threshold Determination</w:t>
            </w:r>
          </w:p>
        </w:tc>
        <w:tc>
          <w:tcPr>
            <w:tcW w:w="1559" w:type="dxa"/>
            <w:gridSpan w:val="2"/>
            <w:tcBorders>
              <w:top w:val="single" w:sz="4" w:space="0" w:color="auto"/>
              <w:bottom w:val="single" w:sz="4" w:space="0" w:color="auto"/>
            </w:tcBorders>
          </w:tcPr>
          <w:p w14:paraId="65E7108B" w14:textId="77777777" w:rsidR="00801304" w:rsidRPr="00F02BC6" w:rsidRDefault="00801304" w:rsidP="00495804">
            <w:pPr>
              <w:rPr>
                <w:b/>
                <w:color w:val="000000"/>
                <w:sz w:val="20"/>
                <w:szCs w:val="20"/>
                <w:lang w:val="en-US"/>
              </w:rPr>
            </w:pPr>
            <w:r w:rsidRPr="00F02BC6">
              <w:rPr>
                <w:b/>
                <w:color w:val="000000"/>
                <w:sz w:val="20"/>
                <w:szCs w:val="20"/>
                <w:lang w:val="en-US"/>
              </w:rPr>
              <w:t>Nonadherence Prevalence</w:t>
            </w:r>
          </w:p>
        </w:tc>
      </w:tr>
      <w:tr w:rsidR="00801304" w:rsidRPr="00F02BC6" w14:paraId="28FC6544" w14:textId="77777777" w:rsidTr="005F62B6">
        <w:tc>
          <w:tcPr>
            <w:tcW w:w="2219" w:type="dxa"/>
            <w:tcBorders>
              <w:top w:val="single" w:sz="4" w:space="0" w:color="auto"/>
            </w:tcBorders>
          </w:tcPr>
          <w:p w14:paraId="00A76C6F" w14:textId="77777777" w:rsidR="00801304" w:rsidRPr="00F02BC6" w:rsidRDefault="00801304" w:rsidP="00495804">
            <w:pPr>
              <w:rPr>
                <w:color w:val="000000"/>
                <w:sz w:val="20"/>
                <w:szCs w:val="20"/>
                <w:lang w:val="en-US"/>
              </w:rPr>
            </w:pPr>
            <w:r w:rsidRPr="00F02BC6">
              <w:rPr>
                <w:color w:val="000000"/>
                <w:sz w:val="20"/>
                <w:szCs w:val="20"/>
                <w:lang w:val="en-US"/>
              </w:rPr>
              <w:t xml:space="preserve">Backer et al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{"citationItems":[{"id":"ITEM-1","itemData":{"DOI":"10.1080/02770903.2017.1410830","ISSN":"15324303","abstract":"Objective: The impact of diagnostic work-up in asthma management on medication redemption and probably also drug adherence is largely unknown, but we hypothesized that a confirmed diagnosis of asthma in a hospital-based out-patient clinic increases the willingness to subsequent medication redemption in a real life setting. Methods: In a retrospective register-based study, 300 medical records of patients referred with possible asthma during one year were examined, of whom 171 had asthma (57%). One-year data on dispensed medicine was collected using the Danish Registry of Medicinal Product Statistics. Patients who had a positive asthma (e.g. bronchial challenge) were classified as verified asthma, whereas unverified asthma refers to doctor's diagnosis of asthma with negative or no diagnostic tests performed. Results: 111 (65%) had a verified diagnosis and patients with verified asthma were more frequently prescribed new therapy compared to those with unverified asthma (88.9% vs. 65.0%, respectively, p &lt; 0.001). No difference was found in first time redemption of prescriptions (72% vs. 64%, respectively, p = 0.3), whereas the second (52% vs. 27%, p = 0.001) and third or more asthma redeemed prescriptions (37% vs. 17%, p = 0.006) showed increased redemption of prescription and probably adherence in the verified compared with the unverified patients with asthma. Furthermore, the use of inhaled corticosteroid (ICS) was calculated as Percent Days Covered (PDC), which was higher in the verified group compared with the non-verified asthma group (88% vs. 30%, p = 0.004). Conclusion: Objective verification of a diagnosis of asthma using asthma tests was associated with an improved redemption of prescription.","author":[{"dropping-particle":"","family":"Backer","given":"V.","non-dropping-particle":"","parse-names":false,"suffix":""},{"dropping-particle":"","family":"Stensen","given":"L.","non-dropping-particle":"","parse-names":false,"suffix":""},{"dropping-particle":"","family":"Sverrild","given":"A.","non-dropping-particle":"","parse-names":false,"suffix":""},{"dropping-particle":"","family":"Wedge","given":"E.","non-dropping-particle":"","parse-names":false,"suffix":""},{"dropping-particle":"","family":"Porsbjerg","given":"C.","non-dropping-particle":"","parse-names":false,"suffix":""}],"container-title":"Journal of Asthma","id":"ITEM-1","issue":"11","issued":{"date-parts":[["2018"]]},"page":"1262-1268","publisher":"Taylor &amp; Francis","title":"Objective confirmation of asthma diagnosis improves medication adherence","type":"article-journal","volume":"55"},"uris":["http://www.mendeley.com/documents/?uuid=8e40bcc8-3abf-4eb2-b09d-04ad1390012b"]}],"mendeley":{"formattedCitation":"(51)","plainTextFormattedCitation":"(51)","previouslyFormattedCitation":"(51)"},"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(51)</w:t>
            </w:r>
            <w:r w:rsidRPr="00F02BC6">
              <w:rPr>
                <w:color w:val="000000"/>
                <w:sz w:val="20"/>
                <w:szCs w:val="20"/>
                <w:vertAlign w:val="superscript"/>
                <w:lang w:val="en-US"/>
              </w:rPr>
              <w:fldChar w:fldCharType="end"/>
            </w:r>
          </w:p>
        </w:tc>
        <w:tc>
          <w:tcPr>
            <w:tcW w:w="1984" w:type="dxa"/>
            <w:tcBorders>
              <w:top w:val="single" w:sz="4" w:space="0" w:color="auto"/>
            </w:tcBorders>
          </w:tcPr>
          <w:p w14:paraId="31F7904D" w14:textId="77777777" w:rsidR="00801304" w:rsidRPr="00F02BC6" w:rsidRDefault="00801304" w:rsidP="00495804">
            <w:pPr>
              <w:rPr>
                <w:color w:val="000000"/>
                <w:sz w:val="20"/>
                <w:szCs w:val="20"/>
                <w:lang w:val="en-US"/>
              </w:rPr>
            </w:pPr>
            <w:r w:rsidRPr="00F02BC6">
              <w:rPr>
                <w:color w:val="000000"/>
                <w:sz w:val="20"/>
                <w:szCs w:val="20"/>
                <w:lang w:val="en-US"/>
              </w:rPr>
              <w:t>Asthma diagnosis was objectively verified by having positive asthma test through either a beta-2-agonist reversibility test, a bronchial challenge test with methacholine or using mannitol.</w:t>
            </w:r>
          </w:p>
        </w:tc>
        <w:tc>
          <w:tcPr>
            <w:tcW w:w="1843" w:type="dxa"/>
            <w:tcBorders>
              <w:top w:val="single" w:sz="4" w:space="0" w:color="auto"/>
            </w:tcBorders>
          </w:tcPr>
          <w:p w14:paraId="0167B9BD" w14:textId="77777777" w:rsidR="00801304" w:rsidRPr="00F02BC6" w:rsidRDefault="00801304" w:rsidP="00495804">
            <w:pPr>
              <w:rPr>
                <w:color w:val="000000"/>
                <w:sz w:val="20"/>
                <w:szCs w:val="20"/>
                <w:lang w:val="en-US"/>
              </w:rPr>
            </w:pPr>
            <w:r w:rsidRPr="00F02BC6">
              <w:rPr>
                <w:color w:val="000000"/>
                <w:sz w:val="20"/>
                <w:szCs w:val="20"/>
                <w:lang w:val="en-US"/>
              </w:rPr>
              <w:t xml:space="preserve">    ---</w:t>
            </w:r>
          </w:p>
        </w:tc>
        <w:tc>
          <w:tcPr>
            <w:tcW w:w="2127" w:type="dxa"/>
            <w:tcBorders>
              <w:top w:val="single" w:sz="4" w:space="0" w:color="auto"/>
            </w:tcBorders>
          </w:tcPr>
          <w:p w14:paraId="034D2586" w14:textId="77777777" w:rsidR="00801304" w:rsidRPr="00F02BC6" w:rsidRDefault="00801304" w:rsidP="00495804">
            <w:pPr>
              <w:rPr>
                <w:color w:val="000000"/>
                <w:sz w:val="20"/>
                <w:szCs w:val="20"/>
                <w:lang w:val="en-US"/>
              </w:rPr>
            </w:pPr>
            <w:r w:rsidRPr="00F02BC6">
              <w:rPr>
                <w:color w:val="000000"/>
                <w:sz w:val="20"/>
                <w:szCs w:val="20"/>
                <w:lang w:val="en-US"/>
              </w:rPr>
              <w:t xml:space="preserve"> Min two prescriptions redeemed</w:t>
            </w:r>
          </w:p>
          <w:p w14:paraId="41A534B3" w14:textId="77777777" w:rsidR="00801304" w:rsidRPr="00F02BC6" w:rsidRDefault="00801304" w:rsidP="00495804">
            <w:pPr>
              <w:rPr>
                <w:color w:val="000000"/>
                <w:sz w:val="20"/>
                <w:szCs w:val="20"/>
                <w:lang w:val="en-US"/>
              </w:rPr>
            </w:pPr>
          </w:p>
          <w:p w14:paraId="79E38865" w14:textId="77777777" w:rsidR="00801304" w:rsidRPr="00F02BC6" w:rsidRDefault="00801304" w:rsidP="00495804">
            <w:pPr>
              <w:rPr>
                <w:color w:val="000000"/>
                <w:sz w:val="20"/>
                <w:szCs w:val="20"/>
                <w:lang w:val="en-US"/>
              </w:rPr>
            </w:pPr>
            <w:r w:rsidRPr="00F02BC6">
              <w:rPr>
                <w:color w:val="000000"/>
                <w:sz w:val="20"/>
                <w:szCs w:val="20"/>
                <w:lang w:val="en-US"/>
              </w:rPr>
              <w:t>PDC ~ unknown threshold</w:t>
            </w:r>
          </w:p>
        </w:tc>
        <w:tc>
          <w:tcPr>
            <w:tcW w:w="2976" w:type="dxa"/>
            <w:tcBorders>
              <w:top w:val="single" w:sz="4" w:space="0" w:color="auto"/>
            </w:tcBorders>
          </w:tcPr>
          <w:p w14:paraId="28F47DEF" w14:textId="77777777" w:rsidR="00801304" w:rsidRPr="00F02BC6" w:rsidRDefault="00801304" w:rsidP="00495804">
            <w:pPr>
              <w:rPr>
                <w:b/>
                <w:color w:val="000000"/>
                <w:sz w:val="20"/>
                <w:szCs w:val="20"/>
                <w:u w:val="single"/>
                <w:lang w:val="en-US"/>
              </w:rPr>
            </w:pPr>
            <w:r w:rsidRPr="00F02BC6">
              <w:rPr>
                <w:b/>
                <w:color w:val="000000"/>
                <w:sz w:val="20"/>
                <w:szCs w:val="20"/>
                <w:u w:val="single"/>
                <w:lang w:val="en-US"/>
              </w:rPr>
              <w:t xml:space="preserve">Medication Adherence </w:t>
            </w:r>
          </w:p>
          <w:p w14:paraId="468FFB63" w14:textId="77777777" w:rsidR="00801304" w:rsidRPr="00F02BC6" w:rsidRDefault="00801304" w:rsidP="00495804">
            <w:pPr>
              <w:rPr>
                <w:color w:val="000000"/>
                <w:sz w:val="20"/>
                <w:szCs w:val="20"/>
                <w:lang w:val="en-US"/>
              </w:rPr>
            </w:pPr>
            <w:r w:rsidRPr="00F02BC6">
              <w:rPr>
                <w:color w:val="000000"/>
                <w:sz w:val="20"/>
                <w:szCs w:val="20"/>
                <w:lang w:val="en-US"/>
              </w:rPr>
              <w:t>Prescription redemption</w:t>
            </w:r>
          </w:p>
          <w:p w14:paraId="1CABDC55" w14:textId="77777777" w:rsidR="00801304" w:rsidRPr="00F02BC6" w:rsidRDefault="00801304" w:rsidP="00495804">
            <w:pPr>
              <w:rPr>
                <w:color w:val="000000"/>
                <w:sz w:val="20"/>
                <w:szCs w:val="20"/>
                <w:lang w:val="en-US"/>
              </w:rPr>
            </w:pPr>
            <w:r w:rsidRPr="00F02BC6">
              <w:rPr>
                <w:color w:val="000000"/>
                <w:sz w:val="20"/>
                <w:szCs w:val="20"/>
                <w:lang w:val="en-US"/>
              </w:rPr>
              <w:t>PDC</w:t>
            </w:r>
          </w:p>
        </w:tc>
        <w:tc>
          <w:tcPr>
            <w:tcW w:w="2693" w:type="dxa"/>
            <w:tcBorders>
              <w:top w:val="single" w:sz="4" w:space="0" w:color="auto"/>
            </w:tcBorders>
          </w:tcPr>
          <w:p w14:paraId="08307AC7" w14:textId="77777777" w:rsidR="00801304" w:rsidRPr="00F02BC6" w:rsidRDefault="00801304" w:rsidP="00495804">
            <w:pPr>
              <w:rPr>
                <w:color w:val="000000"/>
                <w:sz w:val="20"/>
                <w:szCs w:val="20"/>
                <w:lang w:val="en-US"/>
              </w:rPr>
            </w:pPr>
            <w:r w:rsidRPr="00F02BC6">
              <w:rPr>
                <w:color w:val="000000"/>
                <w:sz w:val="20"/>
                <w:szCs w:val="20"/>
                <w:lang w:val="en-US"/>
              </w:rPr>
              <w:t>Descriptive statistics with unadjusted analysis</w:t>
            </w:r>
          </w:p>
        </w:tc>
        <w:tc>
          <w:tcPr>
            <w:tcW w:w="1559" w:type="dxa"/>
            <w:gridSpan w:val="2"/>
            <w:tcBorders>
              <w:top w:val="single" w:sz="4" w:space="0" w:color="auto"/>
            </w:tcBorders>
          </w:tcPr>
          <w:p w14:paraId="46E2EC39" w14:textId="77777777" w:rsidR="00801304" w:rsidRPr="00F02BC6" w:rsidRDefault="00801304" w:rsidP="00495804">
            <w:pPr>
              <w:rPr>
                <w:color w:val="000000"/>
                <w:sz w:val="20"/>
                <w:szCs w:val="20"/>
                <w:lang w:val="en-US"/>
              </w:rPr>
            </w:pPr>
            <w:r w:rsidRPr="00F02BC6">
              <w:rPr>
                <w:color w:val="000000"/>
                <w:sz w:val="20"/>
                <w:szCs w:val="20"/>
                <w:lang w:val="en-US"/>
              </w:rPr>
              <w:t>Prescription redemption</w:t>
            </w:r>
          </w:p>
          <w:p w14:paraId="0A8D2EF0" w14:textId="77777777" w:rsidR="00801304" w:rsidRPr="00F02BC6" w:rsidRDefault="00801304" w:rsidP="00495804">
            <w:pPr>
              <w:rPr>
                <w:color w:val="000000"/>
                <w:sz w:val="20"/>
                <w:szCs w:val="20"/>
                <w:lang w:val="en-US"/>
              </w:rPr>
            </w:pPr>
            <w:r w:rsidRPr="00F02BC6">
              <w:rPr>
                <w:color w:val="000000"/>
                <w:sz w:val="20"/>
                <w:szCs w:val="20"/>
                <w:lang w:val="en-US"/>
              </w:rPr>
              <w:t>46.0%</w:t>
            </w:r>
          </w:p>
          <w:p w14:paraId="654E53B3" w14:textId="77777777" w:rsidR="00801304" w:rsidRPr="00F02BC6" w:rsidRDefault="00801304" w:rsidP="00495804">
            <w:pPr>
              <w:rPr>
                <w:color w:val="000000"/>
                <w:sz w:val="20"/>
                <w:szCs w:val="20"/>
                <w:lang w:val="en-US"/>
              </w:rPr>
            </w:pPr>
          </w:p>
          <w:p w14:paraId="08EDE1CF" w14:textId="77777777" w:rsidR="00801304" w:rsidRPr="00F02BC6" w:rsidRDefault="00801304" w:rsidP="00495804">
            <w:pPr>
              <w:rPr>
                <w:color w:val="000000"/>
                <w:sz w:val="20"/>
                <w:szCs w:val="20"/>
                <w:lang w:val="en-US"/>
              </w:rPr>
            </w:pPr>
          </w:p>
        </w:tc>
      </w:tr>
      <w:tr w:rsidR="00801304" w:rsidRPr="00F02BC6" w14:paraId="4D93AE50" w14:textId="77777777" w:rsidTr="005F62B6">
        <w:tc>
          <w:tcPr>
            <w:tcW w:w="2219" w:type="dxa"/>
          </w:tcPr>
          <w:p w14:paraId="75C5BBD7" w14:textId="77777777" w:rsidR="00801304" w:rsidRPr="00F02BC6" w:rsidRDefault="00801304" w:rsidP="00495804">
            <w:pPr>
              <w:rPr>
                <w:color w:val="000000"/>
                <w:sz w:val="20"/>
                <w:szCs w:val="20"/>
                <w:lang w:val="en-US"/>
              </w:rPr>
            </w:pPr>
          </w:p>
        </w:tc>
        <w:tc>
          <w:tcPr>
            <w:tcW w:w="1984" w:type="dxa"/>
          </w:tcPr>
          <w:p w14:paraId="3DC414A7" w14:textId="77777777" w:rsidR="00801304" w:rsidRPr="00F02BC6" w:rsidRDefault="00801304" w:rsidP="00495804">
            <w:pPr>
              <w:rPr>
                <w:color w:val="000000"/>
                <w:sz w:val="20"/>
                <w:szCs w:val="20"/>
                <w:lang w:val="en-US"/>
              </w:rPr>
            </w:pPr>
          </w:p>
        </w:tc>
        <w:tc>
          <w:tcPr>
            <w:tcW w:w="1843" w:type="dxa"/>
          </w:tcPr>
          <w:p w14:paraId="265913BA" w14:textId="77777777" w:rsidR="00801304" w:rsidRPr="00F02BC6" w:rsidRDefault="00801304" w:rsidP="00495804">
            <w:pPr>
              <w:rPr>
                <w:color w:val="000000"/>
                <w:sz w:val="20"/>
                <w:szCs w:val="20"/>
                <w:lang w:val="en-US"/>
              </w:rPr>
            </w:pPr>
          </w:p>
        </w:tc>
        <w:tc>
          <w:tcPr>
            <w:tcW w:w="2127" w:type="dxa"/>
          </w:tcPr>
          <w:p w14:paraId="42567DDE" w14:textId="77777777" w:rsidR="00801304" w:rsidRPr="00F02BC6" w:rsidRDefault="00801304" w:rsidP="00495804">
            <w:pPr>
              <w:rPr>
                <w:color w:val="000000"/>
                <w:sz w:val="20"/>
                <w:szCs w:val="20"/>
                <w:lang w:val="en-US"/>
              </w:rPr>
            </w:pPr>
          </w:p>
        </w:tc>
        <w:tc>
          <w:tcPr>
            <w:tcW w:w="2976" w:type="dxa"/>
          </w:tcPr>
          <w:p w14:paraId="0B278970" w14:textId="77777777" w:rsidR="00801304" w:rsidRPr="00F02BC6" w:rsidRDefault="00801304" w:rsidP="00495804">
            <w:pPr>
              <w:rPr>
                <w:color w:val="000000"/>
                <w:sz w:val="20"/>
                <w:szCs w:val="20"/>
                <w:lang w:val="en-US"/>
              </w:rPr>
            </w:pPr>
          </w:p>
        </w:tc>
        <w:tc>
          <w:tcPr>
            <w:tcW w:w="2693" w:type="dxa"/>
          </w:tcPr>
          <w:p w14:paraId="06D054B9" w14:textId="77777777" w:rsidR="00801304" w:rsidRPr="00F02BC6" w:rsidRDefault="00801304" w:rsidP="00495804">
            <w:pPr>
              <w:rPr>
                <w:color w:val="000000"/>
                <w:sz w:val="20"/>
                <w:szCs w:val="20"/>
                <w:lang w:val="en-US"/>
              </w:rPr>
            </w:pPr>
          </w:p>
        </w:tc>
        <w:tc>
          <w:tcPr>
            <w:tcW w:w="1559" w:type="dxa"/>
            <w:gridSpan w:val="2"/>
          </w:tcPr>
          <w:p w14:paraId="014EF82E" w14:textId="77777777" w:rsidR="00801304" w:rsidRPr="00F02BC6" w:rsidRDefault="00801304" w:rsidP="00495804">
            <w:pPr>
              <w:rPr>
                <w:color w:val="000000"/>
                <w:sz w:val="20"/>
                <w:szCs w:val="20"/>
                <w:lang w:val="en-US"/>
              </w:rPr>
            </w:pPr>
          </w:p>
        </w:tc>
      </w:tr>
      <w:tr w:rsidR="00801304" w:rsidRPr="00F02BC6" w14:paraId="7C5D7E1C" w14:textId="77777777" w:rsidTr="005F62B6">
        <w:tc>
          <w:tcPr>
            <w:tcW w:w="2219" w:type="dxa"/>
          </w:tcPr>
          <w:p w14:paraId="35931658" w14:textId="77777777" w:rsidR="00801304" w:rsidRPr="00F02BC6" w:rsidRDefault="00801304" w:rsidP="00495804">
            <w:pPr>
              <w:tabs>
                <w:tab w:val="left" w:pos="614"/>
              </w:tabs>
              <w:rPr>
                <w:color w:val="000000"/>
                <w:sz w:val="20"/>
                <w:szCs w:val="20"/>
                <w:lang w:val="en-US"/>
              </w:rPr>
            </w:pPr>
            <w:proofErr w:type="spellStart"/>
            <w:r w:rsidRPr="00F02BC6">
              <w:rPr>
                <w:color w:val="000000"/>
                <w:sz w:val="20"/>
                <w:szCs w:val="20"/>
                <w:lang w:val="en-US"/>
              </w:rPr>
              <w:t>Balkrishnan</w:t>
            </w:r>
            <w:proofErr w:type="spellEnd"/>
            <w:r w:rsidRPr="00F02BC6">
              <w:rPr>
                <w:color w:val="000000"/>
                <w:sz w:val="20"/>
                <w:szCs w:val="20"/>
                <w:lang w:val="en-US"/>
              </w:rPr>
              <w:t xml:space="preserve"> and Christensen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{"citationItems":[{"id":"ITEM-1","itemData":{"DOI":"10.1081/JAS-100000026","ISSN":"02770903","PMID":"11256559","abstract":"This study examined associations between select hypothesized adherence predictors in claims databases and long-term inhaled corticosteroid adherence. Medication adherence was measured by using medication possession indexes and a refill regularity measure in 1595 older adults using inhaled corticosteroids for 2 yeats. Medication possession indices were highly correlated with each other but not with the refill regularity measure. Additionally, the hypothesized predictors explained a larger percentage of the variance in the medication possession indices compared to the refill regularity measure. Although long-term retrospective medication utilization poses many measurability issues, the use of multiple indices gives a more complete picture of usage behavior.","author":[{"dropping-particle":"","family":"Balkrishnan","given":"R.","non-dropping-particle":"","parse-names":false,"suffix":""},{"dropping-particle":"","family":"Christensen","given":"D. B.","non-dropping-particle":"","parse-names":false,"suffix":""}],"container-title":"Journal of Asthma","id":"ITEM-1","issue":"1","issued":{"date-parts":[["2001"]]},"page":"91-98","title":"A comparison of medication adherence indices to assess long-term inhaled corticosteroid medication use","type":"article-journal","volume":"38"},"uris":["http://www.mendeley.com/documents/?uuid=d5fa40d1-aa79-45ad-b100-edc0897cff44"]}],"mendeley":{"formattedCitation":"(52)","plainTextFormattedCitation":"(52)","previouslyFormattedCitation":"(52)"},"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(52)</w:t>
            </w:r>
            <w:r w:rsidRPr="00F02BC6">
              <w:rPr>
                <w:color w:val="000000"/>
                <w:sz w:val="20"/>
                <w:szCs w:val="20"/>
                <w:vertAlign w:val="superscript"/>
                <w:lang w:val="en-US"/>
              </w:rPr>
              <w:fldChar w:fldCharType="end"/>
            </w:r>
          </w:p>
        </w:tc>
        <w:tc>
          <w:tcPr>
            <w:tcW w:w="1984" w:type="dxa"/>
          </w:tcPr>
          <w:p w14:paraId="66CD06C2" w14:textId="77777777" w:rsidR="00801304" w:rsidRPr="00F02BC6" w:rsidRDefault="00801304" w:rsidP="00495804">
            <w:pPr>
              <w:rPr>
                <w:color w:val="000000"/>
                <w:sz w:val="20"/>
                <w:szCs w:val="20"/>
                <w:lang w:val="en-US"/>
              </w:rPr>
            </w:pPr>
            <w:r w:rsidRPr="00F02BC6">
              <w:rPr>
                <w:color w:val="000000"/>
                <w:sz w:val="20"/>
                <w:szCs w:val="20"/>
                <w:lang w:val="en-US"/>
              </w:rPr>
              <w:t>Patients were identified with asthma using ICD codes and with prescription of prophylactic inhaled corticosteroids (ICS)</w:t>
            </w:r>
          </w:p>
        </w:tc>
        <w:tc>
          <w:tcPr>
            <w:tcW w:w="1843" w:type="dxa"/>
          </w:tcPr>
          <w:p w14:paraId="628923AE" w14:textId="77777777" w:rsidR="00801304" w:rsidRPr="00F02BC6" w:rsidRDefault="00801304" w:rsidP="00495804">
            <w:pPr>
              <w:rPr>
                <w:color w:val="000000"/>
                <w:sz w:val="20"/>
                <w:szCs w:val="20"/>
                <w:lang w:val="en-US"/>
              </w:rPr>
            </w:pPr>
            <w:r w:rsidRPr="00F02BC6">
              <w:rPr>
                <w:color w:val="000000"/>
                <w:sz w:val="20"/>
                <w:szCs w:val="20"/>
                <w:lang w:val="en-US"/>
              </w:rPr>
              <w:t>----</w:t>
            </w:r>
          </w:p>
        </w:tc>
        <w:tc>
          <w:tcPr>
            <w:tcW w:w="2127" w:type="dxa"/>
          </w:tcPr>
          <w:p w14:paraId="422AB6EF" w14:textId="77777777" w:rsidR="00801304" w:rsidRPr="00F02BC6" w:rsidRDefault="00801304" w:rsidP="00495804">
            <w:pPr>
              <w:rPr>
                <w:color w:val="000000"/>
                <w:sz w:val="20"/>
                <w:szCs w:val="20"/>
                <w:lang w:val="en-US"/>
              </w:rPr>
            </w:pPr>
            <w:r w:rsidRPr="00F02BC6">
              <w:rPr>
                <w:color w:val="000000"/>
                <w:sz w:val="20"/>
                <w:szCs w:val="20"/>
                <w:lang w:val="en-US"/>
              </w:rPr>
              <w:t>Med-Total</w:t>
            </w:r>
          </w:p>
        </w:tc>
        <w:tc>
          <w:tcPr>
            <w:tcW w:w="2976" w:type="dxa"/>
          </w:tcPr>
          <w:p w14:paraId="7BB8B7CD" w14:textId="77777777" w:rsidR="00801304" w:rsidRPr="00F02BC6" w:rsidRDefault="00801304" w:rsidP="00495804">
            <w:pPr>
              <w:rPr>
                <w:b/>
                <w:color w:val="000000"/>
                <w:sz w:val="20"/>
                <w:szCs w:val="20"/>
                <w:u w:val="single"/>
                <w:lang w:val="en-US"/>
              </w:rPr>
            </w:pPr>
            <w:r w:rsidRPr="00F02BC6">
              <w:rPr>
                <w:b/>
                <w:color w:val="000000"/>
                <w:sz w:val="20"/>
                <w:szCs w:val="20"/>
                <w:u w:val="single"/>
                <w:lang w:val="en-US"/>
              </w:rPr>
              <w:t>Medication Adherence</w:t>
            </w:r>
          </w:p>
          <w:p w14:paraId="78703086" w14:textId="77777777" w:rsidR="00801304" w:rsidRPr="00F02BC6" w:rsidRDefault="00801304" w:rsidP="00495804">
            <w:pPr>
              <w:rPr>
                <w:color w:val="000000"/>
                <w:sz w:val="20"/>
                <w:szCs w:val="20"/>
                <w:lang w:val="en-US"/>
              </w:rPr>
            </w:pPr>
            <w:r w:rsidRPr="00F02BC6">
              <w:rPr>
                <w:color w:val="000000"/>
                <w:sz w:val="20"/>
                <w:szCs w:val="20"/>
                <w:lang w:val="en-US"/>
              </w:rPr>
              <w:t>Long-term ICS adherence</w:t>
            </w:r>
          </w:p>
          <w:p w14:paraId="03028B08" w14:textId="77777777" w:rsidR="00801304" w:rsidRPr="00F02BC6" w:rsidRDefault="00801304" w:rsidP="00495804">
            <w:pPr>
              <w:rPr>
                <w:color w:val="000000"/>
                <w:sz w:val="20"/>
                <w:szCs w:val="20"/>
                <w:lang w:val="en-US"/>
              </w:rPr>
            </w:pPr>
          </w:p>
        </w:tc>
        <w:tc>
          <w:tcPr>
            <w:tcW w:w="2693" w:type="dxa"/>
          </w:tcPr>
          <w:p w14:paraId="139C593F" w14:textId="77777777" w:rsidR="00801304" w:rsidRPr="00F02BC6" w:rsidRDefault="00801304" w:rsidP="00495804">
            <w:pPr>
              <w:rPr>
                <w:color w:val="000000"/>
                <w:sz w:val="20"/>
                <w:szCs w:val="20"/>
                <w:lang w:val="en-US"/>
              </w:rPr>
            </w:pPr>
          </w:p>
        </w:tc>
        <w:tc>
          <w:tcPr>
            <w:tcW w:w="1559" w:type="dxa"/>
            <w:gridSpan w:val="2"/>
          </w:tcPr>
          <w:p w14:paraId="70188739" w14:textId="77777777" w:rsidR="00801304" w:rsidRPr="00F02BC6" w:rsidRDefault="00801304" w:rsidP="00495804">
            <w:pPr>
              <w:rPr>
                <w:color w:val="000000"/>
                <w:sz w:val="20"/>
                <w:szCs w:val="20"/>
                <w:lang w:val="en-US"/>
              </w:rPr>
            </w:pPr>
          </w:p>
          <w:p w14:paraId="78089588" w14:textId="77777777" w:rsidR="00801304" w:rsidRPr="00F02BC6" w:rsidRDefault="00801304" w:rsidP="00495804">
            <w:pPr>
              <w:jc w:val="center"/>
              <w:rPr>
                <w:color w:val="000000"/>
                <w:sz w:val="20"/>
                <w:szCs w:val="20"/>
                <w:lang w:val="en-US"/>
              </w:rPr>
            </w:pPr>
          </w:p>
        </w:tc>
      </w:tr>
      <w:tr w:rsidR="00801304" w:rsidRPr="00F02BC6" w14:paraId="593AD3D5" w14:textId="77777777" w:rsidTr="005F62B6">
        <w:tc>
          <w:tcPr>
            <w:tcW w:w="2219" w:type="dxa"/>
            <w:tcBorders>
              <w:top w:val="single" w:sz="4" w:space="0" w:color="auto"/>
              <w:bottom w:val="single" w:sz="4" w:space="0" w:color="auto"/>
            </w:tcBorders>
          </w:tcPr>
          <w:p w14:paraId="29BBF42E" w14:textId="77777777" w:rsidR="00801304" w:rsidRPr="00F02BC6" w:rsidRDefault="00801304" w:rsidP="00495804">
            <w:pPr>
              <w:rPr>
                <w:b/>
                <w:color w:val="000000"/>
                <w:sz w:val="20"/>
                <w:szCs w:val="20"/>
                <w:lang w:val="en-US"/>
              </w:rPr>
            </w:pPr>
            <w:r w:rsidRPr="00F02BC6">
              <w:rPr>
                <w:b/>
                <w:color w:val="000000"/>
                <w:sz w:val="20"/>
                <w:szCs w:val="20"/>
                <w:lang w:val="en-US"/>
              </w:rPr>
              <w:t>Author</w:t>
            </w:r>
          </w:p>
        </w:tc>
        <w:tc>
          <w:tcPr>
            <w:tcW w:w="1984" w:type="dxa"/>
            <w:tcBorders>
              <w:top w:val="single" w:sz="4" w:space="0" w:color="auto"/>
              <w:bottom w:val="single" w:sz="4" w:space="0" w:color="auto"/>
            </w:tcBorders>
          </w:tcPr>
          <w:p w14:paraId="2A9353DE" w14:textId="77777777" w:rsidR="00801304" w:rsidRPr="00F02BC6" w:rsidRDefault="00801304" w:rsidP="00495804">
            <w:pPr>
              <w:rPr>
                <w:b/>
                <w:color w:val="000000"/>
                <w:sz w:val="20"/>
                <w:szCs w:val="20"/>
                <w:lang w:val="en-US"/>
              </w:rPr>
            </w:pPr>
          </w:p>
        </w:tc>
        <w:tc>
          <w:tcPr>
            <w:tcW w:w="1843" w:type="dxa"/>
            <w:tcBorders>
              <w:top w:val="single" w:sz="4" w:space="0" w:color="auto"/>
              <w:bottom w:val="single" w:sz="4" w:space="0" w:color="auto"/>
            </w:tcBorders>
          </w:tcPr>
          <w:p w14:paraId="7105263D" w14:textId="77777777" w:rsidR="00801304" w:rsidRPr="00F02BC6" w:rsidRDefault="00801304" w:rsidP="00495804">
            <w:pPr>
              <w:rPr>
                <w:b/>
                <w:color w:val="000000"/>
                <w:sz w:val="20"/>
                <w:szCs w:val="20"/>
                <w:lang w:val="en-US"/>
              </w:rPr>
            </w:pPr>
            <w:r w:rsidRPr="00F02BC6">
              <w:rPr>
                <w:b/>
                <w:color w:val="000000"/>
                <w:sz w:val="20"/>
                <w:szCs w:val="20"/>
                <w:lang w:val="en-US"/>
              </w:rPr>
              <w:t>Mean Medication Adherence Rate± Standard deviation</w:t>
            </w:r>
          </w:p>
        </w:tc>
        <w:tc>
          <w:tcPr>
            <w:tcW w:w="2127" w:type="dxa"/>
            <w:tcBorders>
              <w:top w:val="single" w:sz="4" w:space="0" w:color="auto"/>
              <w:bottom w:val="single" w:sz="4" w:space="0" w:color="auto"/>
            </w:tcBorders>
          </w:tcPr>
          <w:p w14:paraId="6D98F402" w14:textId="77777777" w:rsidR="00801304" w:rsidRPr="00F02BC6" w:rsidRDefault="00801304" w:rsidP="00495804">
            <w:pPr>
              <w:rPr>
                <w:b/>
                <w:color w:val="000000"/>
                <w:sz w:val="20"/>
                <w:szCs w:val="20"/>
                <w:lang w:val="en-US"/>
              </w:rPr>
            </w:pPr>
            <w:r w:rsidRPr="00F02BC6">
              <w:rPr>
                <w:b/>
                <w:color w:val="000000"/>
                <w:sz w:val="20"/>
                <w:szCs w:val="20"/>
                <w:lang w:val="en-US"/>
              </w:rPr>
              <w:t>Medication Adherence rate Threshold</w:t>
            </w:r>
          </w:p>
        </w:tc>
        <w:tc>
          <w:tcPr>
            <w:tcW w:w="2976" w:type="dxa"/>
            <w:tcBorders>
              <w:top w:val="single" w:sz="4" w:space="0" w:color="auto"/>
              <w:bottom w:val="single" w:sz="4" w:space="0" w:color="auto"/>
            </w:tcBorders>
          </w:tcPr>
          <w:p w14:paraId="1FD5E8B0" w14:textId="77777777" w:rsidR="00801304" w:rsidRPr="00F02BC6" w:rsidRDefault="00801304" w:rsidP="00495804">
            <w:pPr>
              <w:rPr>
                <w:b/>
                <w:color w:val="000000"/>
                <w:sz w:val="20"/>
                <w:szCs w:val="20"/>
                <w:lang w:val="en-US"/>
              </w:rPr>
            </w:pPr>
            <w:r w:rsidRPr="00F02BC6">
              <w:rPr>
                <w:b/>
                <w:color w:val="000000"/>
                <w:sz w:val="20"/>
                <w:szCs w:val="20"/>
                <w:lang w:val="en-US"/>
              </w:rPr>
              <w:t>Probability to reach the targeted clinical outcome with Medication Adherence Threshold (Odds ratios [OR], Hazards ratios [HR] and Confidence Interval [CI])</w:t>
            </w:r>
          </w:p>
        </w:tc>
        <w:tc>
          <w:tcPr>
            <w:tcW w:w="2693" w:type="dxa"/>
            <w:tcBorders>
              <w:top w:val="single" w:sz="4" w:space="0" w:color="auto"/>
              <w:bottom w:val="single" w:sz="4" w:space="0" w:color="auto"/>
            </w:tcBorders>
          </w:tcPr>
          <w:p w14:paraId="6C4C7A6E" w14:textId="77777777" w:rsidR="00801304" w:rsidRPr="00F02BC6" w:rsidRDefault="00801304" w:rsidP="00495804">
            <w:pPr>
              <w:rPr>
                <w:b/>
                <w:color w:val="000000"/>
                <w:sz w:val="20"/>
                <w:szCs w:val="20"/>
                <w:lang w:val="en-US"/>
              </w:rPr>
            </w:pPr>
            <w:r w:rsidRPr="00F02BC6">
              <w:rPr>
                <w:b/>
                <w:color w:val="000000"/>
                <w:sz w:val="20"/>
                <w:szCs w:val="20"/>
                <w:lang w:val="en-US"/>
              </w:rPr>
              <w:t>Methods of Threshold Determination</w:t>
            </w:r>
          </w:p>
        </w:tc>
        <w:tc>
          <w:tcPr>
            <w:tcW w:w="1559" w:type="dxa"/>
            <w:gridSpan w:val="2"/>
            <w:tcBorders>
              <w:top w:val="single" w:sz="4" w:space="0" w:color="auto"/>
              <w:bottom w:val="single" w:sz="4" w:space="0" w:color="auto"/>
            </w:tcBorders>
          </w:tcPr>
          <w:p w14:paraId="4D01CDA3" w14:textId="77777777" w:rsidR="00801304" w:rsidRPr="00F02BC6" w:rsidRDefault="00801304" w:rsidP="00495804">
            <w:pPr>
              <w:rPr>
                <w:b/>
                <w:color w:val="000000"/>
                <w:sz w:val="20"/>
                <w:szCs w:val="20"/>
                <w:lang w:val="en-US"/>
              </w:rPr>
            </w:pPr>
            <w:r w:rsidRPr="00F02BC6">
              <w:rPr>
                <w:b/>
                <w:color w:val="000000"/>
                <w:sz w:val="20"/>
                <w:szCs w:val="20"/>
                <w:lang w:val="en-US"/>
              </w:rPr>
              <w:t>Nonadherence Prevalence</w:t>
            </w:r>
          </w:p>
        </w:tc>
      </w:tr>
      <w:tr w:rsidR="00801304" w:rsidRPr="00F02BC6" w14:paraId="519ABF01" w14:textId="77777777" w:rsidTr="005F62B6">
        <w:tc>
          <w:tcPr>
            <w:tcW w:w="2219" w:type="dxa"/>
          </w:tcPr>
          <w:p w14:paraId="40DD889E" w14:textId="77777777" w:rsidR="00801304" w:rsidRPr="00F02BC6" w:rsidRDefault="00801304" w:rsidP="00495804">
            <w:pPr>
              <w:rPr>
                <w:color w:val="000000"/>
                <w:sz w:val="20"/>
                <w:szCs w:val="20"/>
                <w:lang w:val="en-US"/>
              </w:rPr>
            </w:pPr>
            <w:proofErr w:type="spellStart"/>
            <w:r w:rsidRPr="00F02BC6">
              <w:rPr>
                <w:color w:val="000000"/>
                <w:sz w:val="20"/>
                <w:szCs w:val="20"/>
                <w:lang w:val="en-US"/>
              </w:rPr>
              <w:t>Bidwal</w:t>
            </w:r>
            <w:proofErr w:type="spellEnd"/>
            <w:r w:rsidRPr="00F02BC6">
              <w:rPr>
                <w:color w:val="000000"/>
                <w:sz w:val="20"/>
                <w:szCs w:val="20"/>
                <w:lang w:val="en-US"/>
              </w:rPr>
              <w:t xml:space="preserve"> et al</w:t>
            </w:r>
            <w:r w:rsidRPr="00F02BC6">
              <w:rPr>
                <w:color w:val="000000"/>
                <w:sz w:val="20"/>
                <w:szCs w:val="20"/>
                <w:vertAlign w:val="superscript"/>
                <w:lang w:val="en-US"/>
              </w:rPr>
              <w:t xml:space="preserve">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{"citationItems":[{"id":"ITEM-1","itemData":{"DOI":"10.1016/j.sapharm.2016.07.007","ISSN":"15517411","abstract":"Background Adherence with asthma medications is less than optimal, measuring approximately 30–50%. Several factors have been shown to contribute to medication non-adherence including low-socioeconomic status, low literacy, medication cost, access to care, and language barriers. Community Health Clinic Ole has attempted to reduce medication adherence barriers associated with cost, access to care, and language by 1) allowing medications to be obtained from the clinic at a reduced cost via the 340B drug pricing program and patient assistance programs, and 2) providing one-on-one consultations from bilingual Spanish-speaking clinicians. Limited evidence is available regarding chronic disease-state medication adherence among Spanish-speaking individuals presenting to a Federally Qualified Health Center (FQHC). Objective The purpose of this study is to assess asthma medication adherence and determine predictors of non-adherence in the underserved population at an FQHC. Methods Adult patients with a diagnosis of persistent asthma receiving medication refills from clinic between October 1, 2011 and October 31, 2012 were identified (N = 121). Individuals with intermittent or seasonal asthma only, exercise-induced asthma only, or mixed asthma/COPD; individuals who have not picked up at least one fill of inhaled corticosteroid in the past one-year; and individuals without active prescriptions for asthma controller medications were excluded. Medication adherence was assessed by using the medication possession ratio (MPR) for asthma controller medications (e.g. inhaled corticosteroids, long-acting beta-2 agonists, leukotriene modifiers, and theophylline). Patients were categorized into two adherence groups: medium–high (MPR ≥ 0.5) and low (MPR &lt; 0.5). Results Approximately one-third of individuals were identified with medium–high adherence to asthma medications, of which only 8.3% of individuals were found to be fully adherent (MPR ≥ 0.8). The majority of individuals (66.1%) were identified with low adherence, despite efforts to reduce medication adherence barriers associated with drug cost, access to care, and language. Patients with low adherence were younger (39.3 vs. 45.4 yo; P &lt; 0.012), had fewer medication refills (2.1 vs. 5.3; P &lt; 0.001), had fewer primary care provider (PCP) visits (3.4 vs. 5.0; P &lt; 0.05), lower baseline Asthma Control Test (ACT) scores (13.1 vs. 17.3; P &lt; 0.001), and lower asthma medication ratios (AMR) (0.7 vs. 0.9; P &lt; 0.001) than patient…","author":[{"dropping-particle":"","family":"Bidwal","given":"Monica","non-dropping-particle":"","parse-names":false,"suffix":""},{"dropping-particle":"","family":"Lor","given":"Kajua","non-dropping-particle":"","parse-names":false,"suffix":""},{"dropping-particle":"","family":"Yu","given":"Junhua","non-dropping-particle":"","parse-names":false,"suffix":""},{"dropping-particle":"","family":"Ip","given":"Eric","non-dropping-particle":"","parse-names":false,"suffix":""}],"container-title":"Research in Social and Administrative Pharmacy","id":"ITEM-1","issue":"4","issued":{"date-parts":[["2017"]]},"page":"759-766","publisher":"Elsevier Inc","title":"Evaluation of asthma medication adherence rates and strategies to improve adherence in the underserved population at a Federally Qualified Health Center","type":"article-journal","volume":"13"},"uris":["http://www.mendeley.com/documents/?uuid=8ba2c98f-c86a-4685-b037-4813f165f572"]}],"mendeley":{"formattedCitation":"(19)","plainTextFormattedCitation":"(19)","previouslyFormattedCitation":"(19)"},"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(19)</w:t>
            </w:r>
            <w:r w:rsidRPr="00F02BC6">
              <w:rPr>
                <w:color w:val="000000"/>
                <w:sz w:val="20"/>
                <w:szCs w:val="20"/>
                <w:vertAlign w:val="superscript"/>
                <w:lang w:val="en-US"/>
              </w:rPr>
              <w:fldChar w:fldCharType="end"/>
            </w:r>
          </w:p>
        </w:tc>
        <w:tc>
          <w:tcPr>
            <w:tcW w:w="1984" w:type="dxa"/>
          </w:tcPr>
          <w:p w14:paraId="0DCEE101" w14:textId="77777777" w:rsidR="00801304" w:rsidRPr="00F02BC6" w:rsidRDefault="00801304" w:rsidP="00495804">
            <w:pPr>
              <w:rPr>
                <w:color w:val="000000"/>
                <w:sz w:val="20"/>
                <w:szCs w:val="20"/>
                <w:lang w:val="en-US"/>
              </w:rPr>
            </w:pPr>
            <w:r w:rsidRPr="00F02BC6">
              <w:rPr>
                <w:color w:val="000000"/>
                <w:sz w:val="20"/>
                <w:szCs w:val="20"/>
                <w:lang w:val="en-US"/>
              </w:rPr>
              <w:t>Adults (18 +) with current diagnosis of persistent asthma with records of asthma medication refills obtained from the clinic.</w:t>
            </w:r>
          </w:p>
        </w:tc>
        <w:tc>
          <w:tcPr>
            <w:tcW w:w="1843" w:type="dxa"/>
          </w:tcPr>
          <w:p w14:paraId="549AA167" w14:textId="77777777" w:rsidR="00801304" w:rsidRPr="00F02BC6" w:rsidRDefault="00801304" w:rsidP="00495804">
            <w:pPr>
              <w:rPr>
                <w:color w:val="000000"/>
                <w:sz w:val="20"/>
                <w:szCs w:val="20"/>
                <w:lang w:val="en-US"/>
              </w:rPr>
            </w:pPr>
            <w:r w:rsidRPr="00F02BC6">
              <w:rPr>
                <w:color w:val="000000"/>
                <w:sz w:val="20"/>
                <w:szCs w:val="20"/>
                <w:lang w:val="en-US"/>
              </w:rPr>
              <w:t xml:space="preserve">----- </w:t>
            </w:r>
          </w:p>
        </w:tc>
        <w:tc>
          <w:tcPr>
            <w:tcW w:w="2127" w:type="dxa"/>
          </w:tcPr>
          <w:p w14:paraId="4B2ED58B" w14:textId="77777777" w:rsidR="00801304" w:rsidRPr="00F02BC6" w:rsidRDefault="00801304" w:rsidP="00495804">
            <w:pPr>
              <w:rPr>
                <w:color w:val="000000"/>
                <w:sz w:val="20"/>
                <w:szCs w:val="20"/>
                <w:lang w:val="en-US"/>
              </w:rPr>
            </w:pPr>
            <w:r w:rsidRPr="00F02BC6">
              <w:rPr>
                <w:color w:val="000000"/>
                <w:sz w:val="20"/>
                <w:szCs w:val="20"/>
                <w:lang w:val="en-US"/>
              </w:rPr>
              <w:t>MPR</w:t>
            </w:r>
          </w:p>
          <w:p w14:paraId="5EC30944" w14:textId="77777777" w:rsidR="00801304" w:rsidRPr="00F02BC6" w:rsidRDefault="00801304" w:rsidP="00495804">
            <w:pPr>
              <w:rPr>
                <w:color w:val="000000"/>
                <w:sz w:val="20"/>
                <w:szCs w:val="20"/>
                <w:lang w:val="en-US"/>
              </w:rPr>
            </w:pPr>
            <w:r w:rsidRPr="00F02BC6">
              <w:rPr>
                <w:color w:val="000000"/>
                <w:sz w:val="20"/>
                <w:szCs w:val="20"/>
                <w:lang w:val="en-US"/>
              </w:rPr>
              <w:t xml:space="preserve"> ≤0.5</w:t>
            </w:r>
          </w:p>
          <w:p w14:paraId="7B475263" w14:textId="77777777" w:rsidR="00801304" w:rsidRPr="00F02BC6" w:rsidRDefault="00801304" w:rsidP="00495804">
            <w:pPr>
              <w:rPr>
                <w:color w:val="000000"/>
                <w:sz w:val="20"/>
                <w:szCs w:val="20"/>
                <w:lang w:val="en-US"/>
              </w:rPr>
            </w:pPr>
            <w:r w:rsidRPr="00F02BC6">
              <w:rPr>
                <w:color w:val="000000"/>
                <w:sz w:val="20"/>
                <w:szCs w:val="20"/>
                <w:lang w:val="en-US"/>
              </w:rPr>
              <w:t xml:space="preserve"> ≥0.5</w:t>
            </w:r>
          </w:p>
          <w:p w14:paraId="7A309440" w14:textId="77777777" w:rsidR="00801304" w:rsidRPr="00F02BC6" w:rsidRDefault="00801304" w:rsidP="00495804">
            <w:pPr>
              <w:rPr>
                <w:color w:val="000000"/>
                <w:sz w:val="20"/>
                <w:szCs w:val="20"/>
                <w:lang w:val="en-US"/>
              </w:rPr>
            </w:pPr>
            <w:r w:rsidRPr="00F02BC6">
              <w:rPr>
                <w:color w:val="000000"/>
                <w:sz w:val="20"/>
                <w:szCs w:val="20"/>
                <w:lang w:val="en-US"/>
              </w:rPr>
              <w:t>AMR</w:t>
            </w:r>
          </w:p>
          <w:p w14:paraId="34B457DB" w14:textId="77777777" w:rsidR="00801304" w:rsidRPr="00F02BC6" w:rsidRDefault="00801304" w:rsidP="00495804">
            <w:pPr>
              <w:rPr>
                <w:color w:val="000000"/>
                <w:sz w:val="20"/>
                <w:szCs w:val="20"/>
                <w:lang w:val="en-US"/>
              </w:rPr>
            </w:pPr>
            <w:r w:rsidRPr="00F02BC6">
              <w:rPr>
                <w:color w:val="000000"/>
                <w:sz w:val="20"/>
                <w:szCs w:val="20"/>
                <w:lang w:val="en-US"/>
              </w:rPr>
              <w:t>≥0.5</w:t>
            </w:r>
          </w:p>
        </w:tc>
        <w:tc>
          <w:tcPr>
            <w:tcW w:w="2976" w:type="dxa"/>
          </w:tcPr>
          <w:p w14:paraId="059B4919" w14:textId="77777777" w:rsidR="00801304" w:rsidRPr="00F02BC6" w:rsidRDefault="00801304" w:rsidP="00495804">
            <w:pPr>
              <w:rPr>
                <w:color w:val="000000"/>
                <w:sz w:val="20"/>
                <w:szCs w:val="20"/>
                <w:lang w:val="en-US"/>
              </w:rPr>
            </w:pPr>
            <w:r w:rsidRPr="00F02BC6">
              <w:rPr>
                <w:color w:val="000000"/>
                <w:sz w:val="20"/>
                <w:szCs w:val="20"/>
                <w:lang w:val="en-US"/>
              </w:rPr>
              <w:t>Medication Adherence</w:t>
            </w:r>
          </w:p>
        </w:tc>
        <w:tc>
          <w:tcPr>
            <w:tcW w:w="2693" w:type="dxa"/>
          </w:tcPr>
          <w:p w14:paraId="31500412" w14:textId="77777777" w:rsidR="00801304" w:rsidRPr="00F02BC6" w:rsidRDefault="00801304" w:rsidP="00495804">
            <w:pPr>
              <w:rPr>
                <w:color w:val="000000"/>
                <w:sz w:val="20"/>
                <w:szCs w:val="20"/>
                <w:lang w:val="en-US"/>
              </w:rPr>
            </w:pPr>
            <w:r w:rsidRPr="00F02BC6">
              <w:rPr>
                <w:color w:val="000000"/>
                <w:sz w:val="20"/>
                <w:szCs w:val="20"/>
                <w:lang w:val="en-US"/>
              </w:rPr>
              <w:t>Multivariate logistic regression analysis</w:t>
            </w:r>
          </w:p>
        </w:tc>
        <w:tc>
          <w:tcPr>
            <w:tcW w:w="1559" w:type="dxa"/>
            <w:gridSpan w:val="2"/>
          </w:tcPr>
          <w:p w14:paraId="65B90506" w14:textId="77777777" w:rsidR="00801304" w:rsidRPr="00F02BC6" w:rsidRDefault="00801304" w:rsidP="00495804">
            <w:pPr>
              <w:rPr>
                <w:color w:val="000000"/>
                <w:sz w:val="20"/>
                <w:szCs w:val="20"/>
                <w:lang w:val="en-US"/>
              </w:rPr>
            </w:pPr>
            <w:r w:rsidRPr="00F02BC6">
              <w:rPr>
                <w:color w:val="000000"/>
                <w:sz w:val="20"/>
                <w:szCs w:val="20"/>
                <w:lang w:val="en-US"/>
              </w:rPr>
              <w:t>MPR</w:t>
            </w:r>
          </w:p>
          <w:p w14:paraId="060292E5" w14:textId="77777777" w:rsidR="00801304" w:rsidRPr="00F02BC6" w:rsidRDefault="00801304" w:rsidP="00495804">
            <w:pPr>
              <w:rPr>
                <w:color w:val="000000"/>
                <w:sz w:val="20"/>
                <w:szCs w:val="20"/>
                <w:lang w:val="en-US"/>
              </w:rPr>
            </w:pPr>
            <w:r w:rsidRPr="00F02BC6">
              <w:rPr>
                <w:color w:val="000000"/>
                <w:sz w:val="20"/>
                <w:szCs w:val="20"/>
                <w:lang w:val="en-US"/>
              </w:rPr>
              <w:t>66.1% (≥ 0.5)</w:t>
            </w:r>
          </w:p>
          <w:p w14:paraId="2BCA1B42" w14:textId="77777777" w:rsidR="00801304" w:rsidRPr="00F02BC6" w:rsidRDefault="00801304" w:rsidP="00495804">
            <w:pPr>
              <w:rPr>
                <w:color w:val="000000"/>
                <w:sz w:val="20"/>
                <w:szCs w:val="20"/>
                <w:lang w:val="en-US"/>
              </w:rPr>
            </w:pPr>
            <w:r w:rsidRPr="00F02BC6">
              <w:rPr>
                <w:color w:val="000000"/>
                <w:sz w:val="20"/>
                <w:szCs w:val="20"/>
                <w:lang w:val="en-US"/>
              </w:rPr>
              <w:t>91.7</w:t>
            </w:r>
            <w:proofErr w:type="gramStart"/>
            <w:r w:rsidRPr="00F02BC6">
              <w:rPr>
                <w:color w:val="000000"/>
                <w:sz w:val="20"/>
                <w:szCs w:val="20"/>
                <w:lang w:val="en-US"/>
              </w:rPr>
              <w:t>%  (</w:t>
            </w:r>
            <w:proofErr w:type="gramEnd"/>
            <w:r w:rsidRPr="00F02BC6">
              <w:rPr>
                <w:color w:val="000000"/>
                <w:sz w:val="20"/>
                <w:szCs w:val="20"/>
                <w:lang w:val="en-US"/>
              </w:rPr>
              <w:t>fully adherent ≥0.8)</w:t>
            </w:r>
          </w:p>
          <w:p w14:paraId="03847212" w14:textId="77777777" w:rsidR="00801304" w:rsidRPr="00F02BC6" w:rsidRDefault="00801304" w:rsidP="00495804">
            <w:pPr>
              <w:rPr>
                <w:color w:val="000000"/>
                <w:sz w:val="20"/>
                <w:szCs w:val="20"/>
                <w:lang w:val="en-US"/>
              </w:rPr>
            </w:pPr>
            <w:r w:rsidRPr="00F02BC6">
              <w:rPr>
                <w:color w:val="000000"/>
                <w:sz w:val="20"/>
                <w:szCs w:val="20"/>
                <w:lang w:val="en-US"/>
              </w:rPr>
              <w:t>AMR</w:t>
            </w:r>
          </w:p>
          <w:p w14:paraId="0B18CDC5" w14:textId="77777777" w:rsidR="00801304" w:rsidRPr="00F02BC6" w:rsidRDefault="00801304" w:rsidP="00495804">
            <w:pPr>
              <w:rPr>
                <w:color w:val="000000"/>
                <w:sz w:val="20"/>
                <w:szCs w:val="20"/>
                <w:lang w:val="en-US"/>
              </w:rPr>
            </w:pPr>
            <w:r w:rsidRPr="00F02BC6">
              <w:rPr>
                <w:color w:val="000000"/>
                <w:sz w:val="20"/>
                <w:szCs w:val="20"/>
                <w:lang w:val="en-US"/>
              </w:rPr>
              <w:t>10.7% ((≥ 0.5)</w:t>
            </w:r>
          </w:p>
        </w:tc>
      </w:tr>
      <w:tr w:rsidR="00801304" w:rsidRPr="00F02BC6" w14:paraId="7828505D" w14:textId="77777777" w:rsidTr="005F62B6">
        <w:tc>
          <w:tcPr>
            <w:tcW w:w="2219" w:type="dxa"/>
          </w:tcPr>
          <w:p w14:paraId="389E6B4C" w14:textId="77777777" w:rsidR="00801304" w:rsidRPr="00F02BC6" w:rsidRDefault="00801304" w:rsidP="00495804">
            <w:pPr>
              <w:rPr>
                <w:color w:val="000000"/>
                <w:sz w:val="20"/>
                <w:szCs w:val="20"/>
                <w:lang w:val="en-US"/>
              </w:rPr>
            </w:pPr>
          </w:p>
        </w:tc>
        <w:tc>
          <w:tcPr>
            <w:tcW w:w="1984" w:type="dxa"/>
          </w:tcPr>
          <w:p w14:paraId="30870599" w14:textId="77777777" w:rsidR="00801304" w:rsidRPr="00F02BC6" w:rsidRDefault="00801304" w:rsidP="00495804">
            <w:pPr>
              <w:rPr>
                <w:color w:val="000000"/>
                <w:sz w:val="20"/>
                <w:szCs w:val="20"/>
                <w:lang w:val="en-US"/>
              </w:rPr>
            </w:pPr>
          </w:p>
        </w:tc>
        <w:tc>
          <w:tcPr>
            <w:tcW w:w="1843" w:type="dxa"/>
          </w:tcPr>
          <w:p w14:paraId="46EE80E5" w14:textId="77777777" w:rsidR="00801304" w:rsidRPr="00F02BC6" w:rsidRDefault="00801304" w:rsidP="00495804">
            <w:pPr>
              <w:rPr>
                <w:color w:val="000000"/>
                <w:sz w:val="20"/>
                <w:szCs w:val="20"/>
                <w:lang w:val="en-US"/>
              </w:rPr>
            </w:pPr>
          </w:p>
        </w:tc>
        <w:tc>
          <w:tcPr>
            <w:tcW w:w="2127" w:type="dxa"/>
          </w:tcPr>
          <w:p w14:paraId="46D3A184" w14:textId="77777777" w:rsidR="00801304" w:rsidRPr="00F02BC6" w:rsidRDefault="00801304" w:rsidP="00495804">
            <w:pPr>
              <w:rPr>
                <w:color w:val="000000"/>
                <w:sz w:val="20"/>
                <w:szCs w:val="20"/>
                <w:lang w:val="en-US"/>
              </w:rPr>
            </w:pPr>
          </w:p>
        </w:tc>
        <w:tc>
          <w:tcPr>
            <w:tcW w:w="2976" w:type="dxa"/>
          </w:tcPr>
          <w:p w14:paraId="3FE81401" w14:textId="77777777" w:rsidR="00801304" w:rsidRPr="00F02BC6" w:rsidRDefault="00801304" w:rsidP="00495804">
            <w:pPr>
              <w:rPr>
                <w:color w:val="000000"/>
                <w:sz w:val="20"/>
                <w:szCs w:val="20"/>
                <w:lang w:val="en-US"/>
              </w:rPr>
            </w:pPr>
          </w:p>
        </w:tc>
        <w:tc>
          <w:tcPr>
            <w:tcW w:w="2693" w:type="dxa"/>
          </w:tcPr>
          <w:p w14:paraId="4554360A" w14:textId="77777777" w:rsidR="00801304" w:rsidRPr="00F02BC6" w:rsidRDefault="00801304" w:rsidP="00495804">
            <w:pPr>
              <w:rPr>
                <w:color w:val="000000"/>
                <w:sz w:val="20"/>
                <w:szCs w:val="20"/>
                <w:lang w:val="en-US"/>
              </w:rPr>
            </w:pPr>
          </w:p>
        </w:tc>
        <w:tc>
          <w:tcPr>
            <w:tcW w:w="1559" w:type="dxa"/>
            <w:gridSpan w:val="2"/>
          </w:tcPr>
          <w:p w14:paraId="4AAA0901" w14:textId="77777777" w:rsidR="00801304" w:rsidRPr="00F02BC6" w:rsidRDefault="00801304" w:rsidP="00495804">
            <w:pPr>
              <w:rPr>
                <w:color w:val="000000"/>
                <w:sz w:val="20"/>
                <w:szCs w:val="20"/>
                <w:lang w:val="en-US"/>
              </w:rPr>
            </w:pPr>
          </w:p>
        </w:tc>
      </w:tr>
      <w:tr w:rsidR="00801304" w:rsidRPr="00F02BC6" w14:paraId="7DFCAA28" w14:textId="77777777" w:rsidTr="005F62B6">
        <w:tc>
          <w:tcPr>
            <w:tcW w:w="2219" w:type="dxa"/>
            <w:tcBorders>
              <w:top w:val="single" w:sz="4" w:space="0" w:color="auto"/>
              <w:bottom w:val="single" w:sz="4" w:space="0" w:color="auto"/>
            </w:tcBorders>
          </w:tcPr>
          <w:p w14:paraId="3D9FFA4B" w14:textId="77777777" w:rsidR="00801304" w:rsidRPr="00F02BC6" w:rsidRDefault="00801304" w:rsidP="00495804">
            <w:pPr>
              <w:rPr>
                <w:b/>
                <w:color w:val="000000"/>
                <w:sz w:val="20"/>
                <w:szCs w:val="20"/>
                <w:lang w:val="en-US"/>
              </w:rPr>
            </w:pPr>
            <w:r w:rsidRPr="00F02BC6">
              <w:rPr>
                <w:b/>
                <w:color w:val="000000"/>
                <w:sz w:val="20"/>
                <w:szCs w:val="20"/>
                <w:lang w:val="en-US"/>
              </w:rPr>
              <w:t>Author</w:t>
            </w:r>
          </w:p>
        </w:tc>
        <w:tc>
          <w:tcPr>
            <w:tcW w:w="1984" w:type="dxa"/>
            <w:tcBorders>
              <w:top w:val="single" w:sz="4" w:space="0" w:color="auto"/>
              <w:bottom w:val="single" w:sz="4" w:space="0" w:color="auto"/>
            </w:tcBorders>
          </w:tcPr>
          <w:p w14:paraId="3D51E87C" w14:textId="77777777" w:rsidR="00801304" w:rsidRPr="00F02BC6" w:rsidRDefault="00801304" w:rsidP="00495804">
            <w:pPr>
              <w:rPr>
                <w:b/>
                <w:color w:val="000000"/>
                <w:sz w:val="20"/>
                <w:szCs w:val="20"/>
                <w:lang w:val="en-US"/>
              </w:rPr>
            </w:pPr>
          </w:p>
        </w:tc>
        <w:tc>
          <w:tcPr>
            <w:tcW w:w="1843" w:type="dxa"/>
            <w:tcBorders>
              <w:top w:val="single" w:sz="4" w:space="0" w:color="auto"/>
              <w:bottom w:val="single" w:sz="4" w:space="0" w:color="auto"/>
            </w:tcBorders>
          </w:tcPr>
          <w:p w14:paraId="0A50C3B4" w14:textId="77777777" w:rsidR="00801304" w:rsidRPr="00F02BC6" w:rsidRDefault="00801304" w:rsidP="00495804">
            <w:pPr>
              <w:rPr>
                <w:b/>
                <w:color w:val="000000"/>
                <w:sz w:val="20"/>
                <w:szCs w:val="20"/>
                <w:lang w:val="en-US"/>
              </w:rPr>
            </w:pPr>
            <w:r w:rsidRPr="00F02BC6">
              <w:rPr>
                <w:b/>
                <w:color w:val="000000"/>
                <w:sz w:val="20"/>
                <w:szCs w:val="20"/>
                <w:lang w:val="en-US"/>
              </w:rPr>
              <w:t>Mean Medication Adherence Rate± Standard deviation</w:t>
            </w:r>
          </w:p>
        </w:tc>
        <w:tc>
          <w:tcPr>
            <w:tcW w:w="2127" w:type="dxa"/>
            <w:tcBorders>
              <w:top w:val="single" w:sz="4" w:space="0" w:color="auto"/>
              <w:bottom w:val="single" w:sz="4" w:space="0" w:color="auto"/>
            </w:tcBorders>
          </w:tcPr>
          <w:p w14:paraId="57707E05" w14:textId="77777777" w:rsidR="00801304" w:rsidRPr="00F02BC6" w:rsidRDefault="00801304" w:rsidP="00495804">
            <w:pPr>
              <w:rPr>
                <w:b/>
                <w:color w:val="000000"/>
                <w:sz w:val="20"/>
                <w:szCs w:val="20"/>
                <w:lang w:val="en-US"/>
              </w:rPr>
            </w:pPr>
            <w:r w:rsidRPr="00F02BC6">
              <w:rPr>
                <w:b/>
                <w:color w:val="000000"/>
                <w:sz w:val="20"/>
                <w:szCs w:val="20"/>
                <w:lang w:val="en-US"/>
              </w:rPr>
              <w:t>Medication Adherence rate Threshold</w:t>
            </w:r>
          </w:p>
        </w:tc>
        <w:tc>
          <w:tcPr>
            <w:tcW w:w="2976" w:type="dxa"/>
            <w:tcBorders>
              <w:top w:val="single" w:sz="4" w:space="0" w:color="auto"/>
              <w:bottom w:val="single" w:sz="4" w:space="0" w:color="auto"/>
            </w:tcBorders>
          </w:tcPr>
          <w:p w14:paraId="119F7769" w14:textId="77777777" w:rsidR="00801304" w:rsidRPr="00F02BC6" w:rsidRDefault="00801304" w:rsidP="00495804">
            <w:pPr>
              <w:rPr>
                <w:b/>
                <w:color w:val="000000"/>
                <w:sz w:val="20"/>
                <w:szCs w:val="20"/>
                <w:lang w:val="en-US"/>
              </w:rPr>
            </w:pPr>
            <w:r w:rsidRPr="00F02BC6">
              <w:rPr>
                <w:b/>
                <w:color w:val="000000"/>
                <w:sz w:val="20"/>
                <w:szCs w:val="20"/>
                <w:lang w:val="en-US"/>
              </w:rPr>
              <w:t>Probability to reach the targeted clinical outcome with Medication Adherence Threshold (Odds ratios [OR], Hazards ratios [HR] and Confidence Interval [CI])</w:t>
            </w:r>
          </w:p>
        </w:tc>
        <w:tc>
          <w:tcPr>
            <w:tcW w:w="2693" w:type="dxa"/>
            <w:tcBorders>
              <w:top w:val="single" w:sz="4" w:space="0" w:color="auto"/>
              <w:bottom w:val="single" w:sz="4" w:space="0" w:color="auto"/>
            </w:tcBorders>
          </w:tcPr>
          <w:p w14:paraId="2DB4B8B5" w14:textId="77777777" w:rsidR="00801304" w:rsidRPr="00F02BC6" w:rsidRDefault="00801304" w:rsidP="00495804">
            <w:pPr>
              <w:rPr>
                <w:b/>
                <w:color w:val="000000"/>
                <w:sz w:val="20"/>
                <w:szCs w:val="20"/>
                <w:lang w:val="en-US"/>
              </w:rPr>
            </w:pPr>
            <w:r w:rsidRPr="00F02BC6">
              <w:rPr>
                <w:b/>
                <w:color w:val="000000"/>
                <w:sz w:val="20"/>
                <w:szCs w:val="20"/>
                <w:lang w:val="en-US"/>
              </w:rPr>
              <w:t>Methods for Threshold Determination</w:t>
            </w:r>
          </w:p>
        </w:tc>
        <w:tc>
          <w:tcPr>
            <w:tcW w:w="1559" w:type="dxa"/>
            <w:gridSpan w:val="2"/>
            <w:tcBorders>
              <w:top w:val="single" w:sz="4" w:space="0" w:color="auto"/>
              <w:bottom w:val="single" w:sz="4" w:space="0" w:color="auto"/>
            </w:tcBorders>
          </w:tcPr>
          <w:p w14:paraId="091ECF20" w14:textId="77777777" w:rsidR="00801304" w:rsidRPr="00F02BC6" w:rsidRDefault="00801304" w:rsidP="00495804">
            <w:pPr>
              <w:rPr>
                <w:b/>
                <w:color w:val="000000"/>
                <w:sz w:val="20"/>
                <w:szCs w:val="20"/>
                <w:lang w:val="en-US"/>
              </w:rPr>
            </w:pPr>
            <w:r w:rsidRPr="00F02BC6">
              <w:rPr>
                <w:b/>
                <w:color w:val="000000"/>
                <w:sz w:val="20"/>
                <w:szCs w:val="20"/>
                <w:lang w:val="en-US"/>
              </w:rPr>
              <w:t>Nonadherence Prevalence</w:t>
            </w:r>
          </w:p>
        </w:tc>
      </w:tr>
      <w:tr w:rsidR="00801304" w:rsidRPr="00F02BC6" w14:paraId="00842ADB" w14:textId="77777777" w:rsidTr="005F62B6">
        <w:tc>
          <w:tcPr>
            <w:tcW w:w="2219" w:type="dxa"/>
            <w:tcBorders>
              <w:top w:val="single" w:sz="4" w:space="0" w:color="auto"/>
            </w:tcBorders>
          </w:tcPr>
          <w:p w14:paraId="6118AED3" w14:textId="77777777" w:rsidR="00801304" w:rsidRPr="00F02BC6" w:rsidRDefault="00801304" w:rsidP="00495804">
            <w:pPr>
              <w:rPr>
                <w:color w:val="000000"/>
                <w:sz w:val="20"/>
                <w:szCs w:val="20"/>
                <w:lang w:val="en-US"/>
              </w:rPr>
            </w:pPr>
            <w:proofErr w:type="spellStart"/>
            <w:r w:rsidRPr="00F02BC6">
              <w:rPr>
                <w:color w:val="000000"/>
                <w:sz w:val="20"/>
                <w:szCs w:val="20"/>
                <w:lang w:val="en-US"/>
              </w:rPr>
              <w:t>Blais</w:t>
            </w:r>
            <w:proofErr w:type="spellEnd"/>
            <w:r w:rsidRPr="00F02BC6">
              <w:rPr>
                <w:color w:val="000000"/>
                <w:sz w:val="20"/>
                <w:szCs w:val="20"/>
                <w:lang w:val="en-US"/>
              </w:rPr>
              <w:t xml:space="preserve"> et al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{"citationItems":[{"id":"ITEM-1","itemData":{"DOI":"10.1345/aph.1P719","ISSN":"10600280","abstract":"BACKGROUND: Common measures of adherence to prescribed medications derived from administrative databases reflect both patients' and physicians' behavior, even if the measures are often interpreted as reflecting only the patient's adherence. Adherence to inhaled corticosteroids (ICSs) has been shown to be low among patients with asthma. OBJECTIVE: To develop a new measure of patients' adherence adjusted for prescription patterns and to evaluate the extent to which the low use of ICSs in asthma is due to patients' nonadherence or suboptimal prescribing practices. METHODS: The new measure of adherence, called the proportion of prescribed days covered (PPDC), is defined as the ratio of the total days' supply dispensed to the total days' supply prescribed during the study period. The PPDC is a modification of an existing adherence measure, the proportion of days covered (PDC).The PPDC and PDC for ICSs, therapy that should be prescribed for chronic daily use to patients with persistent asthma, were compared within a cohort of 4190 ICS-naïve patients with asthma aged 18-45 years derived from the administrative health databases of Quebec, Canada. We estimated the mean and the 95% confidence interval of the PPDC and PDC for ICSs over 1 year, and we calculated the part of nonadherence attributed to patients when measured with the PDC that can be attributed to nonoptimal prescribing of ICSs for chronic daily use with the following formula: [(1 - PDC) - (1 - PPDC)] / (1 - PDC). RESULTS: The mean PPDC and PDC during the 1-year study were 52.6% (95% CI 51.6 to 53.6) and 19.1% (95% CI 18.6 to 19.6), respectively. Forty-one percent of nonadherence attributed to patients when measured with the PDC could be, in fact, attributed to nonprescribing of ICSs for chronic daily use. CONCLUSIONS: Our new adherence measure, the PPDC, may be considered as another way to assess patient adherence, taking into account differing prescribing patterns.","author":[{"dropping-particle":"","family":"Blais","given":"Lucie","non-dropping-particle":"","parse-names":false,"suffix":""},{"dropping-particle":"","family":"Kettani","given":"Fatima Zohra","non-dropping-particle":"","parse-names":false,"suffix":""},{"dropping-particle":"","family":"Beauchesne","given":"Marie France","non-dropping-particle":"","parse-names":false,"suffix":""},{"dropping-particle":"","family":"Lemière","given":"Catherine","non-dropping-particle":"","parse-names":false,"suffix":""},{"dropping-particle":"","family":"Perreault","given":"Sylvie","non-dropping-particle":"","parse-names":false,"suffix":""},{"dropping-particle":"","family":"Forget","given":"Amélie","non-dropping-particle":"","parse-names":false,"suffix":""}],"container-title":"Annals of Pharmacotherapy","id":"ITEM-1","issue":"3","issued":{"date-parts":[["2011"]]},"page":"335-341","title":"New measure of adherence adjusted for prescription patterns: The case of adults with asthma treated with inhaled corticosteroid monotherapy","type":"article-journal","volume":"45"},"uris":["http://www.mendeley.com/documents/?uuid=1e57e6bd-802f-4b34-b245-8a16b7ba1f6b"]}],"mendeley":{"formattedCitation":"(54)","plainTextFormattedCitation":"(54)","previouslyFormattedCitation":"(54)"},"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(54)</w:t>
            </w:r>
            <w:r w:rsidRPr="00F02BC6">
              <w:rPr>
                <w:color w:val="000000"/>
                <w:sz w:val="20"/>
                <w:szCs w:val="20"/>
                <w:vertAlign w:val="superscript"/>
                <w:lang w:val="en-US"/>
              </w:rPr>
              <w:fldChar w:fldCharType="end"/>
            </w:r>
          </w:p>
        </w:tc>
        <w:tc>
          <w:tcPr>
            <w:tcW w:w="1984" w:type="dxa"/>
            <w:tcBorders>
              <w:top w:val="single" w:sz="4" w:space="0" w:color="auto"/>
            </w:tcBorders>
          </w:tcPr>
          <w:p w14:paraId="0AF7BCE2" w14:textId="4E229FAB" w:rsidR="00801304" w:rsidRPr="00F02BC6" w:rsidRDefault="001B1DD1" w:rsidP="00495804">
            <w:pPr>
              <w:rPr>
                <w:color w:val="000000"/>
                <w:sz w:val="20"/>
                <w:szCs w:val="20"/>
                <w:lang w:val="en-US"/>
              </w:rPr>
            </w:pPr>
            <w:r w:rsidRPr="00F02BC6">
              <w:rPr>
                <w:color w:val="000000"/>
                <w:sz w:val="20"/>
                <w:szCs w:val="20"/>
                <w:lang w:val="en-US"/>
              </w:rPr>
              <w:t>Patients who were new users of ICS monotherapy, aged 18-45 years with asthma diagnostic ICD code 493.x who have used at least 3 doses of SABA per week.</w:t>
            </w:r>
          </w:p>
        </w:tc>
        <w:tc>
          <w:tcPr>
            <w:tcW w:w="1843" w:type="dxa"/>
            <w:tcBorders>
              <w:top w:val="single" w:sz="4" w:space="0" w:color="auto"/>
            </w:tcBorders>
          </w:tcPr>
          <w:p w14:paraId="5D15D09D" w14:textId="77777777" w:rsidR="00801304" w:rsidRPr="00F02BC6" w:rsidRDefault="00801304" w:rsidP="00495804">
            <w:pPr>
              <w:rPr>
                <w:color w:val="000000"/>
                <w:sz w:val="20"/>
                <w:szCs w:val="20"/>
                <w:lang w:val="en-US"/>
              </w:rPr>
            </w:pPr>
            <w:r w:rsidRPr="00F02BC6">
              <w:rPr>
                <w:color w:val="000000"/>
                <w:sz w:val="20"/>
                <w:szCs w:val="20"/>
                <w:lang w:val="en-US"/>
              </w:rPr>
              <w:t>52.6±33.0</w:t>
            </w:r>
          </w:p>
          <w:p w14:paraId="28F0FED0" w14:textId="77777777" w:rsidR="00801304" w:rsidRPr="00F02BC6" w:rsidRDefault="00801304" w:rsidP="00495804">
            <w:pPr>
              <w:rPr>
                <w:color w:val="000000"/>
                <w:sz w:val="20"/>
                <w:szCs w:val="20"/>
                <w:lang w:val="en-US"/>
              </w:rPr>
            </w:pPr>
            <w:r w:rsidRPr="00F02BC6">
              <w:rPr>
                <w:color w:val="000000"/>
                <w:sz w:val="20"/>
                <w:szCs w:val="20"/>
                <w:lang w:val="en-US"/>
              </w:rPr>
              <w:t>19.1±16.5</w:t>
            </w:r>
          </w:p>
        </w:tc>
        <w:tc>
          <w:tcPr>
            <w:tcW w:w="2127" w:type="dxa"/>
            <w:tcBorders>
              <w:top w:val="single" w:sz="4" w:space="0" w:color="auto"/>
            </w:tcBorders>
          </w:tcPr>
          <w:p w14:paraId="406C3AFE" w14:textId="77777777" w:rsidR="00801304" w:rsidRPr="00F02BC6" w:rsidRDefault="00801304" w:rsidP="00495804">
            <w:pPr>
              <w:rPr>
                <w:color w:val="000000"/>
                <w:sz w:val="20"/>
                <w:szCs w:val="20"/>
                <w:lang w:val="en-US"/>
              </w:rPr>
            </w:pPr>
            <w:r w:rsidRPr="00F02BC6">
              <w:rPr>
                <w:color w:val="000000"/>
                <w:sz w:val="20"/>
                <w:szCs w:val="20"/>
                <w:lang w:val="en-US"/>
              </w:rPr>
              <w:t>PPDC-</w:t>
            </w:r>
          </w:p>
          <w:p w14:paraId="131FFC6A" w14:textId="77777777" w:rsidR="00801304" w:rsidRPr="00F02BC6" w:rsidRDefault="00801304" w:rsidP="00495804">
            <w:pPr>
              <w:rPr>
                <w:color w:val="000000"/>
                <w:sz w:val="20"/>
                <w:szCs w:val="20"/>
                <w:lang w:val="en-US"/>
              </w:rPr>
            </w:pPr>
            <w:r w:rsidRPr="00F02BC6">
              <w:rPr>
                <w:color w:val="000000"/>
                <w:sz w:val="20"/>
                <w:szCs w:val="20"/>
                <w:lang w:val="en-US"/>
              </w:rPr>
              <w:t>PDC-</w:t>
            </w:r>
          </w:p>
        </w:tc>
        <w:tc>
          <w:tcPr>
            <w:tcW w:w="2976" w:type="dxa"/>
            <w:tcBorders>
              <w:top w:val="single" w:sz="4" w:space="0" w:color="auto"/>
            </w:tcBorders>
          </w:tcPr>
          <w:p w14:paraId="4D2335B0" w14:textId="77777777" w:rsidR="00801304" w:rsidRPr="00F02BC6" w:rsidRDefault="00801304" w:rsidP="00495804">
            <w:pPr>
              <w:rPr>
                <w:color w:val="000000"/>
                <w:sz w:val="20"/>
                <w:szCs w:val="20"/>
                <w:lang w:val="en-US"/>
              </w:rPr>
            </w:pPr>
            <w:r w:rsidRPr="00F02BC6">
              <w:rPr>
                <w:color w:val="000000"/>
                <w:sz w:val="20"/>
                <w:szCs w:val="20"/>
                <w:lang w:val="en-US"/>
              </w:rPr>
              <w:t>Medication Adherence</w:t>
            </w:r>
          </w:p>
        </w:tc>
        <w:tc>
          <w:tcPr>
            <w:tcW w:w="2693" w:type="dxa"/>
            <w:tcBorders>
              <w:top w:val="single" w:sz="4" w:space="0" w:color="auto"/>
            </w:tcBorders>
          </w:tcPr>
          <w:p w14:paraId="5ACF9034" w14:textId="77777777" w:rsidR="00801304" w:rsidRPr="00F02BC6" w:rsidRDefault="00801304" w:rsidP="00495804">
            <w:pPr>
              <w:rPr>
                <w:color w:val="000000"/>
                <w:sz w:val="20"/>
                <w:szCs w:val="20"/>
                <w:lang w:val="en-US"/>
              </w:rPr>
            </w:pPr>
            <w:r w:rsidRPr="00F02BC6">
              <w:rPr>
                <w:color w:val="000000"/>
                <w:sz w:val="20"/>
                <w:szCs w:val="20"/>
                <w:lang w:val="en-US"/>
              </w:rPr>
              <w:t>Descriptive statistics</w:t>
            </w:r>
          </w:p>
        </w:tc>
        <w:tc>
          <w:tcPr>
            <w:tcW w:w="1559" w:type="dxa"/>
            <w:gridSpan w:val="2"/>
            <w:tcBorders>
              <w:top w:val="single" w:sz="4" w:space="0" w:color="auto"/>
            </w:tcBorders>
          </w:tcPr>
          <w:p w14:paraId="67DC10FA" w14:textId="77777777" w:rsidR="00801304" w:rsidRPr="00F02BC6" w:rsidRDefault="00801304" w:rsidP="00495804">
            <w:pPr>
              <w:rPr>
                <w:color w:val="000000"/>
                <w:sz w:val="20"/>
                <w:szCs w:val="20"/>
                <w:lang w:val="en-US"/>
              </w:rPr>
            </w:pPr>
            <w:r w:rsidRPr="00F02BC6">
              <w:rPr>
                <w:color w:val="000000"/>
                <w:sz w:val="20"/>
                <w:szCs w:val="20"/>
                <w:lang w:val="en-US"/>
              </w:rPr>
              <w:t>41.0% estimated using PDC</w:t>
            </w:r>
          </w:p>
        </w:tc>
      </w:tr>
      <w:tr w:rsidR="00801304" w:rsidRPr="00F02BC6" w14:paraId="333161CB" w14:textId="77777777" w:rsidTr="005F62B6">
        <w:tc>
          <w:tcPr>
            <w:tcW w:w="2219" w:type="dxa"/>
            <w:tcBorders>
              <w:top w:val="single" w:sz="4" w:space="0" w:color="auto"/>
              <w:bottom w:val="single" w:sz="4" w:space="0" w:color="auto"/>
            </w:tcBorders>
          </w:tcPr>
          <w:p w14:paraId="696CB37A" w14:textId="77777777" w:rsidR="00801304" w:rsidRPr="00F02BC6" w:rsidRDefault="00801304" w:rsidP="00495804">
            <w:pPr>
              <w:rPr>
                <w:b/>
                <w:color w:val="000000"/>
                <w:sz w:val="20"/>
                <w:szCs w:val="20"/>
                <w:lang w:val="en-US"/>
              </w:rPr>
            </w:pPr>
            <w:r w:rsidRPr="00F02BC6">
              <w:rPr>
                <w:b/>
                <w:color w:val="000000"/>
                <w:sz w:val="20"/>
                <w:szCs w:val="20"/>
                <w:lang w:val="en-US"/>
              </w:rPr>
              <w:t>Author</w:t>
            </w:r>
          </w:p>
        </w:tc>
        <w:tc>
          <w:tcPr>
            <w:tcW w:w="1984" w:type="dxa"/>
            <w:tcBorders>
              <w:top w:val="single" w:sz="4" w:space="0" w:color="auto"/>
              <w:bottom w:val="single" w:sz="4" w:space="0" w:color="auto"/>
            </w:tcBorders>
          </w:tcPr>
          <w:p w14:paraId="0A2E37B3" w14:textId="77777777" w:rsidR="00801304" w:rsidRPr="00F02BC6" w:rsidRDefault="00801304" w:rsidP="00495804">
            <w:pPr>
              <w:rPr>
                <w:b/>
                <w:color w:val="000000"/>
                <w:sz w:val="20"/>
                <w:szCs w:val="20"/>
                <w:lang w:val="en-US"/>
              </w:rPr>
            </w:pPr>
          </w:p>
        </w:tc>
        <w:tc>
          <w:tcPr>
            <w:tcW w:w="1843" w:type="dxa"/>
            <w:tcBorders>
              <w:top w:val="single" w:sz="4" w:space="0" w:color="auto"/>
              <w:bottom w:val="single" w:sz="4" w:space="0" w:color="auto"/>
            </w:tcBorders>
          </w:tcPr>
          <w:p w14:paraId="2A1B8DF1" w14:textId="77777777" w:rsidR="00801304" w:rsidRPr="00F02BC6" w:rsidRDefault="00801304" w:rsidP="00495804">
            <w:pPr>
              <w:rPr>
                <w:b/>
                <w:color w:val="000000"/>
                <w:sz w:val="20"/>
                <w:szCs w:val="20"/>
                <w:lang w:val="en-US"/>
              </w:rPr>
            </w:pPr>
            <w:r w:rsidRPr="00F02BC6">
              <w:rPr>
                <w:b/>
                <w:color w:val="000000"/>
                <w:sz w:val="20"/>
                <w:szCs w:val="20"/>
                <w:lang w:val="en-US"/>
              </w:rPr>
              <w:t>Mean Medication Adherence Rate± Standard deviation</w:t>
            </w:r>
          </w:p>
        </w:tc>
        <w:tc>
          <w:tcPr>
            <w:tcW w:w="2127" w:type="dxa"/>
            <w:tcBorders>
              <w:top w:val="single" w:sz="4" w:space="0" w:color="auto"/>
              <w:bottom w:val="single" w:sz="4" w:space="0" w:color="auto"/>
            </w:tcBorders>
          </w:tcPr>
          <w:p w14:paraId="7E212E10" w14:textId="77777777" w:rsidR="00801304" w:rsidRPr="00F02BC6" w:rsidRDefault="00801304" w:rsidP="00495804">
            <w:pPr>
              <w:rPr>
                <w:b/>
                <w:color w:val="000000"/>
                <w:sz w:val="20"/>
                <w:szCs w:val="20"/>
                <w:lang w:val="en-US"/>
              </w:rPr>
            </w:pPr>
            <w:r w:rsidRPr="00F02BC6">
              <w:rPr>
                <w:b/>
                <w:color w:val="000000"/>
                <w:sz w:val="20"/>
                <w:szCs w:val="20"/>
                <w:lang w:val="en-US"/>
              </w:rPr>
              <w:t>Medication Adherence rate Threshold</w:t>
            </w:r>
          </w:p>
        </w:tc>
        <w:tc>
          <w:tcPr>
            <w:tcW w:w="2976" w:type="dxa"/>
            <w:tcBorders>
              <w:top w:val="single" w:sz="4" w:space="0" w:color="auto"/>
              <w:bottom w:val="single" w:sz="4" w:space="0" w:color="auto"/>
            </w:tcBorders>
          </w:tcPr>
          <w:p w14:paraId="59F12202" w14:textId="77777777" w:rsidR="00801304" w:rsidRPr="00F02BC6" w:rsidRDefault="00801304" w:rsidP="00495804">
            <w:pPr>
              <w:rPr>
                <w:b/>
                <w:color w:val="000000"/>
                <w:sz w:val="20"/>
                <w:szCs w:val="20"/>
                <w:lang w:val="en-US"/>
              </w:rPr>
            </w:pPr>
            <w:r w:rsidRPr="00F02BC6">
              <w:rPr>
                <w:b/>
                <w:color w:val="000000"/>
                <w:sz w:val="20"/>
                <w:szCs w:val="20"/>
                <w:lang w:val="en-US"/>
              </w:rPr>
              <w:t>Probability to reach the targeted clinical outcome with Medication Adherence Threshold (Odds ratios [OR], Hazards ratios [HR] and Confidence Interval [CI])</w:t>
            </w:r>
          </w:p>
        </w:tc>
        <w:tc>
          <w:tcPr>
            <w:tcW w:w="2693" w:type="dxa"/>
            <w:tcBorders>
              <w:top w:val="single" w:sz="4" w:space="0" w:color="auto"/>
              <w:bottom w:val="single" w:sz="4" w:space="0" w:color="auto"/>
            </w:tcBorders>
          </w:tcPr>
          <w:p w14:paraId="12B28CDB" w14:textId="77777777" w:rsidR="00801304" w:rsidRPr="00F02BC6" w:rsidRDefault="00801304" w:rsidP="00495804">
            <w:pPr>
              <w:rPr>
                <w:b/>
                <w:color w:val="000000"/>
                <w:sz w:val="20"/>
                <w:szCs w:val="20"/>
                <w:lang w:val="en-US"/>
              </w:rPr>
            </w:pPr>
            <w:r w:rsidRPr="00F02BC6">
              <w:rPr>
                <w:b/>
                <w:color w:val="000000"/>
                <w:sz w:val="20"/>
                <w:szCs w:val="20"/>
                <w:lang w:val="en-US"/>
              </w:rPr>
              <w:t>Methods of Threshold Determination</w:t>
            </w:r>
          </w:p>
        </w:tc>
        <w:tc>
          <w:tcPr>
            <w:tcW w:w="1559" w:type="dxa"/>
            <w:gridSpan w:val="2"/>
            <w:tcBorders>
              <w:top w:val="single" w:sz="4" w:space="0" w:color="auto"/>
              <w:bottom w:val="single" w:sz="4" w:space="0" w:color="auto"/>
            </w:tcBorders>
          </w:tcPr>
          <w:p w14:paraId="66D27723" w14:textId="77777777" w:rsidR="00801304" w:rsidRPr="00F02BC6" w:rsidRDefault="00801304" w:rsidP="00495804">
            <w:pPr>
              <w:rPr>
                <w:b/>
                <w:color w:val="000000"/>
                <w:sz w:val="20"/>
                <w:szCs w:val="20"/>
                <w:lang w:val="en-US"/>
              </w:rPr>
            </w:pPr>
            <w:r w:rsidRPr="00F02BC6">
              <w:rPr>
                <w:b/>
                <w:color w:val="000000"/>
                <w:sz w:val="20"/>
                <w:szCs w:val="20"/>
                <w:lang w:val="en-US"/>
              </w:rPr>
              <w:t>Nonadherence Prevalence</w:t>
            </w:r>
          </w:p>
        </w:tc>
      </w:tr>
      <w:tr w:rsidR="00801304" w:rsidRPr="00F02BC6" w14:paraId="11E0AE52" w14:textId="77777777" w:rsidTr="005F62B6">
        <w:tc>
          <w:tcPr>
            <w:tcW w:w="2219" w:type="dxa"/>
            <w:tcBorders>
              <w:top w:val="single" w:sz="4" w:space="0" w:color="auto"/>
            </w:tcBorders>
          </w:tcPr>
          <w:p w14:paraId="088167B1" w14:textId="77777777" w:rsidR="00801304" w:rsidRPr="00F02BC6" w:rsidRDefault="00801304" w:rsidP="00495804">
            <w:pPr>
              <w:rPr>
                <w:color w:val="000000"/>
                <w:sz w:val="20"/>
                <w:szCs w:val="20"/>
                <w:lang w:val="en-US"/>
              </w:rPr>
            </w:pPr>
          </w:p>
        </w:tc>
        <w:tc>
          <w:tcPr>
            <w:tcW w:w="1984" w:type="dxa"/>
            <w:tcBorders>
              <w:top w:val="single" w:sz="4" w:space="0" w:color="auto"/>
            </w:tcBorders>
          </w:tcPr>
          <w:p w14:paraId="67739497" w14:textId="77777777" w:rsidR="00801304" w:rsidRPr="00F02BC6" w:rsidRDefault="00801304" w:rsidP="00495804">
            <w:pPr>
              <w:rPr>
                <w:color w:val="000000"/>
                <w:sz w:val="20"/>
                <w:szCs w:val="20"/>
                <w:lang w:val="en-US"/>
              </w:rPr>
            </w:pPr>
          </w:p>
        </w:tc>
        <w:tc>
          <w:tcPr>
            <w:tcW w:w="1843" w:type="dxa"/>
            <w:tcBorders>
              <w:top w:val="single" w:sz="4" w:space="0" w:color="auto"/>
            </w:tcBorders>
          </w:tcPr>
          <w:p w14:paraId="581853E6" w14:textId="77777777" w:rsidR="00801304" w:rsidRPr="00F02BC6" w:rsidRDefault="00801304" w:rsidP="00495804">
            <w:pPr>
              <w:rPr>
                <w:color w:val="000000"/>
                <w:sz w:val="20"/>
                <w:szCs w:val="20"/>
                <w:lang w:val="en-US"/>
              </w:rPr>
            </w:pPr>
          </w:p>
        </w:tc>
        <w:tc>
          <w:tcPr>
            <w:tcW w:w="2127" w:type="dxa"/>
            <w:tcBorders>
              <w:top w:val="single" w:sz="4" w:space="0" w:color="auto"/>
            </w:tcBorders>
          </w:tcPr>
          <w:p w14:paraId="38577FBD" w14:textId="77777777" w:rsidR="00801304" w:rsidRPr="00F02BC6" w:rsidRDefault="00801304" w:rsidP="00495804">
            <w:pPr>
              <w:rPr>
                <w:color w:val="000000"/>
                <w:sz w:val="20"/>
                <w:szCs w:val="20"/>
                <w:lang w:val="en-US"/>
              </w:rPr>
            </w:pPr>
          </w:p>
        </w:tc>
        <w:tc>
          <w:tcPr>
            <w:tcW w:w="2976" w:type="dxa"/>
            <w:tcBorders>
              <w:top w:val="single" w:sz="4" w:space="0" w:color="auto"/>
            </w:tcBorders>
          </w:tcPr>
          <w:p w14:paraId="0FCC3FB1" w14:textId="77777777" w:rsidR="00801304" w:rsidRPr="00F02BC6" w:rsidRDefault="00801304" w:rsidP="00495804">
            <w:pPr>
              <w:rPr>
                <w:color w:val="000000"/>
                <w:sz w:val="20"/>
                <w:szCs w:val="20"/>
                <w:lang w:val="en-US"/>
              </w:rPr>
            </w:pPr>
            <w:r w:rsidRPr="00F02BC6">
              <w:rPr>
                <w:color w:val="000000"/>
                <w:sz w:val="20"/>
                <w:szCs w:val="20"/>
                <w:lang w:val="en-US"/>
              </w:rPr>
              <w:t>Medication adherence</w:t>
            </w:r>
          </w:p>
        </w:tc>
        <w:tc>
          <w:tcPr>
            <w:tcW w:w="2693" w:type="dxa"/>
            <w:tcBorders>
              <w:top w:val="single" w:sz="4" w:space="0" w:color="auto"/>
            </w:tcBorders>
          </w:tcPr>
          <w:p w14:paraId="29B42E76" w14:textId="77777777" w:rsidR="00801304" w:rsidRPr="00F02BC6" w:rsidRDefault="00801304" w:rsidP="00495804">
            <w:pPr>
              <w:rPr>
                <w:color w:val="000000"/>
                <w:sz w:val="20"/>
                <w:szCs w:val="20"/>
                <w:lang w:val="en-US"/>
              </w:rPr>
            </w:pPr>
            <w:r w:rsidRPr="00F02BC6">
              <w:rPr>
                <w:color w:val="000000"/>
                <w:sz w:val="20"/>
                <w:szCs w:val="20"/>
                <w:lang w:val="en-US"/>
              </w:rPr>
              <w:t>Descriptive statistics</w:t>
            </w:r>
          </w:p>
        </w:tc>
        <w:tc>
          <w:tcPr>
            <w:tcW w:w="1559" w:type="dxa"/>
            <w:gridSpan w:val="2"/>
            <w:tcBorders>
              <w:top w:val="single" w:sz="4" w:space="0" w:color="auto"/>
            </w:tcBorders>
          </w:tcPr>
          <w:p w14:paraId="00673173" w14:textId="77777777" w:rsidR="00801304" w:rsidRPr="00F02BC6" w:rsidRDefault="00801304" w:rsidP="00495804">
            <w:pPr>
              <w:rPr>
                <w:color w:val="000000"/>
                <w:sz w:val="20"/>
                <w:szCs w:val="20"/>
                <w:lang w:val="en-US"/>
              </w:rPr>
            </w:pPr>
            <w:r w:rsidRPr="00F02BC6">
              <w:rPr>
                <w:color w:val="000000"/>
                <w:sz w:val="20"/>
                <w:szCs w:val="20"/>
                <w:lang w:val="en-US"/>
              </w:rPr>
              <w:t>Not reported</w:t>
            </w:r>
          </w:p>
        </w:tc>
      </w:tr>
      <w:tr w:rsidR="00801304" w:rsidRPr="00F02BC6" w14:paraId="033C3E09" w14:textId="77777777" w:rsidTr="005F62B6">
        <w:tc>
          <w:tcPr>
            <w:tcW w:w="2219" w:type="dxa"/>
          </w:tcPr>
          <w:p w14:paraId="738C3357" w14:textId="77777777" w:rsidR="00801304" w:rsidRPr="00F02BC6" w:rsidRDefault="00801304" w:rsidP="00495804">
            <w:pPr>
              <w:rPr>
                <w:color w:val="000000"/>
                <w:sz w:val="20"/>
                <w:szCs w:val="20"/>
                <w:lang w:val="en-US"/>
              </w:rPr>
            </w:pPr>
            <w:proofErr w:type="spellStart"/>
            <w:r w:rsidRPr="00F02BC6">
              <w:rPr>
                <w:color w:val="000000"/>
                <w:sz w:val="20"/>
                <w:szCs w:val="20"/>
                <w:lang w:val="en-US"/>
              </w:rPr>
              <w:t>Blais</w:t>
            </w:r>
            <w:proofErr w:type="spellEnd"/>
            <w:r w:rsidRPr="00F02BC6">
              <w:rPr>
                <w:color w:val="000000"/>
                <w:sz w:val="20"/>
                <w:szCs w:val="20"/>
                <w:lang w:val="en-US"/>
              </w:rPr>
              <w:t xml:space="preserve"> et al</w:t>
            </w:r>
            <w:r w:rsidRPr="00F02BC6">
              <w:rPr>
                <w:color w:val="000000"/>
                <w:sz w:val="20"/>
                <w:szCs w:val="20"/>
                <w:vertAlign w:val="superscript"/>
                <w:lang w:val="en-US"/>
              </w:rPr>
              <w:t xml:space="preserve">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{"citationItems":[{"id":"ITEM-1","itemData":{"DOI":"10.1136/bmjopen-2014-005903","ISSN":"20446055","abstract":"Objectives and hypotheses: Adherence to inhaled corticosteroids (ICS) is a major issue in asthma. This study aimed to estimate the accuracy of the days' supply and number of refills allowed, variables recorded in Québec claims databases and used to estimate adherence, and to develop correction factors, if required. We hypothesised that the accuracy of the days' supply for ICS would be low whereas the accuracy of the number of refills allowed would be high. Setting: 40 community pharmacies in Québec (Canada) and a medication registry. Participants: We collected data for 1108 ICS original prescriptions stored in the 40 pharmacies (sample 1), and we obtained a second sample of 2676 ICS prescriptions selected from reMed, a medication registry (sample 2). Primary and secondary outcomes: We estimated the concordance of the days' supply and number of refills between Québec claims databases and the original prescription from sample 1. We developed a correction factor for the days' supply in sample 1 and validated it in sample 2. Analyses were stratified by age: 0-11 and 12-64 years. Results: In sample 1, the concordance for the days' supply was 39.6% (95% CI 37.6% to 41.6%) in those aged 0-11 years and 56% (54.9% to 57.2%) in those aged 12-64 years. The concordance increased to 59.4% (58.2% to 60.5%) in those aged 0-11 years and 74.2% (73.5% to 74.9%) in those aged 12-64 years after applying the correction factors in sample 2. The concordance for the refills allowed was 92.1% (91% to 93.1%) in those aged 0-11 years and 93.1% (92.5% to 93.7%) in those aged 12-64 years in sample 1. Conclusions: The accuracy of the days' supply was moderate among those aged 0-11 years and substantial among those aged 12-64 years after applying the correction factors. The accuracy of the number of refills was almost perfect in both groups.","author":[{"dropping-particle":"","family":"Blais","given":"Lucie","non-dropping-particle":"","parse-names":false,"suffix":""},{"dropping-particle":"","family":"Vilain","given":"Anne","non-dropping-particle":"","parse-names":false,"suffix":""},{"dropping-particle":"","family":"Kettani","given":"Fatima Zohra","non-dropping-particle":"","parse-names":false,"suffix":""},{"dropping-particle":"","family":"Forget","given":"Amélie","non-dropping-particle":"","parse-names":false,"suffix":""},{"dropping-particle":"","family":"Lalonde","given":"Geneviève","non-dropping-particle":"","parse-names":false,"suffix":""},{"dropping-particle":"","family":"Beauchesne","given":"Marie France","non-dropping-particle":"","parse-names":false,"suffix":""},{"dropping-particle":"","family":"Ducharme","given":"Francine M.","non-dropping-particle":"","parse-names":false,"suffix":""},{"dropping-particle":"","family":"Lemière","given":"Catherine","non-dropping-particle":"","parse-names":false,"suffix":""}],"container-title":"BMJ Open","id":"ITEM-1","issue":"11","issued":{"date-parts":[["2014"]]},"page":"1-8","title":"Accuracy of the days' supply and the number of refills allowed recorded in québec prescription claims databases for inhaled corticosteroids","type":"article-journal","volume":"4"},"uris":["http://www.mendeley.com/documents/?uuid=4c36b799-d111-4c31-bcc2-75bcd1baa660"]}],"mendeley":{"formattedCitation":"(58)","plainTextFormattedCitation":"(58)","previouslyFormattedCitation":"(58)"},"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(58)</w:t>
            </w:r>
            <w:r w:rsidRPr="00F02BC6">
              <w:rPr>
                <w:color w:val="000000"/>
                <w:sz w:val="20"/>
                <w:szCs w:val="20"/>
                <w:vertAlign w:val="superscript"/>
                <w:lang w:val="en-US"/>
              </w:rPr>
              <w:fldChar w:fldCharType="end"/>
            </w:r>
          </w:p>
        </w:tc>
        <w:tc>
          <w:tcPr>
            <w:tcW w:w="1984" w:type="dxa"/>
          </w:tcPr>
          <w:p w14:paraId="649A779C" w14:textId="5370315E" w:rsidR="00801304" w:rsidRPr="00F02BC6" w:rsidRDefault="001B1DD1" w:rsidP="00495804">
            <w:pPr>
              <w:rPr>
                <w:color w:val="000000"/>
                <w:sz w:val="20"/>
                <w:szCs w:val="20"/>
                <w:lang w:val="en-US"/>
              </w:rPr>
            </w:pPr>
            <w:r w:rsidRPr="00F02BC6">
              <w:rPr>
                <w:color w:val="000000"/>
                <w:sz w:val="20"/>
                <w:szCs w:val="20"/>
                <w:lang w:val="en-US"/>
              </w:rPr>
              <w:t>Asthma patients with filled new ICS prescription in the Quebec prescription claims databases were identified as the study cohort.</w:t>
            </w:r>
          </w:p>
        </w:tc>
        <w:tc>
          <w:tcPr>
            <w:tcW w:w="1843" w:type="dxa"/>
          </w:tcPr>
          <w:p w14:paraId="14EB9A61" w14:textId="77777777" w:rsidR="00801304" w:rsidRPr="00F02BC6" w:rsidRDefault="00801304" w:rsidP="00495804">
            <w:pPr>
              <w:rPr>
                <w:color w:val="000000"/>
                <w:sz w:val="20"/>
                <w:szCs w:val="20"/>
                <w:lang w:val="en-US"/>
              </w:rPr>
            </w:pPr>
            <w:r w:rsidRPr="00F02BC6">
              <w:rPr>
                <w:color w:val="000000"/>
                <w:sz w:val="20"/>
                <w:szCs w:val="20"/>
                <w:lang w:val="en-US"/>
              </w:rPr>
              <w:t>---</w:t>
            </w:r>
          </w:p>
        </w:tc>
        <w:tc>
          <w:tcPr>
            <w:tcW w:w="2127" w:type="dxa"/>
          </w:tcPr>
          <w:p w14:paraId="2D8E34A3" w14:textId="77777777" w:rsidR="00801304" w:rsidRPr="00F02BC6" w:rsidRDefault="00801304" w:rsidP="00495804">
            <w:pPr>
              <w:rPr>
                <w:color w:val="000000"/>
                <w:sz w:val="20"/>
                <w:szCs w:val="20"/>
                <w:lang w:val="en-US"/>
              </w:rPr>
            </w:pPr>
            <w:r w:rsidRPr="00F02BC6">
              <w:rPr>
                <w:color w:val="000000"/>
                <w:sz w:val="20"/>
                <w:szCs w:val="20"/>
                <w:lang w:val="en-US"/>
              </w:rPr>
              <w:t>---</w:t>
            </w:r>
          </w:p>
        </w:tc>
        <w:tc>
          <w:tcPr>
            <w:tcW w:w="2976" w:type="dxa"/>
          </w:tcPr>
          <w:p w14:paraId="438609F0" w14:textId="77777777" w:rsidR="00801304" w:rsidRPr="00F02BC6" w:rsidRDefault="00801304" w:rsidP="00495804">
            <w:pPr>
              <w:rPr>
                <w:color w:val="000000"/>
                <w:sz w:val="20"/>
                <w:szCs w:val="20"/>
                <w:lang w:val="en-US"/>
              </w:rPr>
            </w:pPr>
            <w:r w:rsidRPr="00F02BC6">
              <w:rPr>
                <w:color w:val="000000"/>
                <w:sz w:val="20"/>
                <w:szCs w:val="20"/>
                <w:lang w:val="en-US"/>
              </w:rPr>
              <w:t>Days’ supply</w:t>
            </w:r>
          </w:p>
          <w:p w14:paraId="083802EC" w14:textId="77777777" w:rsidR="00801304" w:rsidRPr="00F02BC6" w:rsidRDefault="00801304" w:rsidP="00495804">
            <w:pPr>
              <w:rPr>
                <w:color w:val="000000"/>
                <w:sz w:val="20"/>
                <w:szCs w:val="20"/>
                <w:lang w:val="en-US"/>
              </w:rPr>
            </w:pPr>
            <w:r w:rsidRPr="00F02BC6">
              <w:rPr>
                <w:color w:val="000000"/>
                <w:sz w:val="20"/>
                <w:szCs w:val="20"/>
                <w:lang w:val="en-US"/>
              </w:rPr>
              <w:t>Number of refills</w:t>
            </w:r>
          </w:p>
        </w:tc>
        <w:tc>
          <w:tcPr>
            <w:tcW w:w="2693" w:type="dxa"/>
          </w:tcPr>
          <w:p w14:paraId="67D4DD31" w14:textId="77777777" w:rsidR="00801304" w:rsidRPr="00F02BC6" w:rsidRDefault="00801304" w:rsidP="00495804">
            <w:pPr>
              <w:rPr>
                <w:color w:val="000000"/>
                <w:sz w:val="20"/>
                <w:szCs w:val="20"/>
                <w:lang w:val="en-US"/>
              </w:rPr>
            </w:pPr>
          </w:p>
        </w:tc>
        <w:tc>
          <w:tcPr>
            <w:tcW w:w="1559" w:type="dxa"/>
            <w:gridSpan w:val="2"/>
          </w:tcPr>
          <w:p w14:paraId="6C368940" w14:textId="77777777" w:rsidR="00801304" w:rsidRPr="00F02BC6" w:rsidRDefault="00801304" w:rsidP="00495804">
            <w:pPr>
              <w:rPr>
                <w:color w:val="000000"/>
                <w:sz w:val="20"/>
                <w:szCs w:val="20"/>
                <w:lang w:val="en-US"/>
              </w:rPr>
            </w:pPr>
          </w:p>
        </w:tc>
      </w:tr>
      <w:tr w:rsidR="00801304" w:rsidRPr="00F02BC6" w14:paraId="1CEF9BF1" w14:textId="77777777" w:rsidTr="005F62B6">
        <w:tc>
          <w:tcPr>
            <w:tcW w:w="2219" w:type="dxa"/>
          </w:tcPr>
          <w:p w14:paraId="39249465" w14:textId="77777777" w:rsidR="00801304" w:rsidRPr="00F02BC6" w:rsidRDefault="00801304" w:rsidP="00495804">
            <w:pPr>
              <w:rPr>
                <w:color w:val="000000"/>
                <w:sz w:val="20"/>
                <w:szCs w:val="20"/>
                <w:lang w:val="en-US"/>
              </w:rPr>
            </w:pPr>
            <w:proofErr w:type="spellStart"/>
            <w:r w:rsidRPr="00F02BC6">
              <w:rPr>
                <w:color w:val="000000"/>
                <w:sz w:val="20"/>
                <w:szCs w:val="20"/>
                <w:lang w:val="en-US"/>
              </w:rPr>
              <w:t>Blais</w:t>
            </w:r>
            <w:proofErr w:type="spellEnd"/>
            <w:r w:rsidRPr="00F02BC6">
              <w:rPr>
                <w:color w:val="000000"/>
                <w:sz w:val="20"/>
                <w:szCs w:val="20"/>
                <w:lang w:val="en-US"/>
              </w:rPr>
              <w:t xml:space="preserve"> et al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{"citationItems":[{"id":"ITEM-1","itemData":{"DOI":"10.1007/s00228-016-2139-5","ISSN":"14321041","abstract":"Purpose: There are very few studies on primary adherence (i.e., first filling of a prescription) to inhaled corticosteroids (ICS) in asthma patients; two have involved children. Moreover, adherence can be overestimated when considering only secondary adherence (i.e., following the medication recommendations for a defined period) and ignoring primary adherence. We aimed thus to evaluate the real-world primary and secondary adherence to ICS and to develop an integrated primary and secondary adherence (IPSA) measure. Methods: From two clinical databases of pediatric and adult asthma patients, we included 198 children and 206 adults with one ICS prescription recorded in their medical chart between 2010 and 2012 and follow-up data for ≥12 months. Adherence was estimated from written prescriptions and prescription claims data. Primary adherence was defined as filling the ICS prescription at a pharmacy within 12 months. Secondary adherence was defined as the proportion of days covered (PDC) in subjects who filled their prescription at least once. The IPSA was based on the PDC with a correction factor for primary adherence. Results: Primary adherence to ICS at 12 months was 89.4 % in children and 69.4 % in adults. Secondary adherence at 12 months in children was 33.9 %, and the IPSA was 30.3 %. These values were 52.8 and 36.6 %, respectively, in adults. Conclusions: Primary adherence to ICS is low in adults and secondary adherence is poor in children and adults. Using the PDC as a unique measure of adherence led to significant overestimation in adults; IPSA leads to more valid estimates of adherence to ICS.","author":[{"dropping-particle":"","family":"Blais","given":"Lucie","non-dropping-particle":"","parse-names":false,"suffix":""},{"dropping-particle":"","family":"Kettani","given":"Fatima Zohra","non-dropping-particle":"","parse-names":false,"suffix":""},{"dropping-particle":"","family":"Forget","given":"Amélie","non-dropping-particle":"","parse-names":false,"suffix":""},{"dropping-particle":"","family":"Beauchesne","given":"Marie France","non-dropping-particle":"","parse-names":false,"suffix":""},{"dropping-particle":"","family":"Lemière","given":"Catherine","non-dropping-particle":"","parse-names":false,"suffix":""},{"dropping-particle":"","family":"Ducharme","given":"Francine M.","non-dropping-particle":"","parse-names":false,"suffix":""}],"container-title":"European Journal of Clinical Pharmacology","id":"ITEM-1","issue":"1","issued":{"date-parts":[["2017"]]},"page":"91-97","publisher":"European Journal of Clinical Pharmacology","title":"Assessing adherence to inhaled corticosteroids in asthma patients using an integrated measure based on primary and secondary adherence","type":"article-journal","volume":"73"},"uris":["http://www.mendeley.com/documents/?uuid=d71847fc-8551-40bd-a502-bce5beccb11d"]}],"mendeley":{"formattedCitation":"(53)","plainTextFormattedCitation":"(53)","previouslyFormattedCitation":"(53)"},"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(53)</w:t>
            </w:r>
            <w:r w:rsidRPr="00F02BC6">
              <w:rPr>
                <w:color w:val="000000"/>
                <w:sz w:val="20"/>
                <w:szCs w:val="20"/>
                <w:vertAlign w:val="superscript"/>
                <w:lang w:val="en-US"/>
              </w:rPr>
              <w:fldChar w:fldCharType="end"/>
            </w:r>
          </w:p>
        </w:tc>
        <w:tc>
          <w:tcPr>
            <w:tcW w:w="1984" w:type="dxa"/>
          </w:tcPr>
          <w:p w14:paraId="4B5DB837" w14:textId="77777777" w:rsidR="00801304" w:rsidRPr="00F02BC6" w:rsidRDefault="00801304" w:rsidP="00495804">
            <w:pPr>
              <w:rPr>
                <w:color w:val="000000"/>
                <w:sz w:val="20"/>
                <w:szCs w:val="20"/>
                <w:lang w:val="en-US"/>
              </w:rPr>
            </w:pPr>
          </w:p>
        </w:tc>
        <w:tc>
          <w:tcPr>
            <w:tcW w:w="1843" w:type="dxa"/>
          </w:tcPr>
          <w:p w14:paraId="6570F86F" w14:textId="77777777" w:rsidR="00801304" w:rsidRPr="00F02BC6" w:rsidRDefault="00801304" w:rsidP="00495804">
            <w:pPr>
              <w:rPr>
                <w:color w:val="000000"/>
                <w:sz w:val="20"/>
                <w:szCs w:val="20"/>
                <w:lang w:val="en-US"/>
              </w:rPr>
            </w:pPr>
            <w:r w:rsidRPr="00F02BC6">
              <w:rPr>
                <w:color w:val="000000"/>
                <w:sz w:val="20"/>
                <w:szCs w:val="20"/>
                <w:lang w:val="en-US"/>
              </w:rPr>
              <w:t>PDC</w:t>
            </w:r>
          </w:p>
          <w:p w14:paraId="39F7AE17" w14:textId="77777777" w:rsidR="00801304" w:rsidRPr="00F02BC6" w:rsidRDefault="00801304" w:rsidP="00495804">
            <w:pPr>
              <w:rPr>
                <w:color w:val="000000"/>
                <w:sz w:val="20"/>
                <w:szCs w:val="20"/>
                <w:lang w:val="en-US"/>
              </w:rPr>
            </w:pPr>
            <w:r w:rsidRPr="00F02BC6">
              <w:rPr>
                <w:color w:val="000000"/>
                <w:sz w:val="20"/>
                <w:szCs w:val="20"/>
                <w:lang w:val="en-US"/>
              </w:rPr>
              <w:t>Children 30.3 ± 25.9</w:t>
            </w:r>
          </w:p>
          <w:p w14:paraId="6DDE742E" w14:textId="77777777" w:rsidR="00801304" w:rsidRPr="00F02BC6" w:rsidRDefault="00801304" w:rsidP="00495804">
            <w:pPr>
              <w:rPr>
                <w:color w:val="000000"/>
                <w:sz w:val="20"/>
                <w:szCs w:val="20"/>
                <w:lang w:val="en-US"/>
              </w:rPr>
            </w:pPr>
            <w:r w:rsidRPr="00F02BC6">
              <w:rPr>
                <w:color w:val="000000"/>
                <w:sz w:val="20"/>
                <w:szCs w:val="20"/>
                <w:lang w:val="en-US"/>
              </w:rPr>
              <w:t>Adults    36.6 ± 36.0</w:t>
            </w:r>
          </w:p>
        </w:tc>
        <w:tc>
          <w:tcPr>
            <w:tcW w:w="2127" w:type="dxa"/>
          </w:tcPr>
          <w:p w14:paraId="0A1C0206" w14:textId="77777777" w:rsidR="00801304" w:rsidRPr="00F02BC6" w:rsidRDefault="00801304" w:rsidP="00495804">
            <w:pPr>
              <w:rPr>
                <w:color w:val="000000"/>
                <w:sz w:val="20"/>
                <w:szCs w:val="20"/>
                <w:lang w:val="en-US"/>
              </w:rPr>
            </w:pPr>
            <w:r w:rsidRPr="00F02BC6">
              <w:rPr>
                <w:color w:val="000000"/>
                <w:sz w:val="20"/>
                <w:szCs w:val="20"/>
                <w:lang w:val="en-US"/>
              </w:rPr>
              <w:t>≥ 1 refill in 12 months</w:t>
            </w:r>
          </w:p>
        </w:tc>
        <w:tc>
          <w:tcPr>
            <w:tcW w:w="2976" w:type="dxa"/>
          </w:tcPr>
          <w:p w14:paraId="6F8656A6" w14:textId="77777777" w:rsidR="00801304" w:rsidRPr="00F02BC6" w:rsidRDefault="00801304" w:rsidP="00495804">
            <w:pPr>
              <w:rPr>
                <w:color w:val="000000"/>
                <w:sz w:val="20"/>
                <w:szCs w:val="20"/>
                <w:lang w:val="en-US"/>
              </w:rPr>
            </w:pPr>
            <w:r w:rsidRPr="00F02BC6">
              <w:rPr>
                <w:color w:val="000000"/>
                <w:sz w:val="20"/>
                <w:szCs w:val="20"/>
                <w:lang w:val="en-US"/>
              </w:rPr>
              <w:t>Adherence to ICS</w:t>
            </w:r>
          </w:p>
          <w:p w14:paraId="0FB72089" w14:textId="77777777" w:rsidR="00801304" w:rsidRPr="00F02BC6" w:rsidRDefault="00801304" w:rsidP="00495804">
            <w:pPr>
              <w:rPr>
                <w:color w:val="000000"/>
                <w:sz w:val="20"/>
                <w:szCs w:val="20"/>
                <w:lang w:val="en-US"/>
              </w:rPr>
            </w:pPr>
          </w:p>
        </w:tc>
        <w:tc>
          <w:tcPr>
            <w:tcW w:w="2693" w:type="dxa"/>
          </w:tcPr>
          <w:p w14:paraId="7F67CF8E" w14:textId="77777777" w:rsidR="00801304" w:rsidRPr="00F02BC6" w:rsidRDefault="00801304" w:rsidP="00495804">
            <w:pPr>
              <w:rPr>
                <w:color w:val="000000"/>
                <w:sz w:val="20"/>
                <w:szCs w:val="20"/>
                <w:lang w:val="en-US"/>
              </w:rPr>
            </w:pPr>
            <w:r w:rsidRPr="00F02BC6">
              <w:rPr>
                <w:color w:val="000000"/>
                <w:sz w:val="20"/>
                <w:szCs w:val="20"/>
                <w:lang w:val="en-US"/>
              </w:rPr>
              <w:t>Descriptive statistics</w:t>
            </w:r>
          </w:p>
        </w:tc>
        <w:tc>
          <w:tcPr>
            <w:tcW w:w="1559" w:type="dxa"/>
            <w:gridSpan w:val="2"/>
          </w:tcPr>
          <w:p w14:paraId="4C9265BC" w14:textId="77777777" w:rsidR="00801304" w:rsidRPr="00F02BC6" w:rsidRDefault="00801304" w:rsidP="00495804">
            <w:pPr>
              <w:rPr>
                <w:color w:val="000000"/>
                <w:sz w:val="20"/>
                <w:szCs w:val="20"/>
                <w:lang w:val="en-US"/>
              </w:rPr>
            </w:pPr>
            <w:r w:rsidRPr="00F02BC6">
              <w:rPr>
                <w:color w:val="000000"/>
                <w:sz w:val="20"/>
                <w:szCs w:val="20"/>
                <w:lang w:val="en-US"/>
              </w:rPr>
              <w:t>Children; 10.6%</w:t>
            </w:r>
          </w:p>
          <w:p w14:paraId="2755AD8C" w14:textId="77777777" w:rsidR="00801304" w:rsidRPr="00F02BC6" w:rsidRDefault="00801304" w:rsidP="00495804">
            <w:pPr>
              <w:rPr>
                <w:color w:val="000000"/>
                <w:sz w:val="20"/>
                <w:szCs w:val="20"/>
                <w:lang w:val="en-US"/>
              </w:rPr>
            </w:pPr>
            <w:proofErr w:type="gramStart"/>
            <w:r w:rsidRPr="00F02BC6">
              <w:rPr>
                <w:color w:val="000000"/>
                <w:sz w:val="20"/>
                <w:szCs w:val="20"/>
                <w:lang w:val="en-US"/>
              </w:rPr>
              <w:t xml:space="preserve">Adults;   </w:t>
            </w:r>
            <w:proofErr w:type="gramEnd"/>
            <w:r w:rsidRPr="00F02BC6">
              <w:rPr>
                <w:color w:val="000000"/>
                <w:sz w:val="20"/>
                <w:szCs w:val="20"/>
                <w:lang w:val="en-US"/>
              </w:rPr>
              <w:t xml:space="preserve">  30.6%</w:t>
            </w:r>
          </w:p>
        </w:tc>
      </w:tr>
      <w:tr w:rsidR="00801304" w:rsidRPr="00F02BC6" w14:paraId="4EF597FC" w14:textId="77777777" w:rsidTr="005F62B6">
        <w:tc>
          <w:tcPr>
            <w:tcW w:w="2219" w:type="dxa"/>
            <w:tcBorders>
              <w:top w:val="single" w:sz="4" w:space="0" w:color="auto"/>
              <w:bottom w:val="single" w:sz="4" w:space="0" w:color="auto"/>
            </w:tcBorders>
          </w:tcPr>
          <w:p w14:paraId="2F3E3C5A" w14:textId="77777777" w:rsidR="00801304" w:rsidRPr="00F02BC6" w:rsidRDefault="00801304" w:rsidP="00495804">
            <w:pPr>
              <w:rPr>
                <w:b/>
                <w:color w:val="000000"/>
                <w:sz w:val="20"/>
                <w:szCs w:val="20"/>
                <w:lang w:val="en-US"/>
              </w:rPr>
            </w:pPr>
            <w:r w:rsidRPr="00F02BC6">
              <w:rPr>
                <w:b/>
                <w:color w:val="000000"/>
                <w:sz w:val="20"/>
                <w:szCs w:val="20"/>
                <w:lang w:val="en-US"/>
              </w:rPr>
              <w:t>Author</w:t>
            </w:r>
          </w:p>
        </w:tc>
        <w:tc>
          <w:tcPr>
            <w:tcW w:w="1984" w:type="dxa"/>
            <w:tcBorders>
              <w:top w:val="single" w:sz="4" w:space="0" w:color="auto"/>
              <w:bottom w:val="single" w:sz="4" w:space="0" w:color="auto"/>
            </w:tcBorders>
          </w:tcPr>
          <w:p w14:paraId="019E0D55" w14:textId="77777777" w:rsidR="00801304" w:rsidRPr="00F02BC6" w:rsidRDefault="00801304" w:rsidP="00495804">
            <w:pPr>
              <w:rPr>
                <w:b/>
                <w:color w:val="000000"/>
                <w:sz w:val="20"/>
                <w:szCs w:val="20"/>
                <w:lang w:val="en-US"/>
              </w:rPr>
            </w:pPr>
          </w:p>
        </w:tc>
        <w:tc>
          <w:tcPr>
            <w:tcW w:w="1843" w:type="dxa"/>
            <w:tcBorders>
              <w:top w:val="single" w:sz="4" w:space="0" w:color="auto"/>
              <w:bottom w:val="single" w:sz="4" w:space="0" w:color="auto"/>
            </w:tcBorders>
          </w:tcPr>
          <w:p w14:paraId="2772380B" w14:textId="77777777" w:rsidR="00801304" w:rsidRPr="00F02BC6" w:rsidRDefault="00801304" w:rsidP="00495804">
            <w:pPr>
              <w:rPr>
                <w:b/>
                <w:color w:val="000000"/>
                <w:sz w:val="20"/>
                <w:szCs w:val="20"/>
                <w:lang w:val="en-US"/>
              </w:rPr>
            </w:pPr>
            <w:r w:rsidRPr="00F02BC6">
              <w:rPr>
                <w:b/>
                <w:color w:val="000000"/>
                <w:sz w:val="20"/>
                <w:szCs w:val="20"/>
                <w:lang w:val="en-US"/>
              </w:rPr>
              <w:t>Mean Medication Adherence Rate± Standard deviation</w:t>
            </w:r>
          </w:p>
        </w:tc>
        <w:tc>
          <w:tcPr>
            <w:tcW w:w="2127" w:type="dxa"/>
            <w:tcBorders>
              <w:top w:val="single" w:sz="4" w:space="0" w:color="auto"/>
              <w:bottom w:val="single" w:sz="4" w:space="0" w:color="auto"/>
            </w:tcBorders>
          </w:tcPr>
          <w:p w14:paraId="63DCC062" w14:textId="77777777" w:rsidR="00801304" w:rsidRPr="00F02BC6" w:rsidRDefault="00801304" w:rsidP="00495804">
            <w:pPr>
              <w:rPr>
                <w:b/>
                <w:color w:val="000000"/>
                <w:sz w:val="20"/>
                <w:szCs w:val="20"/>
                <w:lang w:val="en-US"/>
              </w:rPr>
            </w:pPr>
            <w:r w:rsidRPr="00F02BC6">
              <w:rPr>
                <w:b/>
                <w:color w:val="000000"/>
                <w:sz w:val="20"/>
                <w:szCs w:val="20"/>
                <w:lang w:val="en-US"/>
              </w:rPr>
              <w:t>Medication Adherence rate Threshold</w:t>
            </w:r>
          </w:p>
        </w:tc>
        <w:tc>
          <w:tcPr>
            <w:tcW w:w="2976" w:type="dxa"/>
            <w:tcBorders>
              <w:top w:val="single" w:sz="4" w:space="0" w:color="auto"/>
              <w:bottom w:val="single" w:sz="4" w:space="0" w:color="auto"/>
            </w:tcBorders>
          </w:tcPr>
          <w:p w14:paraId="26CD5265" w14:textId="77777777" w:rsidR="00801304" w:rsidRPr="00F02BC6" w:rsidRDefault="00801304" w:rsidP="00495804">
            <w:pPr>
              <w:rPr>
                <w:b/>
                <w:color w:val="000000"/>
                <w:sz w:val="20"/>
                <w:szCs w:val="20"/>
                <w:lang w:val="en-US"/>
              </w:rPr>
            </w:pPr>
            <w:r w:rsidRPr="00F02BC6">
              <w:rPr>
                <w:b/>
                <w:color w:val="000000"/>
                <w:sz w:val="20"/>
                <w:szCs w:val="20"/>
                <w:lang w:val="en-US"/>
              </w:rPr>
              <w:t>Probability to reach the targeted clinical outcome with Medication Adherence Threshold (Odds ratios [OR], Hazards ratios [HR] and Confidence Interval [CI])</w:t>
            </w:r>
          </w:p>
        </w:tc>
        <w:tc>
          <w:tcPr>
            <w:tcW w:w="2693" w:type="dxa"/>
            <w:tcBorders>
              <w:top w:val="single" w:sz="4" w:space="0" w:color="auto"/>
              <w:bottom w:val="single" w:sz="4" w:space="0" w:color="auto"/>
            </w:tcBorders>
          </w:tcPr>
          <w:p w14:paraId="2DDEC64F" w14:textId="77777777" w:rsidR="00801304" w:rsidRPr="00F02BC6" w:rsidRDefault="00801304" w:rsidP="00495804">
            <w:pPr>
              <w:rPr>
                <w:b/>
                <w:color w:val="000000"/>
                <w:sz w:val="20"/>
                <w:szCs w:val="20"/>
                <w:lang w:val="en-US"/>
              </w:rPr>
            </w:pPr>
            <w:r w:rsidRPr="00F02BC6">
              <w:rPr>
                <w:b/>
                <w:color w:val="000000"/>
                <w:sz w:val="20"/>
                <w:szCs w:val="20"/>
                <w:lang w:val="en-US"/>
              </w:rPr>
              <w:t>Methods of Threshold Determination</w:t>
            </w:r>
          </w:p>
        </w:tc>
        <w:tc>
          <w:tcPr>
            <w:tcW w:w="1559" w:type="dxa"/>
            <w:gridSpan w:val="2"/>
            <w:tcBorders>
              <w:top w:val="single" w:sz="4" w:space="0" w:color="auto"/>
              <w:bottom w:val="single" w:sz="4" w:space="0" w:color="auto"/>
            </w:tcBorders>
          </w:tcPr>
          <w:p w14:paraId="566A8177" w14:textId="77777777" w:rsidR="00801304" w:rsidRPr="00F02BC6" w:rsidRDefault="00801304" w:rsidP="00495804">
            <w:pPr>
              <w:rPr>
                <w:b/>
                <w:color w:val="000000"/>
                <w:sz w:val="20"/>
                <w:szCs w:val="20"/>
                <w:lang w:val="en-US"/>
              </w:rPr>
            </w:pPr>
            <w:r w:rsidRPr="00F02BC6">
              <w:rPr>
                <w:b/>
                <w:color w:val="000000"/>
                <w:sz w:val="20"/>
                <w:szCs w:val="20"/>
                <w:lang w:val="en-US"/>
              </w:rPr>
              <w:t>Nonadherence Prevalence</w:t>
            </w:r>
          </w:p>
        </w:tc>
      </w:tr>
      <w:tr w:rsidR="00801304" w:rsidRPr="00F02BC6" w14:paraId="25A9C886" w14:textId="77777777" w:rsidTr="005F62B6">
        <w:tc>
          <w:tcPr>
            <w:tcW w:w="2219" w:type="dxa"/>
            <w:tcBorders>
              <w:top w:val="single" w:sz="4" w:space="0" w:color="auto"/>
            </w:tcBorders>
          </w:tcPr>
          <w:p w14:paraId="3ED46BA6" w14:textId="77777777" w:rsidR="00801304" w:rsidRPr="00F02BC6" w:rsidRDefault="00801304" w:rsidP="00495804">
            <w:pPr>
              <w:rPr>
                <w:color w:val="000000"/>
                <w:sz w:val="20"/>
                <w:szCs w:val="20"/>
                <w:lang w:val="en-US"/>
              </w:rPr>
            </w:pPr>
            <w:proofErr w:type="spellStart"/>
            <w:r w:rsidRPr="00F02BC6">
              <w:rPr>
                <w:color w:val="000000"/>
                <w:sz w:val="20"/>
                <w:szCs w:val="20"/>
                <w:lang w:val="en-US"/>
              </w:rPr>
              <w:t>Covvey</w:t>
            </w:r>
            <w:proofErr w:type="spellEnd"/>
            <w:r w:rsidRPr="00F02BC6">
              <w:rPr>
                <w:color w:val="000000"/>
                <w:sz w:val="20"/>
                <w:szCs w:val="20"/>
                <w:lang w:val="en-US"/>
              </w:rPr>
              <w:t xml:space="preserve"> et al</w:t>
            </w:r>
            <w:r w:rsidRPr="00F02BC6">
              <w:rPr>
                <w:color w:val="000000"/>
                <w:sz w:val="20"/>
                <w:szCs w:val="20"/>
                <w:vertAlign w:val="superscript"/>
                <w:lang w:val="en-US"/>
              </w:rPr>
              <w:t xml:space="preserve">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{"citationItems":[{"id":"ITEM-1","itemData":{"DOI":"10.1111/ijcp.12451","ISSN":"17421241","abstract":"Aim To describe and compare adherence and persistence with maintenance therapies in patients with asthma or chronic obstructive pulmonary disease (COPD) in the United Kingdom (UK).\nMethods A retrospective prescribing database cohort was obtained from 44 general practitioner surgeries in National Health Service Forth Valley Scotland. Patients with physician-diagnosed asthma or COPD who received maintenance therapy between January 2008 and December 2009 were included. Five classes of therapy were assessed: inhaled corticosteroids, long-acting beta-agonists, combination therapy inhalers, theophyllines and long-acting muscarinic antagonists. Adherence was calculated using the medication possession ratio (MPR) and persistence was determined using Kaplan-Meier survival analysis for the time to discontinuation (TTD) over 1 year. Two step-wise logistic regressions were performed to assess the contribution of diagnosis to adherence/persistence.\nResults A total of 13,322 patients were included in the analysis: 10,521 patients with asthma and 2801 patients with COPD. 25.2% of medication episodes for asthma and 45.6% of medication episodes for COPD were classified as having an adequate medication supply (MPR of 80-120%). The overall median TTD was 92 days (IQR, interquartile range: 50-186 days) for patients with asthma and 116 days (IQR: 58-259 days, comparison p &lt; 0.001) for patients with COPD. Patients with COPD were found to be more likely to achieve an MPR of at least 80% (OR: 1.27, 95% CI: 1.15-1.40), but had a similar likelihood of persistence at 1 year to patients with asthma.\nConclusion Adherence and persistence with respiratory therapies in the UK is relatively low. There is suggestion that patients with COPD may display more adherent behaviours than patients with asthma. © 2014 John Wiley &amp; Sons Ltd.","author":[{"dropping-particle":"","family":"Covvey","given":"J. R.","non-dropping-particle":"","parse-names":false,"suffix":""},{"dropping-particle":"","family":"Mullen","given":"A. B.","non-dropping-particle":"","parse-names":false,"suffix":""},{"dropping-particle":"","family":"Ryan","given":"M.","non-dropping-particle":"","parse-names":false,"suffix":""},{"dropping-particle":"","family":"Steinke","given":"D. T.","non-dropping-particle":"","parse-names":false,"suffix":""},{"dropping-particle":"","family":"Johnston","given":"B. F.","non-dropping-particle":"","parse-names":false,"suffix":""},{"dropping-particle":"","family":"Wood","given":"F. T.","non-dropping-particle":"","parse-names":false,"suffix":""},{"dropping-particle":"","family":"Boyter","given":"A. C.","non-dropping-particle":"","parse-names":false,"suffix":""}],"container-title":"International Journal of Clinical Practice","id":"ITEM-1","issue":"10","issued":{"date-parts":[["2014"]]},"page":"1200-1208","title":"A comparison of medication adherence/persistence for asthma and chronic obstructive pulmonary disease in the United Kingdom","type":"article-journal","volume":"68"},"uris":["http://www.mendeley.com/documents/?uuid=5cd76942-05a6-43eb-b718-49be49491ab4"]}],"mendeley":{"formattedCitation":"(55)","plainTextFormattedCitation":"(55)","previouslyFormattedCitation":"(55)"},"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(55)</w:t>
            </w:r>
            <w:r w:rsidRPr="00F02BC6">
              <w:rPr>
                <w:color w:val="000000"/>
                <w:sz w:val="20"/>
                <w:szCs w:val="20"/>
                <w:vertAlign w:val="superscript"/>
                <w:lang w:val="en-US"/>
              </w:rPr>
              <w:fldChar w:fldCharType="end"/>
            </w:r>
          </w:p>
        </w:tc>
        <w:tc>
          <w:tcPr>
            <w:tcW w:w="1984" w:type="dxa"/>
            <w:tcBorders>
              <w:top w:val="single" w:sz="4" w:space="0" w:color="auto"/>
            </w:tcBorders>
          </w:tcPr>
          <w:p w14:paraId="7632959E" w14:textId="49477CF7" w:rsidR="00801304" w:rsidRPr="00F02BC6" w:rsidRDefault="00551EF3" w:rsidP="00495804">
            <w:pPr>
              <w:rPr>
                <w:color w:val="000000"/>
                <w:sz w:val="20"/>
                <w:szCs w:val="20"/>
                <w:lang w:val="en-US"/>
              </w:rPr>
            </w:pPr>
            <w:r w:rsidRPr="00F02BC6">
              <w:rPr>
                <w:color w:val="000000"/>
                <w:sz w:val="20"/>
                <w:szCs w:val="20"/>
                <w:lang w:val="en-US"/>
              </w:rPr>
              <w:t xml:space="preserve">Patients with physician diagnosed (GP recorded diagnosis) asthma and </w:t>
            </w:r>
            <w:r w:rsidR="005F62B6" w:rsidRPr="00F02BC6">
              <w:rPr>
                <w:color w:val="000000"/>
                <w:sz w:val="20"/>
                <w:szCs w:val="20"/>
                <w:lang w:val="en-US"/>
              </w:rPr>
              <w:t>COPD,</w:t>
            </w:r>
            <w:r w:rsidRPr="00F02BC6">
              <w:rPr>
                <w:color w:val="000000"/>
                <w:sz w:val="20"/>
                <w:szCs w:val="20"/>
                <w:lang w:val="en-US"/>
              </w:rPr>
              <w:t xml:space="preserve"> having records of at least one prescription </w:t>
            </w:r>
          </w:p>
        </w:tc>
        <w:tc>
          <w:tcPr>
            <w:tcW w:w="1843" w:type="dxa"/>
            <w:tcBorders>
              <w:top w:val="single" w:sz="4" w:space="0" w:color="auto"/>
            </w:tcBorders>
          </w:tcPr>
          <w:p w14:paraId="0DA2D832" w14:textId="77777777" w:rsidR="00801304" w:rsidRPr="00F02BC6" w:rsidRDefault="00801304" w:rsidP="00495804">
            <w:pPr>
              <w:rPr>
                <w:color w:val="000000"/>
                <w:sz w:val="20"/>
                <w:szCs w:val="20"/>
                <w:lang w:val="en-US"/>
              </w:rPr>
            </w:pPr>
            <w:r w:rsidRPr="00F02BC6">
              <w:rPr>
                <w:color w:val="000000"/>
                <w:sz w:val="20"/>
                <w:szCs w:val="20"/>
                <w:lang w:val="en-US"/>
              </w:rPr>
              <w:t>----</w:t>
            </w:r>
          </w:p>
          <w:p w14:paraId="3B4CAB24" w14:textId="77777777" w:rsidR="00801304" w:rsidRPr="00F02BC6" w:rsidRDefault="00801304" w:rsidP="00495804">
            <w:pPr>
              <w:rPr>
                <w:color w:val="000000"/>
                <w:sz w:val="20"/>
                <w:szCs w:val="20"/>
                <w:lang w:val="en-US"/>
              </w:rPr>
            </w:pPr>
          </w:p>
        </w:tc>
        <w:tc>
          <w:tcPr>
            <w:tcW w:w="2127" w:type="dxa"/>
            <w:tcBorders>
              <w:top w:val="single" w:sz="4" w:space="0" w:color="auto"/>
            </w:tcBorders>
          </w:tcPr>
          <w:p w14:paraId="074E47AB" w14:textId="77777777" w:rsidR="00801304" w:rsidRPr="00F02BC6" w:rsidRDefault="00801304" w:rsidP="00495804">
            <w:pPr>
              <w:rPr>
                <w:color w:val="000000"/>
                <w:sz w:val="20"/>
                <w:szCs w:val="20"/>
                <w:lang w:val="en-US"/>
              </w:rPr>
            </w:pPr>
            <w:r w:rsidRPr="00F02BC6">
              <w:rPr>
                <w:color w:val="000000"/>
                <w:sz w:val="20"/>
                <w:szCs w:val="20"/>
                <w:lang w:val="en-US"/>
              </w:rPr>
              <w:t>MPR ≥0.80</w:t>
            </w:r>
          </w:p>
          <w:p w14:paraId="61201873" w14:textId="77777777" w:rsidR="00801304" w:rsidRPr="00F02BC6" w:rsidRDefault="00801304" w:rsidP="00495804">
            <w:pPr>
              <w:rPr>
                <w:color w:val="000000"/>
                <w:sz w:val="20"/>
                <w:szCs w:val="20"/>
                <w:lang w:val="en-US"/>
              </w:rPr>
            </w:pPr>
            <w:r w:rsidRPr="00F02BC6">
              <w:rPr>
                <w:color w:val="000000"/>
                <w:sz w:val="20"/>
                <w:szCs w:val="20"/>
                <w:lang w:val="en-US"/>
              </w:rPr>
              <w:t>MPR&lt;0.80</w:t>
            </w:r>
          </w:p>
        </w:tc>
        <w:tc>
          <w:tcPr>
            <w:tcW w:w="2976" w:type="dxa"/>
            <w:tcBorders>
              <w:top w:val="single" w:sz="4" w:space="0" w:color="auto"/>
            </w:tcBorders>
          </w:tcPr>
          <w:p w14:paraId="2756EFDC" w14:textId="77777777" w:rsidR="00801304" w:rsidRPr="00F02BC6" w:rsidRDefault="00801304" w:rsidP="00495804">
            <w:pPr>
              <w:rPr>
                <w:color w:val="000000"/>
                <w:sz w:val="20"/>
                <w:szCs w:val="20"/>
                <w:lang w:val="en-US"/>
              </w:rPr>
            </w:pPr>
            <w:r w:rsidRPr="00F02BC6">
              <w:rPr>
                <w:color w:val="000000"/>
                <w:sz w:val="20"/>
                <w:szCs w:val="20"/>
                <w:lang w:val="en-US"/>
              </w:rPr>
              <w:t>Adherence to inhaled therapies</w:t>
            </w:r>
          </w:p>
          <w:p w14:paraId="4D3C9CF8" w14:textId="77777777" w:rsidR="00801304" w:rsidRPr="00F02BC6" w:rsidRDefault="00801304" w:rsidP="00495804">
            <w:pPr>
              <w:rPr>
                <w:color w:val="000000"/>
                <w:sz w:val="20"/>
                <w:szCs w:val="20"/>
                <w:lang w:val="en-US"/>
              </w:rPr>
            </w:pPr>
            <w:r w:rsidRPr="00F02BC6">
              <w:rPr>
                <w:color w:val="000000"/>
                <w:sz w:val="20"/>
                <w:szCs w:val="20"/>
                <w:lang w:val="en-US"/>
              </w:rPr>
              <w:t>Persistence to inhaled therapies</w:t>
            </w:r>
          </w:p>
        </w:tc>
        <w:tc>
          <w:tcPr>
            <w:tcW w:w="2693" w:type="dxa"/>
            <w:tcBorders>
              <w:top w:val="single" w:sz="4" w:space="0" w:color="auto"/>
            </w:tcBorders>
          </w:tcPr>
          <w:p w14:paraId="295EABF7" w14:textId="77777777" w:rsidR="00801304" w:rsidRPr="00F02BC6" w:rsidRDefault="00801304" w:rsidP="00495804">
            <w:pPr>
              <w:rPr>
                <w:color w:val="000000"/>
                <w:sz w:val="20"/>
                <w:szCs w:val="20"/>
                <w:lang w:val="en-US"/>
              </w:rPr>
            </w:pPr>
            <w:r w:rsidRPr="00F02BC6">
              <w:rPr>
                <w:color w:val="000000"/>
                <w:sz w:val="20"/>
                <w:szCs w:val="20"/>
                <w:lang w:val="en-US"/>
              </w:rPr>
              <w:t>Binary logistic regression analysis</w:t>
            </w:r>
          </w:p>
          <w:p w14:paraId="2FF7DC5A" w14:textId="77777777" w:rsidR="00801304" w:rsidRPr="00F02BC6" w:rsidRDefault="00801304" w:rsidP="00495804">
            <w:pPr>
              <w:rPr>
                <w:color w:val="000000"/>
                <w:sz w:val="20"/>
                <w:szCs w:val="20"/>
                <w:lang w:val="en-US"/>
              </w:rPr>
            </w:pPr>
            <w:r w:rsidRPr="00F02BC6">
              <w:rPr>
                <w:color w:val="000000"/>
                <w:sz w:val="20"/>
                <w:szCs w:val="20"/>
                <w:lang w:val="en-US"/>
              </w:rPr>
              <w:t xml:space="preserve">Kaplan–Meier Survival analysis </w:t>
            </w:r>
          </w:p>
        </w:tc>
        <w:tc>
          <w:tcPr>
            <w:tcW w:w="1559" w:type="dxa"/>
            <w:gridSpan w:val="2"/>
            <w:tcBorders>
              <w:top w:val="single" w:sz="4" w:space="0" w:color="auto"/>
            </w:tcBorders>
          </w:tcPr>
          <w:p w14:paraId="52CD3652" w14:textId="77777777" w:rsidR="00801304" w:rsidRPr="00F02BC6" w:rsidRDefault="00801304" w:rsidP="00495804">
            <w:pPr>
              <w:rPr>
                <w:color w:val="000000"/>
                <w:sz w:val="20"/>
                <w:szCs w:val="20"/>
                <w:lang w:val="en-US"/>
              </w:rPr>
            </w:pPr>
            <w:r w:rsidRPr="00F02BC6">
              <w:rPr>
                <w:color w:val="000000"/>
                <w:sz w:val="20"/>
                <w:szCs w:val="20"/>
                <w:lang w:val="en-US"/>
              </w:rPr>
              <w:t xml:space="preserve"> 88% (non-persistence)</w:t>
            </w:r>
          </w:p>
        </w:tc>
      </w:tr>
      <w:tr w:rsidR="00801304" w:rsidRPr="00F02BC6" w14:paraId="3990125B" w14:textId="77777777" w:rsidTr="005F62B6">
        <w:tc>
          <w:tcPr>
            <w:tcW w:w="2219" w:type="dxa"/>
          </w:tcPr>
          <w:p w14:paraId="7D7E8342" w14:textId="77777777" w:rsidR="00801304" w:rsidRPr="00F02BC6" w:rsidRDefault="00801304" w:rsidP="00495804">
            <w:pPr>
              <w:rPr>
                <w:color w:val="000000"/>
                <w:sz w:val="20"/>
                <w:szCs w:val="20"/>
                <w:lang w:val="en-US"/>
              </w:rPr>
            </w:pPr>
          </w:p>
        </w:tc>
        <w:tc>
          <w:tcPr>
            <w:tcW w:w="1984" w:type="dxa"/>
          </w:tcPr>
          <w:p w14:paraId="797E7F39" w14:textId="77777777" w:rsidR="00801304" w:rsidRPr="00F02BC6" w:rsidRDefault="00801304" w:rsidP="00495804">
            <w:pPr>
              <w:rPr>
                <w:color w:val="000000"/>
                <w:sz w:val="20"/>
                <w:szCs w:val="20"/>
                <w:lang w:val="en-US"/>
              </w:rPr>
            </w:pPr>
          </w:p>
        </w:tc>
        <w:tc>
          <w:tcPr>
            <w:tcW w:w="1843" w:type="dxa"/>
          </w:tcPr>
          <w:p w14:paraId="04E39E7A" w14:textId="77777777" w:rsidR="00801304" w:rsidRPr="00F02BC6" w:rsidRDefault="00801304" w:rsidP="00495804">
            <w:pPr>
              <w:rPr>
                <w:color w:val="000000"/>
                <w:sz w:val="20"/>
                <w:szCs w:val="20"/>
                <w:lang w:val="en-US"/>
              </w:rPr>
            </w:pPr>
          </w:p>
        </w:tc>
        <w:tc>
          <w:tcPr>
            <w:tcW w:w="2127" w:type="dxa"/>
          </w:tcPr>
          <w:p w14:paraId="2B437009" w14:textId="77777777" w:rsidR="00801304" w:rsidRPr="00F02BC6" w:rsidRDefault="00801304" w:rsidP="00495804">
            <w:pPr>
              <w:rPr>
                <w:color w:val="000000"/>
                <w:sz w:val="20"/>
                <w:szCs w:val="20"/>
                <w:lang w:val="en-US"/>
              </w:rPr>
            </w:pPr>
          </w:p>
        </w:tc>
        <w:tc>
          <w:tcPr>
            <w:tcW w:w="2976" w:type="dxa"/>
          </w:tcPr>
          <w:p w14:paraId="552DC835" w14:textId="77777777" w:rsidR="00801304" w:rsidRPr="00F02BC6" w:rsidRDefault="00801304" w:rsidP="00495804">
            <w:pPr>
              <w:rPr>
                <w:color w:val="000000"/>
                <w:sz w:val="20"/>
                <w:szCs w:val="20"/>
                <w:lang w:val="en-US"/>
              </w:rPr>
            </w:pPr>
          </w:p>
        </w:tc>
        <w:tc>
          <w:tcPr>
            <w:tcW w:w="2693" w:type="dxa"/>
          </w:tcPr>
          <w:p w14:paraId="58668945" w14:textId="77777777" w:rsidR="00801304" w:rsidRPr="00F02BC6" w:rsidRDefault="00801304" w:rsidP="00495804">
            <w:pPr>
              <w:rPr>
                <w:color w:val="000000"/>
                <w:sz w:val="20"/>
                <w:szCs w:val="20"/>
                <w:lang w:val="en-US"/>
              </w:rPr>
            </w:pPr>
          </w:p>
        </w:tc>
        <w:tc>
          <w:tcPr>
            <w:tcW w:w="1559" w:type="dxa"/>
            <w:gridSpan w:val="2"/>
          </w:tcPr>
          <w:p w14:paraId="70AD0B1C" w14:textId="77777777" w:rsidR="00801304" w:rsidRPr="00F02BC6" w:rsidRDefault="00801304" w:rsidP="00495804">
            <w:pPr>
              <w:rPr>
                <w:color w:val="000000"/>
                <w:sz w:val="20"/>
                <w:szCs w:val="20"/>
                <w:lang w:val="en-US"/>
              </w:rPr>
            </w:pPr>
          </w:p>
        </w:tc>
      </w:tr>
      <w:tr w:rsidR="00801304" w:rsidRPr="00F02BC6" w14:paraId="08DFA988" w14:textId="77777777" w:rsidTr="005F62B6">
        <w:tc>
          <w:tcPr>
            <w:tcW w:w="2219" w:type="dxa"/>
          </w:tcPr>
          <w:p w14:paraId="671CF729" w14:textId="77777777" w:rsidR="00801304" w:rsidRPr="00F02BC6" w:rsidRDefault="00801304" w:rsidP="00495804">
            <w:pPr>
              <w:rPr>
                <w:color w:val="000000"/>
                <w:sz w:val="20"/>
                <w:szCs w:val="20"/>
                <w:lang w:val="en-US"/>
              </w:rPr>
            </w:pPr>
            <w:proofErr w:type="spellStart"/>
            <w:r w:rsidRPr="00F02BC6">
              <w:rPr>
                <w:color w:val="000000"/>
                <w:sz w:val="20"/>
                <w:szCs w:val="20"/>
                <w:lang w:val="en-US"/>
              </w:rPr>
              <w:t>Darba</w:t>
            </w:r>
            <w:proofErr w:type="spellEnd"/>
            <w:r w:rsidRPr="00F02BC6">
              <w:rPr>
                <w:color w:val="000000"/>
                <w:sz w:val="20"/>
                <w:szCs w:val="20"/>
                <w:lang w:val="en-US"/>
              </w:rPr>
              <w:t xml:space="preserve">’ et al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{"citationItems":[{"id":"ITEM-1","itemData":{"DOI":"10.2147/PPA.S95303","ISSN":"1177889X","abstract":"Objective: To identify the impact of delivery device of inhaled corticosteroids and long-acting β2-agonist (ICS/LABA) on asthma medication compliance, and investigate other factors associated with compliance. Materials and methods: We conducted a retrospective and multicenter study based on a review of medical registries of asthmatic patients treated with ICS/LABA combinations (n=2,213) whose medical devices were either dry powder inhalers (DPIs, such as Accuhaler®, Turbuhaler®, and NEXThaler®) or pressurized metered-dose inhalers (pMDI). Medication compliance included persistence outcomes through 18 months and medication possession ratios. Data on potential confounders of treatment compliance such as asthma exacerbations, comorbidities, demographic characteristics, and health care resource utilization were also explored. Results: The probability of asthma medication compliance in case of DPIs was lower compared to pMDIs, which suggests that inhaler devices influence inhalation therapies. There were additional confounding factors that were considered as explanatory variables of compliance. A worse measure of airflow obstruction (forced expiration volume in 1 second), comorbidities and general practitioner (GP) consultations more than once per month decreased the probability of compliance. Within comorbidities, alcoholism was positively associated with compliance. Patients of 29–39, 40–50, and 51–61 age groups or suffering from more than two exacerbations during the study period were more likely to comply with their medication regime. The effects of DPIs toward compliance varied with the different DPIs. For instance, Accuhaler® had a greater negative effect on compliance compared to Turbuhaler® and Nexthaler® in cases of patients who suffered exacerbations. We found that GP consultations reduced the probability of medication compliance for patients treated with formoterol/budesonide combination. For retired patients, visiting the GP increased the probability of medication compliance. Conclusion: We concluded that inhaler devices influence patients’ compliance for long-term asthma medication. The impact of Accuhaler®, Turbuhaler®, and NEXThaler® on medication compliance was negative. We also identified some confounders of medication compliance such as patient’s age, severity of asthma, comorbidities, and health care costs.","author":[{"dropping-particle":"","family":"Darbà","given":"Josep","non-dropping-particle":"","parse-names":false,"suffix":""},{"dropping-particle":"","family":"Ramírez","given":"Gabriela","non-dropping-particle":"","parse-names":false,"suffix":""},{"dropping-particle":"","family":"Sicras","given":"Antoni","non-dropping-particle":"","parse-names":false,"suffix":""},{"dropping-particle":"","family":"García-Bujalance","given":"Laura","non-dropping-particle":"","parse-names":false,"suffix":""},{"dropping-particle":"","family":"Torvinen","given":"Saku","non-dropping-particle":"","parse-names":false,"suffix":""},{"dropping-particle":"","family":"Sánchez-De La Rosa","given":"Rainel","non-dropping-particle":"","parse-names":false,"suffix":""}],"container-title":"Patient Preference and Adherence","id":"ITEM-1","issued":{"date-parts":[["2016"]]},"page":"135-145","title":"Identification of factors involved in medication compliance: Incorrect inhaler technique of asthma treatment leads to poor compliance","type":"article-journal","volume":"10"},"uris":["http://www.mendeley.com/documents/?uuid=6a3eafb8-6e82-4e63-9698-e08436fed867"]}],"mendeley":{"formattedCitation":"(27)","plainTextFormattedCitation":"(27)","previouslyFormattedCitation":"(27)"},"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(27)</w:t>
            </w:r>
            <w:r w:rsidRPr="00F02BC6">
              <w:rPr>
                <w:color w:val="000000"/>
                <w:sz w:val="20"/>
                <w:szCs w:val="20"/>
                <w:vertAlign w:val="superscript"/>
                <w:lang w:val="en-US"/>
              </w:rPr>
              <w:fldChar w:fldCharType="end"/>
            </w:r>
          </w:p>
          <w:p w14:paraId="5D42D262" w14:textId="77777777" w:rsidR="00801304" w:rsidRPr="00F02BC6" w:rsidRDefault="00801304" w:rsidP="00495804">
            <w:pPr>
              <w:rPr>
                <w:color w:val="000000"/>
                <w:sz w:val="20"/>
                <w:szCs w:val="20"/>
                <w:lang w:val="en-US"/>
              </w:rPr>
            </w:pPr>
          </w:p>
        </w:tc>
        <w:tc>
          <w:tcPr>
            <w:tcW w:w="1984" w:type="dxa"/>
          </w:tcPr>
          <w:p w14:paraId="678DE86B" w14:textId="706F2216" w:rsidR="00801304" w:rsidRPr="00F02BC6" w:rsidRDefault="00551EF3" w:rsidP="00495804">
            <w:pPr>
              <w:rPr>
                <w:color w:val="000000"/>
                <w:sz w:val="20"/>
                <w:szCs w:val="20"/>
                <w:lang w:val="en-US"/>
              </w:rPr>
            </w:pPr>
            <w:r w:rsidRPr="00F02BC6">
              <w:rPr>
                <w:color w:val="000000"/>
                <w:sz w:val="20"/>
                <w:szCs w:val="20"/>
                <w:lang w:val="en-US"/>
              </w:rPr>
              <w:t>All asthmatic patients who used ICS/LABA in the database.</w:t>
            </w:r>
          </w:p>
        </w:tc>
        <w:tc>
          <w:tcPr>
            <w:tcW w:w="1843" w:type="dxa"/>
          </w:tcPr>
          <w:p w14:paraId="4A1A4383" w14:textId="77777777" w:rsidR="00801304" w:rsidRPr="00F02BC6" w:rsidRDefault="00801304" w:rsidP="00495804">
            <w:pPr>
              <w:rPr>
                <w:color w:val="000000"/>
                <w:sz w:val="20"/>
                <w:szCs w:val="20"/>
                <w:lang w:val="en-US"/>
              </w:rPr>
            </w:pPr>
            <w:r w:rsidRPr="00F02BC6">
              <w:rPr>
                <w:color w:val="000000"/>
                <w:sz w:val="20"/>
                <w:szCs w:val="20"/>
                <w:lang w:val="en-US"/>
              </w:rPr>
              <w:t>----</w:t>
            </w:r>
          </w:p>
        </w:tc>
        <w:tc>
          <w:tcPr>
            <w:tcW w:w="2127" w:type="dxa"/>
          </w:tcPr>
          <w:p w14:paraId="6C9CCEFB" w14:textId="77777777" w:rsidR="00801304" w:rsidRPr="00F02BC6" w:rsidRDefault="00801304" w:rsidP="00495804">
            <w:pPr>
              <w:rPr>
                <w:color w:val="000000"/>
                <w:sz w:val="20"/>
                <w:szCs w:val="20"/>
                <w:lang w:val="en-US"/>
              </w:rPr>
            </w:pPr>
            <w:r w:rsidRPr="00F02BC6">
              <w:rPr>
                <w:color w:val="000000"/>
                <w:sz w:val="20"/>
                <w:szCs w:val="20"/>
                <w:lang w:val="en-US"/>
              </w:rPr>
              <w:t>MPR≥0.80</w:t>
            </w:r>
          </w:p>
        </w:tc>
        <w:tc>
          <w:tcPr>
            <w:tcW w:w="2976" w:type="dxa"/>
          </w:tcPr>
          <w:p w14:paraId="56BD5D95" w14:textId="77777777" w:rsidR="00801304" w:rsidRPr="00F02BC6" w:rsidRDefault="00801304" w:rsidP="00495804">
            <w:pPr>
              <w:rPr>
                <w:color w:val="000000"/>
                <w:sz w:val="20"/>
                <w:szCs w:val="20"/>
                <w:lang w:val="en-US"/>
              </w:rPr>
            </w:pPr>
            <w:r w:rsidRPr="00F02BC6">
              <w:rPr>
                <w:color w:val="000000"/>
                <w:sz w:val="20"/>
                <w:szCs w:val="20"/>
                <w:lang w:val="en-US"/>
              </w:rPr>
              <w:t>-----</w:t>
            </w:r>
          </w:p>
        </w:tc>
        <w:tc>
          <w:tcPr>
            <w:tcW w:w="2693" w:type="dxa"/>
          </w:tcPr>
          <w:p w14:paraId="39BBF445" w14:textId="77777777" w:rsidR="00801304" w:rsidRPr="00F02BC6" w:rsidRDefault="00801304" w:rsidP="00495804">
            <w:pPr>
              <w:rPr>
                <w:color w:val="000000"/>
                <w:sz w:val="20"/>
                <w:szCs w:val="20"/>
                <w:lang w:val="en-US"/>
              </w:rPr>
            </w:pPr>
            <w:r w:rsidRPr="00F02BC6">
              <w:rPr>
                <w:color w:val="000000"/>
                <w:sz w:val="20"/>
                <w:szCs w:val="20"/>
                <w:lang w:val="en-US"/>
              </w:rPr>
              <w:t>Logistic regression</w:t>
            </w:r>
          </w:p>
        </w:tc>
        <w:tc>
          <w:tcPr>
            <w:tcW w:w="1559" w:type="dxa"/>
            <w:gridSpan w:val="2"/>
          </w:tcPr>
          <w:p w14:paraId="7A96DE6B" w14:textId="77777777" w:rsidR="00801304" w:rsidRPr="00F02BC6" w:rsidRDefault="00801304" w:rsidP="00495804">
            <w:pPr>
              <w:rPr>
                <w:color w:val="000000"/>
                <w:sz w:val="20"/>
                <w:szCs w:val="20"/>
                <w:lang w:val="en-US"/>
              </w:rPr>
            </w:pPr>
            <w:r w:rsidRPr="00F02BC6">
              <w:rPr>
                <w:color w:val="000000"/>
                <w:sz w:val="20"/>
                <w:szCs w:val="20"/>
                <w:lang w:val="en-US"/>
              </w:rPr>
              <w:t>-----</w:t>
            </w:r>
          </w:p>
        </w:tc>
      </w:tr>
      <w:tr w:rsidR="00801304" w:rsidRPr="00F02BC6" w14:paraId="2FD8C7AA" w14:textId="77777777" w:rsidTr="005F62B6">
        <w:tc>
          <w:tcPr>
            <w:tcW w:w="2219" w:type="dxa"/>
            <w:tcBorders>
              <w:top w:val="single" w:sz="4" w:space="0" w:color="auto"/>
              <w:bottom w:val="single" w:sz="4" w:space="0" w:color="auto"/>
            </w:tcBorders>
          </w:tcPr>
          <w:p w14:paraId="07778739" w14:textId="77777777" w:rsidR="00801304" w:rsidRPr="00F02BC6" w:rsidRDefault="00801304" w:rsidP="00495804">
            <w:pPr>
              <w:rPr>
                <w:b/>
                <w:color w:val="000000"/>
                <w:sz w:val="20"/>
                <w:szCs w:val="20"/>
                <w:lang w:val="en-US"/>
              </w:rPr>
            </w:pPr>
            <w:r w:rsidRPr="00F02BC6">
              <w:rPr>
                <w:b/>
                <w:color w:val="000000"/>
                <w:sz w:val="20"/>
                <w:szCs w:val="20"/>
                <w:lang w:val="en-US"/>
              </w:rPr>
              <w:t>Author</w:t>
            </w:r>
          </w:p>
        </w:tc>
        <w:tc>
          <w:tcPr>
            <w:tcW w:w="1984" w:type="dxa"/>
            <w:tcBorders>
              <w:top w:val="single" w:sz="4" w:space="0" w:color="auto"/>
              <w:bottom w:val="single" w:sz="4" w:space="0" w:color="auto"/>
            </w:tcBorders>
          </w:tcPr>
          <w:p w14:paraId="0F8B4DC2" w14:textId="77777777" w:rsidR="00801304" w:rsidRPr="00F02BC6" w:rsidRDefault="00801304" w:rsidP="00495804">
            <w:pPr>
              <w:rPr>
                <w:b/>
                <w:color w:val="000000"/>
                <w:sz w:val="20"/>
                <w:szCs w:val="20"/>
                <w:lang w:val="en-US"/>
              </w:rPr>
            </w:pPr>
          </w:p>
        </w:tc>
        <w:tc>
          <w:tcPr>
            <w:tcW w:w="1843" w:type="dxa"/>
            <w:tcBorders>
              <w:top w:val="single" w:sz="4" w:space="0" w:color="auto"/>
              <w:bottom w:val="single" w:sz="4" w:space="0" w:color="auto"/>
            </w:tcBorders>
          </w:tcPr>
          <w:p w14:paraId="6E32B9DB" w14:textId="77777777" w:rsidR="00801304" w:rsidRPr="00F02BC6" w:rsidRDefault="00801304" w:rsidP="00495804">
            <w:pPr>
              <w:rPr>
                <w:b/>
                <w:color w:val="000000"/>
                <w:sz w:val="20"/>
                <w:szCs w:val="20"/>
                <w:lang w:val="en-US"/>
              </w:rPr>
            </w:pPr>
            <w:r w:rsidRPr="00F02BC6">
              <w:rPr>
                <w:b/>
                <w:color w:val="000000"/>
                <w:sz w:val="20"/>
                <w:szCs w:val="20"/>
                <w:lang w:val="en-US"/>
              </w:rPr>
              <w:t>Mean Medication Adherence Rate± Standard deviation</w:t>
            </w:r>
          </w:p>
        </w:tc>
        <w:tc>
          <w:tcPr>
            <w:tcW w:w="2127" w:type="dxa"/>
            <w:tcBorders>
              <w:top w:val="single" w:sz="4" w:space="0" w:color="auto"/>
              <w:bottom w:val="single" w:sz="4" w:space="0" w:color="auto"/>
            </w:tcBorders>
          </w:tcPr>
          <w:p w14:paraId="2B10F11C" w14:textId="77777777" w:rsidR="00801304" w:rsidRPr="00F02BC6" w:rsidRDefault="00801304" w:rsidP="00495804">
            <w:pPr>
              <w:rPr>
                <w:b/>
                <w:color w:val="000000"/>
                <w:sz w:val="20"/>
                <w:szCs w:val="20"/>
                <w:lang w:val="en-US"/>
              </w:rPr>
            </w:pPr>
            <w:r w:rsidRPr="00F02BC6">
              <w:rPr>
                <w:b/>
                <w:color w:val="000000"/>
                <w:sz w:val="20"/>
                <w:szCs w:val="20"/>
                <w:lang w:val="en-US"/>
              </w:rPr>
              <w:t>Medication Adherence rate Threshold</w:t>
            </w:r>
          </w:p>
        </w:tc>
        <w:tc>
          <w:tcPr>
            <w:tcW w:w="2976" w:type="dxa"/>
            <w:tcBorders>
              <w:top w:val="single" w:sz="4" w:space="0" w:color="auto"/>
              <w:bottom w:val="single" w:sz="4" w:space="0" w:color="auto"/>
            </w:tcBorders>
          </w:tcPr>
          <w:p w14:paraId="43FE7E09" w14:textId="77777777" w:rsidR="00801304" w:rsidRPr="00F02BC6" w:rsidRDefault="00801304" w:rsidP="00495804">
            <w:pPr>
              <w:rPr>
                <w:b/>
                <w:color w:val="000000"/>
                <w:sz w:val="20"/>
                <w:szCs w:val="20"/>
                <w:lang w:val="en-US"/>
              </w:rPr>
            </w:pPr>
            <w:r w:rsidRPr="00F02BC6">
              <w:rPr>
                <w:b/>
                <w:color w:val="000000"/>
                <w:sz w:val="20"/>
                <w:szCs w:val="20"/>
                <w:lang w:val="en-US"/>
              </w:rPr>
              <w:t>Probability to reach the targeted clinical outcome with Medication Adherence Threshold (Odds ratios [OR], Hazards ratios [HR] and Confidence Interval [CI])</w:t>
            </w:r>
          </w:p>
        </w:tc>
        <w:tc>
          <w:tcPr>
            <w:tcW w:w="2693" w:type="dxa"/>
            <w:tcBorders>
              <w:top w:val="single" w:sz="4" w:space="0" w:color="auto"/>
              <w:bottom w:val="single" w:sz="4" w:space="0" w:color="auto"/>
            </w:tcBorders>
          </w:tcPr>
          <w:p w14:paraId="15360852" w14:textId="77777777" w:rsidR="00801304" w:rsidRPr="00F02BC6" w:rsidRDefault="00801304" w:rsidP="00495804">
            <w:pPr>
              <w:rPr>
                <w:b/>
                <w:color w:val="000000"/>
                <w:sz w:val="20"/>
                <w:szCs w:val="20"/>
                <w:lang w:val="en-US"/>
              </w:rPr>
            </w:pPr>
            <w:r w:rsidRPr="00F02BC6">
              <w:rPr>
                <w:b/>
                <w:color w:val="000000"/>
                <w:sz w:val="20"/>
                <w:szCs w:val="20"/>
                <w:lang w:val="en-US"/>
              </w:rPr>
              <w:t>Methods of Threshold Determination</w:t>
            </w:r>
          </w:p>
        </w:tc>
        <w:tc>
          <w:tcPr>
            <w:tcW w:w="1559" w:type="dxa"/>
            <w:gridSpan w:val="2"/>
            <w:tcBorders>
              <w:top w:val="single" w:sz="4" w:space="0" w:color="auto"/>
              <w:bottom w:val="single" w:sz="4" w:space="0" w:color="auto"/>
            </w:tcBorders>
          </w:tcPr>
          <w:p w14:paraId="54E9FE97" w14:textId="77777777" w:rsidR="00801304" w:rsidRPr="00F02BC6" w:rsidRDefault="00801304" w:rsidP="00495804">
            <w:pPr>
              <w:rPr>
                <w:b/>
                <w:color w:val="000000"/>
                <w:sz w:val="20"/>
                <w:szCs w:val="20"/>
                <w:lang w:val="en-US"/>
              </w:rPr>
            </w:pPr>
            <w:r w:rsidRPr="00F02BC6">
              <w:rPr>
                <w:b/>
                <w:color w:val="000000"/>
                <w:sz w:val="20"/>
                <w:szCs w:val="20"/>
                <w:lang w:val="en-US"/>
              </w:rPr>
              <w:t>Nonadherence Prevalence</w:t>
            </w:r>
          </w:p>
        </w:tc>
      </w:tr>
      <w:tr w:rsidR="00801304" w:rsidRPr="00F02BC6" w14:paraId="5EE0B657" w14:textId="77777777" w:rsidTr="005F62B6">
        <w:tc>
          <w:tcPr>
            <w:tcW w:w="2219" w:type="dxa"/>
            <w:tcBorders>
              <w:top w:val="single" w:sz="4" w:space="0" w:color="auto"/>
            </w:tcBorders>
          </w:tcPr>
          <w:p w14:paraId="2A70924F" w14:textId="77777777" w:rsidR="00801304" w:rsidRPr="00F02BC6" w:rsidRDefault="00801304" w:rsidP="00495804">
            <w:pPr>
              <w:rPr>
                <w:color w:val="000000"/>
                <w:sz w:val="20"/>
                <w:szCs w:val="20"/>
                <w:lang w:val="en-US"/>
              </w:rPr>
            </w:pPr>
            <w:proofErr w:type="spellStart"/>
            <w:r w:rsidRPr="00F02BC6">
              <w:rPr>
                <w:color w:val="000000"/>
                <w:sz w:val="20"/>
                <w:szCs w:val="20"/>
                <w:lang w:val="en-US"/>
              </w:rPr>
              <w:t>D’Ancona</w:t>
            </w:r>
            <w:proofErr w:type="spellEnd"/>
            <w:r w:rsidRPr="00F02BC6">
              <w:rPr>
                <w:color w:val="000000"/>
                <w:sz w:val="20"/>
                <w:szCs w:val="20"/>
                <w:lang w:val="en-US"/>
              </w:rPr>
              <w:t xml:space="preserve"> et al</w:t>
            </w:r>
            <w:r w:rsidRPr="00F02BC6">
              <w:rPr>
                <w:color w:val="000000"/>
                <w:sz w:val="20"/>
                <w:szCs w:val="20"/>
                <w:vertAlign w:val="superscript"/>
                <w:lang w:val="en-US"/>
              </w:rPr>
              <w:t xml:space="preserve">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{"citationItems":[{"id":"ITEM-1","itemData":{"DOI":"10.1183/13993003.02259-2019","ISSN":"0903-1936","PMID":"32060061","abstract":"INTRODUCTION Inhaled corticosteroids (ICS) achieve disease control in the majority of asthmatics, although adherence to prescribed ICS is often poor. Patients with severe eosinophilic asthma (SEA) may require treatment with oral corticosteroids (OCS) and/or biologic agents such as mepolizumab. It is unknown if ICS adherence changes on, or alters clinical response to, biologic therapy. METHODS We examined ICS adherence and clinical outcomes in OCS-dependent SEA patients who completed 1 year of mepolizumab therapy. The ICS Medicines Possession Ratio was calculated (MPR; the number of doses of ICS issued on prescription/expected number) for the year before and the year after biologic initiation. Good adherence was defined as MPR&gt;0.75, intermediate: 0.74-0.51 and poor: &lt;0.5. We examined outcomes after 12 months of biologic therapy, including OCS reduction and annualised exacerbation rate (AER), stratified by adherence to ICS on mepolizumab. RESULTS Of 109 patients commencing mepolizumab, 91 who had completed 12 months of treatment were included in the final analysis. Whilst receiving mepolizumab, 68% had good ICS adherence, with 16(18%) having poor ICS adherence. ICS use within the cohort remained similar before (MPR 0.81±0.32) and on mepolizumab (0.82±0.32;p=0.78). Patients with good adherence had greater reductions in OCS dose (median percentage OCS reduction 100(IQR 74-100) versus 60(IQR 27-100);p=0.031) and exacerbations (AER change -2.1±3.1 versus 0.3±2.5;p=0.011) than those with poor adherence. Good ICS adherence predicted the likelihood of stopping maintenance OCS (adjusted OR 3.19;95%CI 1.02-9.94;p=0.045). CONCLUSION ICS non-adherence is common in SEA patients receiving mepolizumab, and is associated with a lesser reduction in OCS requirements and AER.","author":[{"dropping-particle":"","family":"D'Ancona","given":"Gráinne","non-dropping-particle":"","parse-names":false,"suffix":""},{"dropping-particle":"","family":"Kavanagh","given":"Joanne","non-dropping-particle":"","parse-names":false,"suffix":""},{"dropping-particle":"","family":"Roxas","given":"Cris","non-dropping-particle":"","parse-names":false,"suffix":""},{"dropping-particle":"","family":"Green","given":"Linda","non-dropping-particle":"","parse-names":false,"suffix":""},{"dropping-particle":"","family":"Fernandes","given":"Mariana","non-dropping-particle":"","parse-names":false,"suffix":""},{"dropping-particle":"","family":"Thomson","given":"Louise","non-dropping-particle":"","parse-names":false,"suffix":""},{"dropping-particle":"","family":"Dhariwal","given":"Jaideep","non-dropping-particle":"","parse-names":false,"suffix":""},{"dropping-particle":"","family":"Nanzer","given":"Alexandra M.","non-dropping-particle":"","parse-names":false,"suffix":""},{"dropping-particle":"","family":"Jackson","given":"David J.","non-dropping-particle":"","parse-names":false,"suffix":""},{"dropping-particle":"","family":"Kent","given":"Brian D.","non-dropping-particle":"","parse-names":false,"suffix":""}],"container-title":"European Respiratory Journal","id":"ITEM-1","issued":{"date-parts":[["2020"]]},"page":"1-7","title":"Adherence to Inhaled Corticosteroids and Clinical Outcomes in Mepolizumab Therapy for Severe Asthma","type":"article-journal","volume":"55"},"uris":["http://www.mendeley.com/documents/?uuid=d6208da8-4362-401e-90d4-73e33b8a53cf"]}],"mendeley":{"formattedCitation":"(56)","plainTextFormattedCitation":"(56)","previouslyFormattedCitation":"(56)"},"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(56)</w:t>
            </w:r>
            <w:r w:rsidRPr="00F02BC6">
              <w:rPr>
                <w:color w:val="000000"/>
                <w:sz w:val="20"/>
                <w:szCs w:val="20"/>
                <w:vertAlign w:val="superscript"/>
                <w:lang w:val="en-US"/>
              </w:rPr>
              <w:fldChar w:fldCharType="end"/>
            </w:r>
          </w:p>
        </w:tc>
        <w:tc>
          <w:tcPr>
            <w:tcW w:w="1984" w:type="dxa"/>
            <w:tcBorders>
              <w:top w:val="single" w:sz="4" w:space="0" w:color="auto"/>
            </w:tcBorders>
          </w:tcPr>
          <w:p w14:paraId="3BA9BA77" w14:textId="6908BFAD" w:rsidR="00801304" w:rsidRPr="00F02BC6" w:rsidRDefault="00551EF3" w:rsidP="00495804">
            <w:pPr>
              <w:rPr>
                <w:color w:val="000000"/>
                <w:sz w:val="20"/>
                <w:szCs w:val="20"/>
                <w:lang w:val="en-US"/>
              </w:rPr>
            </w:pPr>
            <w:r w:rsidRPr="00F02BC6">
              <w:rPr>
                <w:color w:val="000000"/>
                <w:sz w:val="20"/>
                <w:szCs w:val="20"/>
                <w:lang w:val="en-US"/>
              </w:rPr>
              <w:t>Patients with confirmed severe asthma requiring at least 5mg prednisolone daily for at least 6months and having peripheral blood eosinophil count of at least 300 cells.</w:t>
            </w:r>
            <w:r w:rsidRPr="00F02BC6">
              <w:rPr>
                <w:color w:val="000000"/>
                <w:sz w:val="20"/>
                <w:szCs w:val="20"/>
                <w:lang w:val="en-US"/>
              </w:rPr>
              <w:sym w:font="Symbol" w:char="F06D"/>
            </w:r>
            <w:r w:rsidRPr="00F02BC6">
              <w:rPr>
                <w:color w:val="000000"/>
                <w:sz w:val="20"/>
                <w:szCs w:val="20"/>
                <w:lang w:val="en-US"/>
              </w:rPr>
              <w:t>L</w:t>
            </w:r>
            <w:r w:rsidRPr="00F02BC6">
              <w:rPr>
                <w:color w:val="000000"/>
                <w:sz w:val="20"/>
                <w:szCs w:val="20"/>
                <w:vertAlign w:val="superscript"/>
                <w:lang w:val="en-US"/>
              </w:rPr>
              <w:t>-</w:t>
            </w:r>
            <w:proofErr w:type="gramStart"/>
            <w:r w:rsidRPr="00F02BC6">
              <w:rPr>
                <w:color w:val="000000"/>
                <w:sz w:val="20"/>
                <w:szCs w:val="20"/>
                <w:vertAlign w:val="superscript"/>
                <w:lang w:val="en-US"/>
              </w:rPr>
              <w:t xml:space="preserve">1 </w:t>
            </w:r>
            <w:r w:rsidRPr="00F02BC6">
              <w:rPr>
                <w:color w:val="000000"/>
                <w:sz w:val="20"/>
                <w:szCs w:val="20"/>
                <w:lang w:val="en-US"/>
              </w:rPr>
              <w:t>.</w:t>
            </w:r>
            <w:proofErr w:type="gramEnd"/>
            <w:r w:rsidRPr="00F02BC6">
              <w:rPr>
                <w:color w:val="000000"/>
                <w:sz w:val="20"/>
                <w:szCs w:val="20"/>
                <w:lang w:val="en-US"/>
              </w:rPr>
              <w:t xml:space="preserve"> </w:t>
            </w:r>
          </w:p>
        </w:tc>
        <w:tc>
          <w:tcPr>
            <w:tcW w:w="1843" w:type="dxa"/>
            <w:tcBorders>
              <w:top w:val="single" w:sz="4" w:space="0" w:color="auto"/>
            </w:tcBorders>
          </w:tcPr>
          <w:p w14:paraId="796331EE" w14:textId="77777777" w:rsidR="00801304" w:rsidRPr="00F02BC6" w:rsidRDefault="00801304" w:rsidP="00495804">
            <w:pPr>
              <w:rPr>
                <w:color w:val="000000"/>
                <w:sz w:val="20"/>
                <w:szCs w:val="20"/>
                <w:lang w:val="en-US"/>
              </w:rPr>
            </w:pPr>
            <w:r w:rsidRPr="00F02BC6">
              <w:rPr>
                <w:color w:val="000000"/>
                <w:sz w:val="20"/>
                <w:szCs w:val="20"/>
                <w:lang w:val="en-US"/>
              </w:rPr>
              <w:t>0.82±0.32</w:t>
            </w:r>
          </w:p>
        </w:tc>
        <w:tc>
          <w:tcPr>
            <w:tcW w:w="2127" w:type="dxa"/>
            <w:tcBorders>
              <w:top w:val="single" w:sz="4" w:space="0" w:color="auto"/>
            </w:tcBorders>
          </w:tcPr>
          <w:p w14:paraId="6D7F7B55" w14:textId="77777777" w:rsidR="00801304" w:rsidRPr="00F02BC6" w:rsidRDefault="00801304" w:rsidP="00495804">
            <w:pPr>
              <w:rPr>
                <w:color w:val="000000"/>
                <w:sz w:val="20"/>
                <w:szCs w:val="20"/>
                <w:lang w:val="en-US"/>
              </w:rPr>
            </w:pPr>
            <w:r w:rsidRPr="00F02BC6">
              <w:rPr>
                <w:color w:val="000000"/>
                <w:sz w:val="20"/>
                <w:szCs w:val="20"/>
                <w:lang w:val="en-US"/>
              </w:rPr>
              <w:t>MPR &lt;0.5 (poor)</w:t>
            </w:r>
          </w:p>
          <w:p w14:paraId="4EAB6018" w14:textId="77777777" w:rsidR="00801304" w:rsidRPr="00F02BC6" w:rsidRDefault="00801304" w:rsidP="00495804">
            <w:pPr>
              <w:rPr>
                <w:color w:val="000000"/>
                <w:sz w:val="20"/>
                <w:szCs w:val="20"/>
                <w:lang w:val="en-US"/>
              </w:rPr>
            </w:pPr>
            <w:r w:rsidRPr="00F02BC6">
              <w:rPr>
                <w:color w:val="000000"/>
                <w:sz w:val="20"/>
                <w:szCs w:val="20"/>
                <w:lang w:val="en-US"/>
              </w:rPr>
              <w:t>0.5 – 0.74 (intermediate)</w:t>
            </w:r>
          </w:p>
          <w:p w14:paraId="1F924812" w14:textId="77777777" w:rsidR="00801304" w:rsidRPr="00F02BC6" w:rsidRDefault="00801304" w:rsidP="00495804">
            <w:pPr>
              <w:rPr>
                <w:color w:val="000000"/>
                <w:sz w:val="20"/>
                <w:szCs w:val="20"/>
                <w:lang w:val="en-US"/>
              </w:rPr>
            </w:pPr>
            <w:r w:rsidRPr="00F02BC6">
              <w:rPr>
                <w:rFonts w:ascii="Cambria Math" w:hAnsi="Cambria Math" w:cs="Cambria Math"/>
                <w:color w:val="000000"/>
                <w:sz w:val="20"/>
                <w:szCs w:val="20"/>
                <w:lang w:val="en-US"/>
              </w:rPr>
              <w:t>⩾</w:t>
            </w:r>
            <w:r w:rsidRPr="00F02BC6">
              <w:rPr>
                <w:color w:val="000000"/>
                <w:sz w:val="20"/>
                <w:szCs w:val="20"/>
                <w:lang w:val="en-US"/>
              </w:rPr>
              <w:t>0.75 (good)</w:t>
            </w:r>
          </w:p>
        </w:tc>
        <w:tc>
          <w:tcPr>
            <w:tcW w:w="2976" w:type="dxa"/>
            <w:tcBorders>
              <w:top w:val="single" w:sz="4" w:space="0" w:color="auto"/>
            </w:tcBorders>
          </w:tcPr>
          <w:p w14:paraId="49E39BBA" w14:textId="77777777" w:rsidR="00801304" w:rsidRPr="00F02BC6" w:rsidRDefault="00801304" w:rsidP="00495804">
            <w:pPr>
              <w:autoSpaceDE w:val="0"/>
              <w:autoSpaceDN w:val="0"/>
              <w:adjustRightInd w:val="0"/>
              <w:rPr>
                <w:color w:val="000000"/>
                <w:sz w:val="18"/>
                <w:szCs w:val="18"/>
                <w:lang w:val="en-US"/>
              </w:rPr>
            </w:pPr>
            <w:r w:rsidRPr="00F02BC6">
              <w:rPr>
                <w:color w:val="000000"/>
                <w:sz w:val="18"/>
                <w:szCs w:val="18"/>
                <w:lang w:val="en-US"/>
              </w:rPr>
              <w:t xml:space="preserve">OCS dose reductions </w:t>
            </w:r>
          </w:p>
          <w:p w14:paraId="3BDA0975" w14:textId="77777777" w:rsidR="00801304" w:rsidRPr="00F02BC6" w:rsidRDefault="00801304" w:rsidP="00495804">
            <w:pPr>
              <w:autoSpaceDE w:val="0"/>
              <w:autoSpaceDN w:val="0"/>
              <w:adjustRightInd w:val="0"/>
              <w:rPr>
                <w:color w:val="000000"/>
                <w:sz w:val="18"/>
                <w:szCs w:val="18"/>
                <w:lang w:val="en-US"/>
              </w:rPr>
            </w:pPr>
            <w:r w:rsidRPr="00F02BC6">
              <w:rPr>
                <w:color w:val="000000"/>
                <w:sz w:val="18"/>
                <w:szCs w:val="18"/>
                <w:lang w:val="en-US"/>
              </w:rPr>
              <w:t>(100 vs 60, p=0.031)</w:t>
            </w:r>
          </w:p>
          <w:p w14:paraId="36A9B402" w14:textId="77777777" w:rsidR="00801304" w:rsidRPr="00F02BC6" w:rsidRDefault="00801304" w:rsidP="00495804">
            <w:pPr>
              <w:autoSpaceDE w:val="0"/>
              <w:autoSpaceDN w:val="0"/>
              <w:adjustRightInd w:val="0"/>
              <w:rPr>
                <w:color w:val="000000"/>
                <w:sz w:val="18"/>
                <w:szCs w:val="18"/>
                <w:lang w:val="en-US"/>
              </w:rPr>
            </w:pPr>
            <w:r w:rsidRPr="00F02BC6">
              <w:rPr>
                <w:color w:val="000000"/>
                <w:sz w:val="18"/>
                <w:szCs w:val="18"/>
                <w:lang w:val="en-US"/>
              </w:rPr>
              <w:t xml:space="preserve">AER change </w:t>
            </w:r>
          </w:p>
          <w:p w14:paraId="276B76C9" w14:textId="77777777" w:rsidR="00801304" w:rsidRPr="00F02BC6" w:rsidRDefault="00801304" w:rsidP="00495804">
            <w:pPr>
              <w:autoSpaceDE w:val="0"/>
              <w:autoSpaceDN w:val="0"/>
              <w:adjustRightInd w:val="0"/>
              <w:rPr>
                <w:color w:val="000000"/>
                <w:sz w:val="18"/>
                <w:szCs w:val="18"/>
                <w:lang w:val="en-US"/>
              </w:rPr>
            </w:pPr>
            <w:r w:rsidRPr="00F02BC6">
              <w:rPr>
                <w:color w:val="000000"/>
                <w:sz w:val="18"/>
                <w:szCs w:val="18"/>
                <w:lang w:val="en-US"/>
              </w:rPr>
              <w:t>(−2.1 ± 3.1 vs 0.3 ± 2.5; p = 0.011)</w:t>
            </w:r>
          </w:p>
          <w:p w14:paraId="60B8D07D" w14:textId="77777777" w:rsidR="00801304" w:rsidRPr="00F02BC6" w:rsidRDefault="00801304" w:rsidP="00495804">
            <w:pPr>
              <w:autoSpaceDE w:val="0"/>
              <w:autoSpaceDN w:val="0"/>
              <w:adjustRightInd w:val="0"/>
              <w:rPr>
                <w:color w:val="000000"/>
                <w:sz w:val="18"/>
                <w:szCs w:val="18"/>
                <w:lang w:val="en-US"/>
              </w:rPr>
            </w:pPr>
            <w:r w:rsidRPr="00F02BC6">
              <w:rPr>
                <w:color w:val="000000"/>
                <w:sz w:val="18"/>
                <w:szCs w:val="18"/>
                <w:lang w:val="en-US"/>
              </w:rPr>
              <w:t xml:space="preserve">Stopping maintenance OCS </w:t>
            </w:r>
          </w:p>
          <w:p w14:paraId="2D233296" w14:textId="77777777" w:rsidR="00801304" w:rsidRPr="00F02BC6" w:rsidRDefault="00801304" w:rsidP="00495804">
            <w:pPr>
              <w:autoSpaceDE w:val="0"/>
              <w:autoSpaceDN w:val="0"/>
              <w:adjustRightInd w:val="0"/>
              <w:rPr>
                <w:rFonts w:ascii="AdvOT1ef757c0" w:hAnsi="AdvOT1ef757c0" w:cs="AdvOT1ef757c0"/>
                <w:color w:val="000000"/>
                <w:sz w:val="18"/>
                <w:szCs w:val="18"/>
                <w:lang w:val="en-US"/>
              </w:rPr>
            </w:pPr>
            <w:r w:rsidRPr="00F02BC6">
              <w:rPr>
                <w:color w:val="000000"/>
                <w:sz w:val="18"/>
                <w:szCs w:val="18"/>
                <w:lang w:val="en-US"/>
              </w:rPr>
              <w:t xml:space="preserve">(Adjusted OR 3.19, 95% CI 1.02–9.94; </w:t>
            </w:r>
            <w:r w:rsidRPr="00F02BC6">
              <w:rPr>
                <w:i/>
                <w:iCs/>
                <w:color w:val="000000"/>
                <w:sz w:val="18"/>
                <w:szCs w:val="18"/>
                <w:lang w:val="en-US"/>
              </w:rPr>
              <w:t>p</w:t>
            </w:r>
            <w:r w:rsidRPr="00F02BC6">
              <w:rPr>
                <w:color w:val="000000"/>
                <w:sz w:val="18"/>
                <w:szCs w:val="18"/>
                <w:lang w:val="en-US"/>
              </w:rPr>
              <w:t xml:space="preserve">=0.045). </w:t>
            </w:r>
          </w:p>
        </w:tc>
        <w:tc>
          <w:tcPr>
            <w:tcW w:w="2693" w:type="dxa"/>
            <w:tcBorders>
              <w:top w:val="single" w:sz="4" w:space="0" w:color="auto"/>
            </w:tcBorders>
          </w:tcPr>
          <w:p w14:paraId="3A5882E7" w14:textId="77777777" w:rsidR="00801304" w:rsidRPr="00F02BC6" w:rsidRDefault="00801304" w:rsidP="00495804">
            <w:pPr>
              <w:rPr>
                <w:color w:val="000000"/>
                <w:sz w:val="20"/>
                <w:szCs w:val="20"/>
                <w:lang w:val="en-US"/>
              </w:rPr>
            </w:pPr>
            <w:r w:rsidRPr="00F02BC6">
              <w:rPr>
                <w:color w:val="000000"/>
                <w:sz w:val="20"/>
                <w:szCs w:val="20"/>
                <w:lang w:val="en-US"/>
              </w:rPr>
              <w:t>Descriptive statistics</w:t>
            </w:r>
          </w:p>
          <w:p w14:paraId="70A2ACA9" w14:textId="77777777" w:rsidR="00801304" w:rsidRPr="00F02BC6" w:rsidRDefault="00801304" w:rsidP="00495804">
            <w:pPr>
              <w:rPr>
                <w:color w:val="000000"/>
                <w:sz w:val="20"/>
                <w:szCs w:val="20"/>
                <w:lang w:val="en-US"/>
              </w:rPr>
            </w:pPr>
            <w:r w:rsidRPr="00F02BC6">
              <w:rPr>
                <w:color w:val="000000"/>
                <w:sz w:val="20"/>
                <w:szCs w:val="20"/>
                <w:lang w:val="en-US"/>
              </w:rPr>
              <w:t>Linear regression analysis</w:t>
            </w:r>
          </w:p>
        </w:tc>
        <w:tc>
          <w:tcPr>
            <w:tcW w:w="1559" w:type="dxa"/>
            <w:gridSpan w:val="2"/>
            <w:tcBorders>
              <w:top w:val="single" w:sz="4" w:space="0" w:color="auto"/>
            </w:tcBorders>
          </w:tcPr>
          <w:p w14:paraId="2BC6B9F2" w14:textId="77777777" w:rsidR="00801304" w:rsidRPr="00F02BC6" w:rsidRDefault="00801304" w:rsidP="00495804">
            <w:pPr>
              <w:rPr>
                <w:color w:val="000000"/>
                <w:sz w:val="20"/>
                <w:szCs w:val="20"/>
                <w:lang w:val="en-US"/>
              </w:rPr>
            </w:pPr>
            <w:r w:rsidRPr="00F02BC6">
              <w:rPr>
                <w:color w:val="000000"/>
                <w:sz w:val="20"/>
                <w:szCs w:val="20"/>
                <w:lang w:val="en-US"/>
              </w:rPr>
              <w:t>32% (suboptimal adherence)</w:t>
            </w:r>
          </w:p>
          <w:p w14:paraId="01D837C8" w14:textId="77777777" w:rsidR="00801304" w:rsidRPr="00F02BC6" w:rsidRDefault="00801304" w:rsidP="00495804">
            <w:pPr>
              <w:rPr>
                <w:color w:val="000000"/>
                <w:sz w:val="20"/>
                <w:szCs w:val="20"/>
                <w:lang w:val="en-US"/>
              </w:rPr>
            </w:pPr>
            <w:r w:rsidRPr="00F02BC6">
              <w:rPr>
                <w:color w:val="000000"/>
                <w:sz w:val="20"/>
                <w:szCs w:val="20"/>
                <w:lang w:val="en-US"/>
              </w:rPr>
              <w:t>16% (poor adherence)</w:t>
            </w:r>
          </w:p>
        </w:tc>
      </w:tr>
      <w:tr w:rsidR="00801304" w:rsidRPr="00F02BC6" w14:paraId="19BE5376" w14:textId="77777777" w:rsidTr="005F62B6">
        <w:tc>
          <w:tcPr>
            <w:tcW w:w="2219" w:type="dxa"/>
          </w:tcPr>
          <w:p w14:paraId="6DC01AC5" w14:textId="77777777" w:rsidR="00801304" w:rsidRPr="00F02BC6" w:rsidRDefault="00801304" w:rsidP="00495804">
            <w:pPr>
              <w:rPr>
                <w:color w:val="000000"/>
                <w:sz w:val="20"/>
                <w:szCs w:val="20"/>
                <w:lang w:val="en-US"/>
              </w:rPr>
            </w:pPr>
          </w:p>
        </w:tc>
        <w:tc>
          <w:tcPr>
            <w:tcW w:w="1984" w:type="dxa"/>
          </w:tcPr>
          <w:p w14:paraId="7DCFEF60" w14:textId="77777777" w:rsidR="00801304" w:rsidRPr="00F02BC6" w:rsidRDefault="00801304" w:rsidP="00495804">
            <w:pPr>
              <w:rPr>
                <w:color w:val="000000"/>
                <w:sz w:val="20"/>
                <w:szCs w:val="20"/>
                <w:lang w:val="en-US"/>
              </w:rPr>
            </w:pPr>
          </w:p>
        </w:tc>
        <w:tc>
          <w:tcPr>
            <w:tcW w:w="1843" w:type="dxa"/>
          </w:tcPr>
          <w:p w14:paraId="2D1F20CD" w14:textId="77777777" w:rsidR="00801304" w:rsidRPr="00F02BC6" w:rsidRDefault="00801304" w:rsidP="00495804">
            <w:pPr>
              <w:rPr>
                <w:color w:val="000000"/>
                <w:sz w:val="20"/>
                <w:szCs w:val="20"/>
                <w:lang w:val="en-US"/>
              </w:rPr>
            </w:pPr>
          </w:p>
        </w:tc>
        <w:tc>
          <w:tcPr>
            <w:tcW w:w="2127" w:type="dxa"/>
          </w:tcPr>
          <w:p w14:paraId="1E3A13BE" w14:textId="77777777" w:rsidR="00801304" w:rsidRPr="00F02BC6" w:rsidRDefault="00801304" w:rsidP="00495804">
            <w:pPr>
              <w:rPr>
                <w:color w:val="000000"/>
                <w:sz w:val="20"/>
                <w:szCs w:val="20"/>
                <w:lang w:val="en-US"/>
              </w:rPr>
            </w:pPr>
          </w:p>
        </w:tc>
        <w:tc>
          <w:tcPr>
            <w:tcW w:w="2976" w:type="dxa"/>
          </w:tcPr>
          <w:p w14:paraId="35142D80" w14:textId="77777777" w:rsidR="00801304" w:rsidRPr="00F02BC6" w:rsidRDefault="00801304" w:rsidP="00495804">
            <w:pPr>
              <w:rPr>
                <w:color w:val="000000"/>
                <w:sz w:val="20"/>
                <w:szCs w:val="20"/>
                <w:lang w:val="en-US"/>
              </w:rPr>
            </w:pPr>
          </w:p>
        </w:tc>
        <w:tc>
          <w:tcPr>
            <w:tcW w:w="2693" w:type="dxa"/>
          </w:tcPr>
          <w:p w14:paraId="62225A4B" w14:textId="77777777" w:rsidR="00801304" w:rsidRPr="00F02BC6" w:rsidRDefault="00801304" w:rsidP="00495804">
            <w:pPr>
              <w:rPr>
                <w:color w:val="000000"/>
                <w:sz w:val="20"/>
                <w:szCs w:val="20"/>
                <w:lang w:val="en-US"/>
              </w:rPr>
            </w:pPr>
          </w:p>
        </w:tc>
        <w:tc>
          <w:tcPr>
            <w:tcW w:w="1559" w:type="dxa"/>
            <w:gridSpan w:val="2"/>
          </w:tcPr>
          <w:p w14:paraId="5AEEE46F" w14:textId="77777777" w:rsidR="00801304" w:rsidRPr="00F02BC6" w:rsidRDefault="00801304" w:rsidP="00495804">
            <w:pPr>
              <w:rPr>
                <w:color w:val="000000"/>
                <w:sz w:val="20"/>
                <w:szCs w:val="20"/>
                <w:lang w:val="en-US"/>
              </w:rPr>
            </w:pPr>
          </w:p>
        </w:tc>
      </w:tr>
      <w:tr w:rsidR="00801304" w:rsidRPr="00F02BC6" w14:paraId="481432A9" w14:textId="77777777" w:rsidTr="005F62B6">
        <w:tc>
          <w:tcPr>
            <w:tcW w:w="2219" w:type="dxa"/>
          </w:tcPr>
          <w:p w14:paraId="3594A73E" w14:textId="35786632" w:rsidR="00801304" w:rsidRPr="00F02BC6" w:rsidRDefault="00801304" w:rsidP="00495804">
            <w:pPr>
              <w:rPr>
                <w:color w:val="000000"/>
                <w:sz w:val="20"/>
                <w:szCs w:val="20"/>
                <w:lang w:val="en-US"/>
              </w:rPr>
            </w:pPr>
            <w:proofErr w:type="spellStart"/>
            <w:r w:rsidRPr="00F02BC6">
              <w:rPr>
                <w:color w:val="000000"/>
                <w:sz w:val="20"/>
                <w:szCs w:val="20"/>
                <w:lang w:val="en-US"/>
              </w:rPr>
              <w:t>Delea</w:t>
            </w:r>
            <w:proofErr w:type="spellEnd"/>
            <w:r w:rsidRPr="00F02BC6">
              <w:rPr>
                <w:color w:val="000000"/>
                <w:sz w:val="20"/>
                <w:szCs w:val="20"/>
                <w:lang w:val="en-US"/>
              </w:rPr>
              <w:t xml:space="preserve"> et al </w:t>
            </w:r>
            <w:r w:rsidR="005F62B6" w:rsidRPr="00F02BC6">
              <w:rPr>
                <w:color w:val="000000"/>
                <w:sz w:val="20"/>
                <w:szCs w:val="20"/>
                <w:vertAlign w:val="superscript"/>
                <w:lang w:val="en-US"/>
              </w:rPr>
              <w:t>(</w:t>
            </w:r>
            <w:r w:rsidRPr="00F02BC6">
              <w:rPr>
                <w:color w:val="000000"/>
                <w:sz w:val="20"/>
                <w:szCs w:val="20"/>
                <w:vertAlign w:val="superscript"/>
                <w:lang w:val="en-US"/>
              </w:rPr>
              <w:t>49</w:t>
            </w:r>
            <w:r w:rsidR="005F62B6" w:rsidRPr="00F02BC6">
              <w:rPr>
                <w:color w:val="000000"/>
                <w:sz w:val="20"/>
                <w:szCs w:val="20"/>
                <w:vertAlign w:val="superscript"/>
                <w:lang w:val="en-US"/>
              </w:rPr>
              <w:t>)</w:t>
            </w:r>
          </w:p>
        </w:tc>
        <w:tc>
          <w:tcPr>
            <w:tcW w:w="1984" w:type="dxa"/>
          </w:tcPr>
          <w:p w14:paraId="22E0B30B" w14:textId="59CDAF6C" w:rsidR="00801304" w:rsidRPr="00F02BC6" w:rsidRDefault="007717D9" w:rsidP="00495804">
            <w:pPr>
              <w:rPr>
                <w:color w:val="000000"/>
                <w:sz w:val="20"/>
                <w:szCs w:val="20"/>
                <w:lang w:val="en-US"/>
              </w:rPr>
            </w:pPr>
            <w:r w:rsidRPr="00F02BC6">
              <w:rPr>
                <w:color w:val="000000"/>
                <w:sz w:val="20"/>
                <w:szCs w:val="20"/>
                <w:lang w:val="en-US"/>
              </w:rPr>
              <w:t>All</w:t>
            </w:r>
            <w:r w:rsidR="005F53CB" w:rsidRPr="00F02BC6">
              <w:rPr>
                <w:color w:val="000000"/>
                <w:sz w:val="20"/>
                <w:szCs w:val="20"/>
                <w:lang w:val="en-US"/>
              </w:rPr>
              <w:t xml:space="preserve"> individuals in the database with at least one medical claim during the period of the study with asthma diagnostic ICD09-CM code of 493.xx in addition to at least 2 outpatient pharmacy claims of asthma medications</w:t>
            </w:r>
          </w:p>
        </w:tc>
        <w:tc>
          <w:tcPr>
            <w:tcW w:w="1843" w:type="dxa"/>
          </w:tcPr>
          <w:p w14:paraId="21416558" w14:textId="77777777" w:rsidR="00801304" w:rsidRPr="00F02BC6" w:rsidRDefault="00801304" w:rsidP="00495804">
            <w:pPr>
              <w:rPr>
                <w:color w:val="000000"/>
                <w:sz w:val="20"/>
                <w:szCs w:val="20"/>
                <w:lang w:val="en-US"/>
              </w:rPr>
            </w:pPr>
            <w:r w:rsidRPr="00F02BC6">
              <w:rPr>
                <w:color w:val="000000"/>
                <w:sz w:val="20"/>
                <w:szCs w:val="20"/>
                <w:lang w:val="en-US"/>
              </w:rPr>
              <w:t>MPR (54%)</w:t>
            </w:r>
          </w:p>
        </w:tc>
        <w:tc>
          <w:tcPr>
            <w:tcW w:w="2127" w:type="dxa"/>
          </w:tcPr>
          <w:p w14:paraId="64D9AB39" w14:textId="77777777" w:rsidR="00801304" w:rsidRPr="00F02BC6" w:rsidRDefault="00801304" w:rsidP="00495804">
            <w:pPr>
              <w:rPr>
                <w:color w:val="000000"/>
                <w:sz w:val="20"/>
                <w:szCs w:val="20"/>
                <w:lang w:val="en-US"/>
              </w:rPr>
            </w:pPr>
            <w:r w:rsidRPr="00F02BC6">
              <w:rPr>
                <w:color w:val="000000"/>
                <w:sz w:val="20"/>
                <w:szCs w:val="20"/>
                <w:lang w:val="en-US"/>
              </w:rPr>
              <w:t xml:space="preserve">MPR </w:t>
            </w:r>
          </w:p>
          <w:p w14:paraId="0D8A83C6" w14:textId="77777777" w:rsidR="00801304" w:rsidRPr="00F02BC6" w:rsidRDefault="00801304" w:rsidP="00495804">
            <w:pPr>
              <w:rPr>
                <w:color w:val="000000"/>
                <w:sz w:val="20"/>
                <w:szCs w:val="20"/>
                <w:lang w:val="en-US"/>
              </w:rPr>
            </w:pPr>
            <w:r w:rsidRPr="00F02BC6">
              <w:rPr>
                <w:color w:val="000000"/>
                <w:sz w:val="20"/>
                <w:szCs w:val="20"/>
                <w:lang w:val="en-US"/>
              </w:rPr>
              <w:t>&lt;25%</w:t>
            </w:r>
          </w:p>
          <w:p w14:paraId="15EE0325" w14:textId="77777777" w:rsidR="00801304" w:rsidRPr="00F02BC6" w:rsidRDefault="00801304" w:rsidP="00495804">
            <w:pPr>
              <w:rPr>
                <w:color w:val="000000"/>
                <w:sz w:val="20"/>
                <w:szCs w:val="20"/>
                <w:lang w:val="en-US"/>
              </w:rPr>
            </w:pPr>
            <w:r w:rsidRPr="00F02BC6">
              <w:rPr>
                <w:color w:val="000000"/>
                <w:sz w:val="20"/>
                <w:szCs w:val="20"/>
                <w:lang w:val="en-US"/>
              </w:rPr>
              <w:t>25 - &lt;50%</w:t>
            </w:r>
          </w:p>
          <w:p w14:paraId="66FB6F77" w14:textId="77777777" w:rsidR="00801304" w:rsidRPr="00F02BC6" w:rsidRDefault="00801304" w:rsidP="00495804">
            <w:pPr>
              <w:rPr>
                <w:color w:val="000000"/>
                <w:sz w:val="20"/>
                <w:szCs w:val="20"/>
                <w:lang w:val="en-US"/>
              </w:rPr>
            </w:pPr>
            <w:r w:rsidRPr="00F02BC6">
              <w:rPr>
                <w:color w:val="000000"/>
                <w:sz w:val="20"/>
                <w:szCs w:val="20"/>
                <w:lang w:val="en-US"/>
              </w:rPr>
              <w:t>50% - &lt;75%</w:t>
            </w:r>
          </w:p>
          <w:p w14:paraId="56F01DF1" w14:textId="77777777" w:rsidR="00801304" w:rsidRPr="00F02BC6" w:rsidRDefault="00801304" w:rsidP="00495804">
            <w:pPr>
              <w:rPr>
                <w:color w:val="000000"/>
                <w:sz w:val="20"/>
                <w:szCs w:val="20"/>
                <w:lang w:val="en-US"/>
              </w:rPr>
            </w:pPr>
            <w:r w:rsidRPr="00F02BC6">
              <w:rPr>
                <w:color w:val="000000"/>
                <w:sz w:val="20"/>
                <w:szCs w:val="20"/>
                <w:lang w:val="en-US"/>
              </w:rPr>
              <w:t>≥75%</w:t>
            </w:r>
          </w:p>
        </w:tc>
        <w:tc>
          <w:tcPr>
            <w:tcW w:w="2976" w:type="dxa"/>
          </w:tcPr>
          <w:p w14:paraId="54B98E1A" w14:textId="77777777" w:rsidR="00801304" w:rsidRPr="00F02BC6" w:rsidRDefault="00801304" w:rsidP="00495804">
            <w:pPr>
              <w:rPr>
                <w:color w:val="000000"/>
                <w:sz w:val="20"/>
                <w:szCs w:val="20"/>
                <w:lang w:val="en-US"/>
              </w:rPr>
            </w:pPr>
            <w:r w:rsidRPr="00F02BC6">
              <w:rPr>
                <w:color w:val="000000"/>
                <w:sz w:val="20"/>
                <w:szCs w:val="20"/>
                <w:lang w:val="en-US"/>
              </w:rPr>
              <w:t>Each 25% improvement in adherence was associated with a 10% reduction in the odds of asthma-related ED visit or hospitalization (p&lt;0.001), a 10% reduction in the odds of receiving SABA (p&lt;0.001), a 3% reduction in the odds of receiving a corticosteroid (p=0.027)</w:t>
            </w:r>
          </w:p>
        </w:tc>
        <w:tc>
          <w:tcPr>
            <w:tcW w:w="2693" w:type="dxa"/>
          </w:tcPr>
          <w:p w14:paraId="6D8D5655" w14:textId="77777777" w:rsidR="00801304" w:rsidRPr="00F02BC6" w:rsidRDefault="00801304" w:rsidP="00495804">
            <w:pPr>
              <w:rPr>
                <w:color w:val="000000"/>
                <w:sz w:val="20"/>
                <w:szCs w:val="20"/>
                <w:lang w:val="en-US"/>
              </w:rPr>
            </w:pPr>
            <w:r w:rsidRPr="00F02BC6">
              <w:rPr>
                <w:color w:val="000000"/>
                <w:sz w:val="20"/>
                <w:szCs w:val="20"/>
                <w:lang w:val="en-US"/>
              </w:rPr>
              <w:t>Multivariate general linear model (GLM) regression analysis</w:t>
            </w:r>
          </w:p>
        </w:tc>
        <w:tc>
          <w:tcPr>
            <w:tcW w:w="1559" w:type="dxa"/>
            <w:gridSpan w:val="2"/>
          </w:tcPr>
          <w:p w14:paraId="6235E161" w14:textId="77777777" w:rsidR="00801304" w:rsidRPr="00F02BC6" w:rsidRDefault="00801304" w:rsidP="00495804">
            <w:pPr>
              <w:rPr>
                <w:color w:val="000000"/>
                <w:sz w:val="20"/>
                <w:szCs w:val="20"/>
                <w:lang w:val="en-US"/>
              </w:rPr>
            </w:pPr>
            <w:r w:rsidRPr="00F02BC6">
              <w:rPr>
                <w:color w:val="000000"/>
                <w:sz w:val="20"/>
                <w:szCs w:val="20"/>
                <w:lang w:val="en-US"/>
              </w:rPr>
              <w:t>79.8% (estimated by MPR ≥75%)</w:t>
            </w:r>
          </w:p>
        </w:tc>
      </w:tr>
      <w:tr w:rsidR="00801304" w:rsidRPr="00F02BC6" w14:paraId="6AB66EDD" w14:textId="77777777" w:rsidTr="005F62B6">
        <w:tc>
          <w:tcPr>
            <w:tcW w:w="2219" w:type="dxa"/>
          </w:tcPr>
          <w:p w14:paraId="49E850DD" w14:textId="77777777" w:rsidR="00801304" w:rsidRPr="00F02BC6" w:rsidRDefault="00801304" w:rsidP="00495804">
            <w:pPr>
              <w:rPr>
                <w:color w:val="000000"/>
                <w:sz w:val="20"/>
                <w:szCs w:val="20"/>
                <w:lang w:val="en-US"/>
              </w:rPr>
            </w:pPr>
          </w:p>
        </w:tc>
        <w:tc>
          <w:tcPr>
            <w:tcW w:w="1984" w:type="dxa"/>
          </w:tcPr>
          <w:p w14:paraId="70731575" w14:textId="77777777" w:rsidR="00801304" w:rsidRPr="00F02BC6" w:rsidRDefault="00801304" w:rsidP="00495804">
            <w:pPr>
              <w:rPr>
                <w:color w:val="000000"/>
                <w:sz w:val="20"/>
                <w:szCs w:val="20"/>
                <w:lang w:val="en-US"/>
              </w:rPr>
            </w:pPr>
          </w:p>
        </w:tc>
        <w:tc>
          <w:tcPr>
            <w:tcW w:w="1843" w:type="dxa"/>
          </w:tcPr>
          <w:p w14:paraId="0A0B2E48" w14:textId="77777777" w:rsidR="00801304" w:rsidRPr="00F02BC6" w:rsidRDefault="00801304" w:rsidP="00495804">
            <w:pPr>
              <w:rPr>
                <w:color w:val="000000"/>
                <w:sz w:val="20"/>
                <w:szCs w:val="20"/>
                <w:lang w:val="en-US"/>
              </w:rPr>
            </w:pPr>
          </w:p>
        </w:tc>
        <w:tc>
          <w:tcPr>
            <w:tcW w:w="2127" w:type="dxa"/>
          </w:tcPr>
          <w:p w14:paraId="69FB2E89" w14:textId="77777777" w:rsidR="00801304" w:rsidRPr="00F02BC6" w:rsidRDefault="00801304" w:rsidP="00495804">
            <w:pPr>
              <w:rPr>
                <w:color w:val="000000"/>
                <w:sz w:val="20"/>
                <w:szCs w:val="20"/>
                <w:lang w:val="en-US"/>
              </w:rPr>
            </w:pPr>
          </w:p>
        </w:tc>
        <w:tc>
          <w:tcPr>
            <w:tcW w:w="2976" w:type="dxa"/>
          </w:tcPr>
          <w:p w14:paraId="64352851" w14:textId="77777777" w:rsidR="00801304" w:rsidRPr="00F02BC6" w:rsidRDefault="00801304" w:rsidP="00495804">
            <w:pPr>
              <w:rPr>
                <w:color w:val="000000"/>
                <w:sz w:val="20"/>
                <w:szCs w:val="20"/>
                <w:lang w:val="en-US"/>
              </w:rPr>
            </w:pPr>
          </w:p>
        </w:tc>
        <w:tc>
          <w:tcPr>
            <w:tcW w:w="2693" w:type="dxa"/>
          </w:tcPr>
          <w:p w14:paraId="66589081" w14:textId="77777777" w:rsidR="00801304" w:rsidRPr="00F02BC6" w:rsidRDefault="00801304" w:rsidP="00495804">
            <w:pPr>
              <w:rPr>
                <w:color w:val="000000"/>
                <w:sz w:val="20"/>
                <w:szCs w:val="20"/>
                <w:lang w:val="en-US"/>
              </w:rPr>
            </w:pPr>
          </w:p>
        </w:tc>
        <w:tc>
          <w:tcPr>
            <w:tcW w:w="1559" w:type="dxa"/>
            <w:gridSpan w:val="2"/>
          </w:tcPr>
          <w:p w14:paraId="6EAC7FF9" w14:textId="77777777" w:rsidR="00801304" w:rsidRPr="00F02BC6" w:rsidRDefault="00801304" w:rsidP="00495804">
            <w:pPr>
              <w:rPr>
                <w:color w:val="000000"/>
                <w:sz w:val="20"/>
                <w:szCs w:val="20"/>
                <w:lang w:val="en-US"/>
              </w:rPr>
            </w:pPr>
          </w:p>
        </w:tc>
      </w:tr>
      <w:tr w:rsidR="00801304" w:rsidRPr="00F02BC6" w14:paraId="1D217E3F" w14:textId="77777777" w:rsidTr="005F62B6">
        <w:tc>
          <w:tcPr>
            <w:tcW w:w="2219" w:type="dxa"/>
          </w:tcPr>
          <w:p w14:paraId="73C7F46A" w14:textId="77777777" w:rsidR="00801304" w:rsidRPr="00F02BC6" w:rsidRDefault="00801304" w:rsidP="00495804">
            <w:pPr>
              <w:rPr>
                <w:color w:val="000000"/>
                <w:sz w:val="20"/>
                <w:szCs w:val="20"/>
                <w:lang w:val="en-US"/>
              </w:rPr>
            </w:pPr>
            <w:r w:rsidRPr="00F02BC6">
              <w:rPr>
                <w:color w:val="000000"/>
                <w:sz w:val="20"/>
                <w:szCs w:val="20"/>
                <w:lang w:val="en-US"/>
              </w:rPr>
              <w:t>Feehan et al</w:t>
            </w:r>
            <w:r w:rsidRPr="00F02BC6">
              <w:rPr>
                <w:color w:val="000000"/>
                <w:sz w:val="20"/>
                <w:szCs w:val="20"/>
                <w:vertAlign w:val="superscript"/>
                <w:lang w:val="en-US"/>
              </w:rPr>
              <w:t xml:space="preserve">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{"citationItems":[{"id":"ITEM-1","itemData":{"DOI":"10.1111/jcpt.12316","ISSN":"13652710","abstract":"What is known and objective Non-adherence to controller asthma medications is an important public health problem. It is estimated to occur in 30-70% of individuals and is a significant risk factor for asthma morbidity and mortality. The aim of this study was to determine the level of adherence, as indicated by refill rates, to controller asthma medications in a community pharmacy setting. Methods Secondary analyses of a community pharmacy dispensing database in 15 locations throughout Utah. Results and discussion The dispensing records of 2193 patients who received controller medications for asthma in a 12-month period, and had a minimum of 6-month potential coverage (180 days) from the date of their first receipt of a controller medication in that period, were examined. Using standard metrics to gauge adherence, the proportion of days covered (PDC) and the medication possession ratio (MPR), the average coverage for controller asthma medications across a 6-month period (180 days) was poor, averaging less than 50% of days' availability. Standard cut-offs (≥80% medication availability) indicated that only 14-16% of patients had 'satisfactory' adherence over their 6-month follow-on period. Females and older patients had significantly greater satisfactory adherence. Medication adherence was significantly greater with inhaled corticosteroid (ICS)-long-acting β&lt;inf&gt;2&lt;/inf&gt;-agonist (LABA) combinations than with ICS alone. What is new and conclusion This study confirms the considerable scope of the asthma therapy non-adherence problem. Therefore, it is imperative to conduct survey-based research linked directly to pharmacy-based dispensing data to derive patient behavioural, attitudinal and environmental factors that may contribute to the issue, and then pilot and evaluate interventions for change. Secondary analyses were conducted of the dispensing records of 2193 patients receiving controller medications for asthma from a community pharmacy chain in Utah, USA (15 locations). Standard adherence metrics, the Proportion of Days Covered (PDC) and the Medication Possession Ratio (MPR), showed that only 14-16% of patients had \"satisfactory\" adherence over a 6-month period. This study confirms the considerable scope of the asthma therapy non-adherence problem.","author":[{"dropping-particle":"","family":"Feehan","given":"M.","non-dropping-particle":"","parse-names":false,"suffix":""},{"dropping-particle":"","family":"Ranker","given":"L.","non-dropping-particle":"","parse-names":false,"suffix":""},{"dropping-particle":"","family":"Durante","given":"R.","non-dropping-particle":"","parse-names":false,"suffix":""},{"dropping-particle":"","family":"Cooper","given":"D. K.","non-dropping-particle":"","parse-names":false,"suffix":""},{"dropping-particle":"","family":"Jones","given":"G. J.","non-dropping-particle":"","parse-names":false,"suffix":""},{"dropping-particle":"","family":"Young","given":"D. C.","non-dropping-particle":"","parse-names":false,"suffix":""},{"dropping-particle":"","family":"Munger","given":"M. A.","non-dropping-particle":"","parse-names":false,"suffix":""}],"container-title":"Journal of Clinical Pharmacy and Therapeutics","id":"ITEM-1","issue":"5","issued":{"date-parts":[["2015"]]},"page":"590-593","title":"Adherence to controller asthma medications: 6-month prevalence across a US community pharmacy chain","type":"article-journal","volume":"40"},"uris":["http://www.mendeley.com/documents/?uuid=4825fbfa-4f8b-470a-b242-5f2559e8b0a8"]}],"mendeley":{"formattedCitation":"(29)","plainTextFormattedCitation":"(29)","previouslyFormattedCitation":"(29)"},"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(29)</w:t>
            </w:r>
            <w:r w:rsidRPr="00F02BC6">
              <w:rPr>
                <w:color w:val="000000"/>
                <w:sz w:val="20"/>
                <w:szCs w:val="20"/>
                <w:vertAlign w:val="superscript"/>
                <w:lang w:val="en-US"/>
              </w:rPr>
              <w:fldChar w:fldCharType="end"/>
            </w:r>
          </w:p>
        </w:tc>
        <w:tc>
          <w:tcPr>
            <w:tcW w:w="1984" w:type="dxa"/>
          </w:tcPr>
          <w:p w14:paraId="58F8886F" w14:textId="78C69D7D" w:rsidR="00801304" w:rsidRPr="00F02BC6" w:rsidRDefault="004A036C" w:rsidP="00495804">
            <w:pPr>
              <w:rPr>
                <w:color w:val="000000"/>
                <w:sz w:val="20"/>
                <w:szCs w:val="20"/>
                <w:lang w:val="en-US"/>
              </w:rPr>
            </w:pPr>
            <w:r w:rsidRPr="00F02BC6">
              <w:rPr>
                <w:color w:val="000000"/>
                <w:sz w:val="20"/>
                <w:szCs w:val="20"/>
                <w:lang w:val="en-US"/>
              </w:rPr>
              <w:t>Asthma patients dispensed with at least one controller asthma medication for chronic use were included in the study cohort.</w:t>
            </w:r>
          </w:p>
        </w:tc>
        <w:tc>
          <w:tcPr>
            <w:tcW w:w="1843" w:type="dxa"/>
          </w:tcPr>
          <w:p w14:paraId="5196E2F7" w14:textId="77777777" w:rsidR="00801304" w:rsidRPr="00F02BC6" w:rsidRDefault="00801304" w:rsidP="00495804">
            <w:pPr>
              <w:rPr>
                <w:color w:val="000000"/>
                <w:sz w:val="20"/>
                <w:szCs w:val="20"/>
                <w:lang w:val="en-US"/>
              </w:rPr>
            </w:pPr>
            <w:r w:rsidRPr="00F02BC6">
              <w:rPr>
                <w:color w:val="000000"/>
                <w:sz w:val="20"/>
                <w:szCs w:val="20"/>
                <w:lang w:val="en-US"/>
              </w:rPr>
              <w:t>PDC 42±2.7</w:t>
            </w:r>
          </w:p>
          <w:p w14:paraId="248DF300" w14:textId="77777777" w:rsidR="00801304" w:rsidRPr="00F02BC6" w:rsidRDefault="00801304" w:rsidP="00495804">
            <w:pPr>
              <w:rPr>
                <w:color w:val="000000"/>
                <w:sz w:val="20"/>
                <w:szCs w:val="20"/>
                <w:lang w:val="en-US"/>
              </w:rPr>
            </w:pPr>
            <w:r w:rsidRPr="00F02BC6">
              <w:rPr>
                <w:color w:val="000000"/>
                <w:sz w:val="20"/>
                <w:szCs w:val="20"/>
                <w:lang w:val="en-US"/>
              </w:rPr>
              <w:t>MPR 43±2.9</w:t>
            </w:r>
          </w:p>
          <w:p w14:paraId="74B01599" w14:textId="77777777" w:rsidR="00801304" w:rsidRPr="00F02BC6" w:rsidRDefault="00801304" w:rsidP="00495804">
            <w:pPr>
              <w:rPr>
                <w:color w:val="000000"/>
                <w:sz w:val="20"/>
                <w:szCs w:val="20"/>
                <w:lang w:val="en-US"/>
              </w:rPr>
            </w:pPr>
          </w:p>
        </w:tc>
        <w:tc>
          <w:tcPr>
            <w:tcW w:w="2127" w:type="dxa"/>
          </w:tcPr>
          <w:p w14:paraId="22397D2E" w14:textId="77777777" w:rsidR="00801304" w:rsidRPr="00F02BC6" w:rsidRDefault="00801304" w:rsidP="00495804">
            <w:pPr>
              <w:rPr>
                <w:color w:val="000000"/>
                <w:sz w:val="20"/>
                <w:szCs w:val="20"/>
                <w:lang w:val="en-US"/>
              </w:rPr>
            </w:pPr>
            <w:r w:rsidRPr="00F02BC6">
              <w:rPr>
                <w:color w:val="000000"/>
                <w:sz w:val="20"/>
                <w:szCs w:val="20"/>
                <w:lang w:val="en-US"/>
              </w:rPr>
              <w:t>PDC ≥ 80%</w:t>
            </w:r>
          </w:p>
          <w:p w14:paraId="12840516" w14:textId="77777777" w:rsidR="00801304" w:rsidRPr="00F02BC6" w:rsidRDefault="00801304" w:rsidP="00495804">
            <w:pPr>
              <w:rPr>
                <w:color w:val="000000"/>
                <w:sz w:val="20"/>
                <w:szCs w:val="20"/>
                <w:lang w:val="en-US"/>
              </w:rPr>
            </w:pPr>
            <w:r w:rsidRPr="00F02BC6">
              <w:rPr>
                <w:color w:val="000000"/>
                <w:sz w:val="20"/>
                <w:szCs w:val="20"/>
                <w:lang w:val="en-US"/>
              </w:rPr>
              <w:t>MPR ≥ 80%</w:t>
            </w:r>
          </w:p>
        </w:tc>
        <w:tc>
          <w:tcPr>
            <w:tcW w:w="2976" w:type="dxa"/>
          </w:tcPr>
          <w:p w14:paraId="6DC3D962" w14:textId="77777777" w:rsidR="00801304" w:rsidRPr="00F02BC6" w:rsidRDefault="00801304" w:rsidP="00495804">
            <w:pPr>
              <w:rPr>
                <w:color w:val="000000"/>
                <w:sz w:val="20"/>
                <w:szCs w:val="20"/>
                <w:lang w:val="en-US"/>
              </w:rPr>
            </w:pPr>
            <w:r w:rsidRPr="00F02BC6">
              <w:rPr>
                <w:color w:val="000000"/>
                <w:sz w:val="20"/>
                <w:szCs w:val="20"/>
                <w:lang w:val="en-US"/>
              </w:rPr>
              <w:t>Adherence to controller medications</w:t>
            </w:r>
          </w:p>
        </w:tc>
        <w:tc>
          <w:tcPr>
            <w:tcW w:w="2693" w:type="dxa"/>
          </w:tcPr>
          <w:p w14:paraId="0D776DE1" w14:textId="77777777" w:rsidR="00801304" w:rsidRPr="00F02BC6" w:rsidRDefault="00801304" w:rsidP="00495804">
            <w:pPr>
              <w:rPr>
                <w:color w:val="000000"/>
                <w:sz w:val="20"/>
                <w:szCs w:val="20"/>
                <w:lang w:val="en-US"/>
              </w:rPr>
            </w:pPr>
            <w:r w:rsidRPr="00F02BC6">
              <w:rPr>
                <w:color w:val="000000"/>
                <w:sz w:val="20"/>
                <w:szCs w:val="20"/>
                <w:lang w:val="en-US"/>
              </w:rPr>
              <w:t>Descriptive statistics</w:t>
            </w:r>
          </w:p>
        </w:tc>
        <w:tc>
          <w:tcPr>
            <w:tcW w:w="1559" w:type="dxa"/>
            <w:gridSpan w:val="2"/>
          </w:tcPr>
          <w:p w14:paraId="39BF0C28" w14:textId="77777777" w:rsidR="00801304" w:rsidRPr="00F02BC6" w:rsidRDefault="00801304" w:rsidP="00495804">
            <w:pPr>
              <w:rPr>
                <w:color w:val="000000"/>
                <w:sz w:val="20"/>
                <w:szCs w:val="20"/>
                <w:lang w:val="en-US"/>
              </w:rPr>
            </w:pPr>
            <w:r w:rsidRPr="00F02BC6">
              <w:rPr>
                <w:color w:val="000000"/>
                <w:sz w:val="20"/>
                <w:szCs w:val="20"/>
                <w:lang w:val="en-US"/>
              </w:rPr>
              <w:t>86% (estimated using PDC)</w:t>
            </w:r>
          </w:p>
          <w:p w14:paraId="714235F1" w14:textId="77777777" w:rsidR="00801304" w:rsidRPr="00F02BC6" w:rsidRDefault="00801304" w:rsidP="00495804">
            <w:pPr>
              <w:rPr>
                <w:color w:val="000000"/>
                <w:sz w:val="20"/>
                <w:szCs w:val="20"/>
                <w:lang w:val="en-US"/>
              </w:rPr>
            </w:pPr>
            <w:r w:rsidRPr="00F02BC6">
              <w:rPr>
                <w:color w:val="000000"/>
                <w:sz w:val="20"/>
                <w:szCs w:val="20"/>
                <w:lang w:val="en-US"/>
              </w:rPr>
              <w:t>84% (estimated using MPR)</w:t>
            </w:r>
          </w:p>
          <w:p w14:paraId="141C4F79" w14:textId="77777777" w:rsidR="00801304" w:rsidRPr="00F02BC6" w:rsidRDefault="00801304" w:rsidP="00495804">
            <w:pPr>
              <w:rPr>
                <w:color w:val="000000"/>
                <w:sz w:val="20"/>
                <w:szCs w:val="20"/>
                <w:lang w:val="en-US"/>
              </w:rPr>
            </w:pPr>
          </w:p>
        </w:tc>
      </w:tr>
      <w:tr w:rsidR="00801304" w:rsidRPr="00F02BC6" w14:paraId="48072F11" w14:textId="77777777" w:rsidTr="005F62B6">
        <w:tc>
          <w:tcPr>
            <w:tcW w:w="2219" w:type="dxa"/>
          </w:tcPr>
          <w:p w14:paraId="28F4ED96" w14:textId="77777777" w:rsidR="00801304" w:rsidRPr="00F02BC6" w:rsidRDefault="00801304" w:rsidP="00495804">
            <w:pPr>
              <w:rPr>
                <w:color w:val="000000"/>
                <w:sz w:val="20"/>
                <w:szCs w:val="20"/>
                <w:lang w:val="en-US"/>
              </w:rPr>
            </w:pPr>
            <w:r w:rsidRPr="00F02BC6">
              <w:rPr>
                <w:color w:val="000000"/>
                <w:sz w:val="20"/>
                <w:szCs w:val="20"/>
                <w:lang w:val="en-US"/>
              </w:rPr>
              <w:t>Friedman et al</w:t>
            </w:r>
            <w:r w:rsidRPr="00F02BC6">
              <w:rPr>
                <w:color w:val="000000"/>
                <w:sz w:val="20"/>
                <w:szCs w:val="20"/>
                <w:vertAlign w:val="superscript"/>
                <w:lang w:val="en-US"/>
              </w:rPr>
              <w:t xml:space="preserve">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{"citationItems":[{"id":"ITEM-1","itemData":{"DOI":"10.1080/02770903.2010.513076","ISSN":"02770903","abstract":"Introduction. Because adherence to asthma controller medication among adolescents and young adults is poor but critical for asthma control, strategies are needed to improve adherence. One strategy is to reduce the number of daily doses necessary to maintain adequate control. Mometasone furoate delivered through a dry powder inhaler (MF-DPI) is an inhaled corticosteroid (ICS) approved for once-daily dosing in most patients. Fluticasone propionate (FP) is an ICS approved for twice-daily dosing. A retrospective claims analysis was performed to assess treatment adherence and markers of asthma control in adolescent and young adult patients with mild asthma who began treatment with MF-DPI or FP. Methods. Data from approximately 37 million patients in an administrative insurance claims database in the United States were analyzed. Patients, 12-25 years, with mild asthma and previous asthma medication use were assigned an index date based on their first prescription fill of MF-DPI or FP between 1 January 2005 and 10 October 2008. Demographics, prescription claims, and health care utilization data were captured in the 365-day period before (preindex) and after (postindex) the index date. Patients from each cohort were propensity score-matched 1:1 based on preindex data. Adherence was measured by prescription fills and percentage of days covered (PDC); asthma control was measured by exacerbations and short-acting β2-agonist (SABA) canister claims. Bivariate and multivariate generalized linear model (GLM) analyses were conducted to determine differences in outcomes between the cohorts. Results. After matching, 692 patients per group (average age 16 years) were analyzed. Adherence in the postindex period was significantly higher in the MF-DPI cohort compared with the FP cohort as measured by PDC (23.5% vs. 14.5%; p&lt; .0001) and prescription fills (2.70 vs. 1.91; p&lt; .0001). The mean number of postindex SABA canister claims was significantly lower in the MF-DPI cohort compared with the FP cohort (1.04 vs. 1.40; p&lt; .0001). There was no significant difference in the mean number of postindex exacerbations between the cohorts. Conclusion. Adolescentyoung adult patients with mild asthma who received MF-DPI had better postindex adherence and fewer SABA canister claims than patients receiving FP. © 2010 Informa Healthcare USA, Inc.","author":[{"dropping-particle":"","family":"Friedman","given":"Howard S.","non-dropping-particle":"","parse-names":false,"suffix":""},{"dropping-particle":"","family":"Navaratnam","given":"Prakash","non-dropping-particle":"","parse-names":false,"suffix":""},{"dropping-particle":"","family":"McLaughlin","given":"John","non-dropping-particle":"","parse-names":false,"suffix":""}],"container-title":"Journal of Asthma","id":"ITEM-1","issue":"9","issued":{"date-parts":[["2010"]]},"page":"994-1000","title":"Treatment and outcomes - Adherence and asthma control with mometasone furoate versus fluticasone propionate in adolescents and young adults with mild asthma","type":"article-journal","volume":"47"},"uris":["http://www.mendeley.com/documents/?uuid=998f3cfb-473a-47f9-90a4-d35d70a7d080"]}],"mendeley":{"formattedCitation":"(15)","plainTextFormattedCitation":"(15)","previouslyFormattedCitation":"(15)"},"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(15)</w:t>
            </w:r>
            <w:r w:rsidRPr="00F02BC6">
              <w:rPr>
                <w:color w:val="000000"/>
                <w:sz w:val="20"/>
                <w:szCs w:val="20"/>
                <w:vertAlign w:val="superscript"/>
                <w:lang w:val="en-US"/>
              </w:rPr>
              <w:fldChar w:fldCharType="end"/>
            </w:r>
          </w:p>
        </w:tc>
        <w:tc>
          <w:tcPr>
            <w:tcW w:w="1984" w:type="dxa"/>
          </w:tcPr>
          <w:p w14:paraId="574B5DE5" w14:textId="53499959" w:rsidR="00801304" w:rsidRPr="00F02BC6" w:rsidRDefault="008853F2" w:rsidP="00495804">
            <w:pPr>
              <w:rPr>
                <w:color w:val="000000"/>
                <w:sz w:val="20"/>
                <w:szCs w:val="20"/>
                <w:lang w:val="en-US"/>
              </w:rPr>
            </w:pPr>
            <w:r w:rsidRPr="00F02BC6">
              <w:rPr>
                <w:color w:val="000000"/>
                <w:sz w:val="20"/>
                <w:szCs w:val="20"/>
                <w:lang w:val="en-US"/>
              </w:rPr>
              <w:t xml:space="preserve">All patients enrolled in the health plan, 12-25 years with no history of other chronic pulmonary condition but only identified as asthma using the asthma </w:t>
            </w:r>
            <w:r w:rsidRPr="00F02BC6">
              <w:rPr>
                <w:color w:val="000000"/>
                <w:sz w:val="18"/>
                <w:szCs w:val="18"/>
                <w:lang w:val="en-US"/>
              </w:rPr>
              <w:t xml:space="preserve">diagnostic codes: </w:t>
            </w:r>
            <w:r w:rsidRPr="00F02BC6">
              <w:rPr>
                <w:rFonts w:eastAsiaTheme="minorHAnsi"/>
                <w:color w:val="000000"/>
                <w:sz w:val="18"/>
                <w:szCs w:val="18"/>
                <w:lang w:val="en-US"/>
              </w:rPr>
              <w:t>493.0X, 493.1X, or 493.9X</w:t>
            </w:r>
          </w:p>
        </w:tc>
        <w:tc>
          <w:tcPr>
            <w:tcW w:w="1843" w:type="dxa"/>
          </w:tcPr>
          <w:p w14:paraId="015E0232" w14:textId="77777777" w:rsidR="00801304" w:rsidRPr="00F02BC6" w:rsidRDefault="00801304" w:rsidP="00495804">
            <w:pPr>
              <w:rPr>
                <w:color w:val="000000"/>
                <w:sz w:val="20"/>
                <w:szCs w:val="20"/>
                <w:lang w:val="en-US"/>
              </w:rPr>
            </w:pPr>
            <w:r w:rsidRPr="00F02BC6">
              <w:rPr>
                <w:color w:val="000000"/>
                <w:sz w:val="20"/>
                <w:szCs w:val="20"/>
                <w:lang w:val="en-US"/>
              </w:rPr>
              <w:t xml:space="preserve">---- </w:t>
            </w:r>
          </w:p>
        </w:tc>
        <w:tc>
          <w:tcPr>
            <w:tcW w:w="2127" w:type="dxa"/>
          </w:tcPr>
          <w:p w14:paraId="0E86F024" w14:textId="77777777" w:rsidR="00801304" w:rsidRPr="00F02BC6" w:rsidRDefault="00801304" w:rsidP="00495804">
            <w:pPr>
              <w:rPr>
                <w:color w:val="000000"/>
                <w:sz w:val="20"/>
                <w:szCs w:val="20"/>
                <w:lang w:val="en-US"/>
              </w:rPr>
            </w:pPr>
            <w:r w:rsidRPr="00F02BC6">
              <w:rPr>
                <w:color w:val="000000"/>
                <w:sz w:val="20"/>
                <w:szCs w:val="20"/>
                <w:lang w:val="en-US"/>
              </w:rPr>
              <w:t>----</w:t>
            </w:r>
          </w:p>
        </w:tc>
        <w:tc>
          <w:tcPr>
            <w:tcW w:w="2976" w:type="dxa"/>
          </w:tcPr>
          <w:p w14:paraId="69B73C7D" w14:textId="77777777" w:rsidR="00801304" w:rsidRPr="00F02BC6" w:rsidRDefault="00801304" w:rsidP="00495804">
            <w:pPr>
              <w:rPr>
                <w:color w:val="000000"/>
                <w:sz w:val="20"/>
                <w:szCs w:val="20"/>
                <w:lang w:val="en-US"/>
              </w:rPr>
            </w:pPr>
            <w:r w:rsidRPr="00F02BC6">
              <w:rPr>
                <w:color w:val="000000"/>
                <w:sz w:val="20"/>
                <w:szCs w:val="20"/>
                <w:lang w:val="en-US"/>
              </w:rPr>
              <w:t xml:space="preserve">Adherence in MF-DPI </w:t>
            </w:r>
            <w:proofErr w:type="gramStart"/>
            <w:r w:rsidRPr="00F02BC6">
              <w:rPr>
                <w:color w:val="000000"/>
                <w:sz w:val="20"/>
                <w:szCs w:val="20"/>
                <w:lang w:val="en-US"/>
              </w:rPr>
              <w:t>vs  FP</w:t>
            </w:r>
            <w:proofErr w:type="gramEnd"/>
            <w:r w:rsidRPr="00F02BC6">
              <w:rPr>
                <w:color w:val="000000"/>
                <w:sz w:val="20"/>
                <w:szCs w:val="20"/>
                <w:lang w:val="en-US"/>
              </w:rPr>
              <w:t xml:space="preserve"> using PDC (23.5% vs. 14.5%; </w:t>
            </w:r>
            <w:r w:rsidRPr="00F02BC6">
              <w:rPr>
                <w:i/>
                <w:iCs/>
                <w:color w:val="000000"/>
                <w:sz w:val="20"/>
                <w:szCs w:val="20"/>
                <w:lang w:val="en-US"/>
              </w:rPr>
              <w:t xml:space="preserve">p&lt; </w:t>
            </w:r>
            <w:r w:rsidRPr="00F02BC6">
              <w:rPr>
                <w:color w:val="000000"/>
                <w:sz w:val="20"/>
                <w:szCs w:val="20"/>
                <w:lang w:val="en-US"/>
              </w:rPr>
              <w:t xml:space="preserve">0.0001) and prescription fills (2.70 vs. 1.91; </w:t>
            </w:r>
            <w:r w:rsidRPr="00F02BC6">
              <w:rPr>
                <w:i/>
                <w:iCs/>
                <w:color w:val="000000"/>
                <w:sz w:val="20"/>
                <w:szCs w:val="20"/>
                <w:lang w:val="en-US"/>
              </w:rPr>
              <w:t xml:space="preserve">p &lt; </w:t>
            </w:r>
            <w:r w:rsidRPr="00F02BC6">
              <w:rPr>
                <w:color w:val="000000"/>
                <w:sz w:val="20"/>
                <w:szCs w:val="20"/>
                <w:lang w:val="en-US"/>
              </w:rPr>
              <w:t>0.0001)</w:t>
            </w:r>
          </w:p>
          <w:p w14:paraId="35988195" w14:textId="77777777" w:rsidR="00801304" w:rsidRPr="00F02BC6" w:rsidRDefault="00801304" w:rsidP="00495804">
            <w:pPr>
              <w:rPr>
                <w:color w:val="000000"/>
                <w:sz w:val="20"/>
                <w:szCs w:val="20"/>
                <w:lang w:val="en-US"/>
              </w:rPr>
            </w:pPr>
            <w:r w:rsidRPr="00F02BC6">
              <w:rPr>
                <w:color w:val="000000"/>
                <w:sz w:val="20"/>
                <w:szCs w:val="20"/>
                <w:lang w:val="en-US"/>
              </w:rPr>
              <w:t xml:space="preserve">Mean SABA canister claims in MF-DPI vs FP (1.04 vs. 1.40; </w:t>
            </w:r>
            <w:r w:rsidRPr="00F02BC6">
              <w:rPr>
                <w:i/>
                <w:iCs/>
                <w:color w:val="000000"/>
                <w:sz w:val="20"/>
                <w:szCs w:val="20"/>
                <w:lang w:val="en-US"/>
              </w:rPr>
              <w:t xml:space="preserve">p &lt; </w:t>
            </w:r>
            <w:r w:rsidRPr="00F02BC6">
              <w:rPr>
                <w:color w:val="000000"/>
                <w:sz w:val="20"/>
                <w:szCs w:val="20"/>
                <w:lang w:val="en-US"/>
              </w:rPr>
              <w:t>0.0001)</w:t>
            </w:r>
          </w:p>
          <w:p w14:paraId="36AFFE28" w14:textId="77777777" w:rsidR="00801304" w:rsidRPr="00F02BC6" w:rsidRDefault="00801304" w:rsidP="00495804">
            <w:pPr>
              <w:rPr>
                <w:color w:val="000000"/>
                <w:sz w:val="20"/>
                <w:szCs w:val="20"/>
                <w:lang w:val="en-US"/>
              </w:rPr>
            </w:pPr>
            <w:r w:rsidRPr="00F02BC6">
              <w:rPr>
                <w:color w:val="000000"/>
                <w:sz w:val="20"/>
                <w:szCs w:val="20"/>
                <w:lang w:val="en-US"/>
              </w:rPr>
              <w:t xml:space="preserve">Mean exacerbations in MFDPI vs </w:t>
            </w:r>
            <w:proofErr w:type="gramStart"/>
            <w:r w:rsidRPr="00F02BC6">
              <w:rPr>
                <w:color w:val="000000"/>
                <w:sz w:val="20"/>
                <w:szCs w:val="20"/>
                <w:lang w:val="en-US"/>
              </w:rPr>
              <w:t>FP(</w:t>
            </w:r>
            <w:proofErr w:type="gramEnd"/>
            <w:r w:rsidRPr="00F02BC6">
              <w:rPr>
                <w:color w:val="000000"/>
                <w:sz w:val="20"/>
                <w:szCs w:val="20"/>
                <w:lang w:val="en-US"/>
              </w:rPr>
              <w:t xml:space="preserve">0.12 vs. 0.14; </w:t>
            </w:r>
            <w:r w:rsidRPr="00F02BC6">
              <w:rPr>
                <w:i/>
                <w:iCs/>
                <w:color w:val="000000"/>
                <w:sz w:val="20"/>
                <w:szCs w:val="20"/>
                <w:lang w:val="en-US"/>
              </w:rPr>
              <w:t xml:space="preserve">p </w:t>
            </w:r>
            <w:r w:rsidRPr="00F02BC6">
              <w:rPr>
                <w:color w:val="000000"/>
                <w:sz w:val="20"/>
                <w:szCs w:val="20"/>
                <w:lang w:val="en-US"/>
              </w:rPr>
              <w:t>= .5335)</w:t>
            </w:r>
          </w:p>
        </w:tc>
        <w:tc>
          <w:tcPr>
            <w:tcW w:w="2693" w:type="dxa"/>
          </w:tcPr>
          <w:p w14:paraId="18B613E2" w14:textId="77777777" w:rsidR="00801304" w:rsidRPr="00F02BC6" w:rsidRDefault="00801304" w:rsidP="00495804">
            <w:pPr>
              <w:rPr>
                <w:color w:val="000000"/>
                <w:sz w:val="20"/>
                <w:szCs w:val="20"/>
                <w:lang w:val="en-US"/>
              </w:rPr>
            </w:pPr>
            <w:r w:rsidRPr="00F02BC6">
              <w:rPr>
                <w:color w:val="000000"/>
                <w:sz w:val="20"/>
                <w:szCs w:val="20"/>
                <w:lang w:val="en-US"/>
              </w:rPr>
              <w:t>Propensity Score Analysis</w:t>
            </w:r>
          </w:p>
          <w:p w14:paraId="1C25864B" w14:textId="77777777" w:rsidR="00801304" w:rsidRPr="00F02BC6" w:rsidRDefault="00801304" w:rsidP="00495804">
            <w:pPr>
              <w:rPr>
                <w:color w:val="000000"/>
                <w:sz w:val="20"/>
                <w:szCs w:val="20"/>
                <w:lang w:val="en-US"/>
              </w:rPr>
            </w:pPr>
            <w:r w:rsidRPr="00F02BC6">
              <w:rPr>
                <w:color w:val="000000"/>
                <w:sz w:val="20"/>
                <w:szCs w:val="20"/>
                <w:lang w:val="en-US"/>
              </w:rPr>
              <w:t>Multivariate generalized linear model analyses</w:t>
            </w:r>
          </w:p>
        </w:tc>
        <w:tc>
          <w:tcPr>
            <w:tcW w:w="1559" w:type="dxa"/>
            <w:gridSpan w:val="2"/>
          </w:tcPr>
          <w:p w14:paraId="669D9FC5" w14:textId="77777777" w:rsidR="00801304" w:rsidRPr="00F02BC6" w:rsidRDefault="00801304" w:rsidP="00495804">
            <w:pPr>
              <w:rPr>
                <w:color w:val="000000"/>
                <w:sz w:val="20"/>
                <w:szCs w:val="20"/>
                <w:lang w:val="en-US"/>
              </w:rPr>
            </w:pPr>
            <w:r w:rsidRPr="00F02BC6">
              <w:rPr>
                <w:color w:val="000000"/>
                <w:sz w:val="20"/>
                <w:szCs w:val="20"/>
                <w:lang w:val="en-US"/>
              </w:rPr>
              <w:t>----</w:t>
            </w:r>
          </w:p>
        </w:tc>
      </w:tr>
      <w:tr w:rsidR="00801304" w:rsidRPr="00F02BC6" w14:paraId="5151458E" w14:textId="77777777" w:rsidTr="005F62B6">
        <w:tc>
          <w:tcPr>
            <w:tcW w:w="2219" w:type="dxa"/>
            <w:tcBorders>
              <w:top w:val="single" w:sz="4" w:space="0" w:color="auto"/>
              <w:bottom w:val="single" w:sz="4" w:space="0" w:color="auto"/>
            </w:tcBorders>
          </w:tcPr>
          <w:p w14:paraId="56A58B99" w14:textId="77777777" w:rsidR="00801304" w:rsidRPr="00F02BC6" w:rsidRDefault="00801304" w:rsidP="00495804">
            <w:pPr>
              <w:rPr>
                <w:b/>
                <w:color w:val="000000"/>
                <w:sz w:val="20"/>
                <w:szCs w:val="20"/>
                <w:lang w:val="en-US"/>
              </w:rPr>
            </w:pPr>
            <w:r w:rsidRPr="00F02BC6">
              <w:rPr>
                <w:b/>
                <w:color w:val="000000"/>
                <w:sz w:val="20"/>
                <w:szCs w:val="20"/>
                <w:lang w:val="en-US"/>
              </w:rPr>
              <w:t>Author</w:t>
            </w:r>
          </w:p>
        </w:tc>
        <w:tc>
          <w:tcPr>
            <w:tcW w:w="1984" w:type="dxa"/>
            <w:tcBorders>
              <w:top w:val="single" w:sz="4" w:space="0" w:color="auto"/>
              <w:bottom w:val="single" w:sz="4" w:space="0" w:color="auto"/>
            </w:tcBorders>
          </w:tcPr>
          <w:p w14:paraId="27E9400E" w14:textId="77777777" w:rsidR="00801304" w:rsidRPr="00F02BC6" w:rsidRDefault="00801304" w:rsidP="00495804">
            <w:pPr>
              <w:rPr>
                <w:b/>
                <w:color w:val="000000"/>
                <w:sz w:val="20"/>
                <w:szCs w:val="20"/>
                <w:lang w:val="en-US"/>
              </w:rPr>
            </w:pPr>
          </w:p>
        </w:tc>
        <w:tc>
          <w:tcPr>
            <w:tcW w:w="1843" w:type="dxa"/>
            <w:tcBorders>
              <w:top w:val="single" w:sz="4" w:space="0" w:color="auto"/>
              <w:bottom w:val="single" w:sz="4" w:space="0" w:color="auto"/>
            </w:tcBorders>
          </w:tcPr>
          <w:p w14:paraId="3A4B19E6" w14:textId="77777777" w:rsidR="00801304" w:rsidRPr="00F02BC6" w:rsidRDefault="00801304" w:rsidP="00495804">
            <w:pPr>
              <w:rPr>
                <w:b/>
                <w:color w:val="000000"/>
                <w:sz w:val="20"/>
                <w:szCs w:val="20"/>
                <w:lang w:val="en-US"/>
              </w:rPr>
            </w:pPr>
            <w:r w:rsidRPr="00F02BC6">
              <w:rPr>
                <w:b/>
                <w:color w:val="000000"/>
                <w:sz w:val="20"/>
                <w:szCs w:val="20"/>
                <w:lang w:val="en-US"/>
              </w:rPr>
              <w:t>Mean Medication Adherence Rate± Standard deviation</w:t>
            </w:r>
          </w:p>
        </w:tc>
        <w:tc>
          <w:tcPr>
            <w:tcW w:w="2127" w:type="dxa"/>
            <w:tcBorders>
              <w:top w:val="single" w:sz="4" w:space="0" w:color="auto"/>
              <w:bottom w:val="single" w:sz="4" w:space="0" w:color="auto"/>
            </w:tcBorders>
          </w:tcPr>
          <w:p w14:paraId="6E2D6AF6" w14:textId="77777777" w:rsidR="00801304" w:rsidRPr="00F02BC6" w:rsidRDefault="00801304" w:rsidP="00495804">
            <w:pPr>
              <w:rPr>
                <w:b/>
                <w:color w:val="000000"/>
                <w:sz w:val="20"/>
                <w:szCs w:val="20"/>
                <w:lang w:val="en-US"/>
              </w:rPr>
            </w:pPr>
            <w:r w:rsidRPr="00F02BC6">
              <w:rPr>
                <w:b/>
                <w:color w:val="000000"/>
                <w:sz w:val="20"/>
                <w:szCs w:val="20"/>
                <w:lang w:val="en-US"/>
              </w:rPr>
              <w:t>Medication Adherence rate Threshold</w:t>
            </w:r>
          </w:p>
        </w:tc>
        <w:tc>
          <w:tcPr>
            <w:tcW w:w="2976" w:type="dxa"/>
            <w:tcBorders>
              <w:top w:val="single" w:sz="4" w:space="0" w:color="auto"/>
              <w:bottom w:val="single" w:sz="4" w:space="0" w:color="auto"/>
            </w:tcBorders>
          </w:tcPr>
          <w:p w14:paraId="5F6D5A79" w14:textId="77777777" w:rsidR="00801304" w:rsidRPr="00F02BC6" w:rsidRDefault="00801304" w:rsidP="00495804">
            <w:pPr>
              <w:rPr>
                <w:b/>
                <w:color w:val="000000"/>
                <w:sz w:val="20"/>
                <w:szCs w:val="20"/>
                <w:lang w:val="en-US"/>
              </w:rPr>
            </w:pPr>
            <w:r w:rsidRPr="00F02BC6">
              <w:rPr>
                <w:b/>
                <w:color w:val="000000"/>
                <w:sz w:val="20"/>
                <w:szCs w:val="20"/>
                <w:lang w:val="en-US"/>
              </w:rPr>
              <w:t>Probability to reach the targeted clinical outcome with Medication Adherence Threshold (Odds ratios [OR], Hazards ratios [HR] and Confidence Interval [CI])</w:t>
            </w:r>
          </w:p>
        </w:tc>
        <w:tc>
          <w:tcPr>
            <w:tcW w:w="2693" w:type="dxa"/>
            <w:tcBorders>
              <w:top w:val="single" w:sz="4" w:space="0" w:color="auto"/>
              <w:bottom w:val="single" w:sz="4" w:space="0" w:color="auto"/>
            </w:tcBorders>
          </w:tcPr>
          <w:p w14:paraId="0134BE96" w14:textId="77777777" w:rsidR="00801304" w:rsidRPr="00F02BC6" w:rsidRDefault="00801304" w:rsidP="00495804">
            <w:pPr>
              <w:rPr>
                <w:b/>
                <w:color w:val="000000"/>
                <w:sz w:val="20"/>
                <w:szCs w:val="20"/>
                <w:lang w:val="en-US"/>
              </w:rPr>
            </w:pPr>
            <w:r w:rsidRPr="00F02BC6">
              <w:rPr>
                <w:b/>
                <w:color w:val="000000"/>
                <w:sz w:val="20"/>
                <w:szCs w:val="20"/>
                <w:lang w:val="en-US"/>
              </w:rPr>
              <w:t>Methods of Threshold Determination</w:t>
            </w:r>
          </w:p>
        </w:tc>
        <w:tc>
          <w:tcPr>
            <w:tcW w:w="1559" w:type="dxa"/>
            <w:gridSpan w:val="2"/>
            <w:tcBorders>
              <w:top w:val="single" w:sz="4" w:space="0" w:color="auto"/>
              <w:bottom w:val="single" w:sz="4" w:space="0" w:color="auto"/>
            </w:tcBorders>
          </w:tcPr>
          <w:p w14:paraId="5F801FD0" w14:textId="77777777" w:rsidR="00801304" w:rsidRPr="00F02BC6" w:rsidRDefault="00801304" w:rsidP="00495804">
            <w:pPr>
              <w:rPr>
                <w:b/>
                <w:color w:val="000000"/>
                <w:sz w:val="20"/>
                <w:szCs w:val="20"/>
                <w:lang w:val="en-US"/>
              </w:rPr>
            </w:pPr>
            <w:r w:rsidRPr="00F02BC6">
              <w:rPr>
                <w:b/>
                <w:color w:val="000000"/>
                <w:sz w:val="20"/>
                <w:szCs w:val="20"/>
                <w:lang w:val="en-US"/>
              </w:rPr>
              <w:t>Nonadherence Prevalence</w:t>
            </w:r>
          </w:p>
        </w:tc>
      </w:tr>
      <w:tr w:rsidR="00801304" w:rsidRPr="00F02BC6" w14:paraId="1999C097" w14:textId="77777777" w:rsidTr="005F62B6">
        <w:tc>
          <w:tcPr>
            <w:tcW w:w="2219" w:type="dxa"/>
            <w:tcBorders>
              <w:top w:val="single" w:sz="4" w:space="0" w:color="auto"/>
            </w:tcBorders>
          </w:tcPr>
          <w:p w14:paraId="35E63978" w14:textId="77777777" w:rsidR="00801304" w:rsidRPr="00F02BC6" w:rsidRDefault="00801304" w:rsidP="00495804">
            <w:pPr>
              <w:rPr>
                <w:color w:val="000000"/>
                <w:sz w:val="20"/>
                <w:szCs w:val="20"/>
                <w:lang w:val="en-US"/>
              </w:rPr>
            </w:pPr>
            <w:proofErr w:type="spellStart"/>
            <w:r w:rsidRPr="00F02BC6">
              <w:rPr>
                <w:color w:val="000000"/>
                <w:sz w:val="20"/>
                <w:szCs w:val="20"/>
                <w:lang w:val="en-US"/>
              </w:rPr>
              <w:t>Gelzer</w:t>
            </w:r>
            <w:proofErr w:type="spellEnd"/>
            <w:r w:rsidRPr="00F02BC6">
              <w:rPr>
                <w:color w:val="000000"/>
                <w:sz w:val="20"/>
                <w:szCs w:val="20"/>
                <w:lang w:val="en-US"/>
              </w:rPr>
              <w:t xml:space="preserve"> et al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{"citationItems":[{"id":"ITEM-1","itemData":{"DOI":"10.1080/02770903.2018.1439954","ISSN":"15324303","abstract":"Objective: To measure the effectiveness of managed care-led interventions in Medicaid subjects with asthma on medication adherence and acute hospitalization in Pennsylvania. Methods: A total of 3589 members (age range, 5–64 years) served by two Pennsylvania-based Medicaid managed care plans (southeastern Pennsylvania [SEPA] and Lehigh-Capital/New West Pennsylvania [LCNWPA]) with low adherence rates (proportion of days covered [PDC]; 20%–67%) for asthma controller prescription fills in 2012 were guided through a care continuum by a comprehensive asthma strategy, consisting of adherence-improvement interventions (grouped as general intervention [GI] or personalized intervention [PI] for higher-risk subjects). Medication adherence and acute hospitalization rates (emergency department [ED] and inpatient [IP]) were compared at baseline versus one-year post-intervention using paired t-test or signed-rank tests. Repeated measures analysis of variances detected the interaction effect of time by intervention group after controlling for sociodemographic covariates. Results: Member profiles in SEPA (n = 2 796) and LCNWPA (n = 793) were racially and ethnically distinct. Both cohorts experienced statistically significant improvements in mean PDC rate (+4.9% and +7.2%; p = 0.01 and p = 0.03, respectively), accompanied by significant reductions in ED visits (asthma-related: −23.0% and −17.5%, respectively; p &lt; 0.01), and IP admissions (asthma-related: −37.1% and −40.0%, respectively; p &lt; 0.01). The PI subcohorts showed significantly greater improvements in mean PDC versus GI subcohorts (p ≤ 0.04), whereas acute hospitalization rates were statistically comparable in the SEPA cohort, despite its greater asthma burden. Conclusions: Managed care-led interventions can effectively improve medication adherence and reduce acute hospitalizations in high-risk Medicaid populations.","author":[{"dropping-particle":"","family":"Gelzer","given":"Andrea D.","non-dropping-particle":"","parse-names":false,"suffix":""},{"dropping-particle":"","family":"Gao","given":"Wanzhen","non-dropping-particle":"","parse-names":false,"suffix":""},{"dropping-particle":"","family":"Keleti","given":"David","non-dropping-particle":"","parse-names":false,"suffix":""},{"dropping-particle":"","family":"Donia","given":"Thomas","non-dropping-particle":"","parse-names":false,"suffix":""},{"dropping-particle":"","family":"Megargell","given":"Lauren","non-dropping-particle":"","parse-names":false,"suffix":""},{"dropping-particle":"","family":"Kreitman","given":"Jeffrey","non-dropping-particle":"","parse-names":false,"suffix":""},{"dropping-particle":"","family":"Michael","given":"Karen E.","non-dropping-particle":"","parse-names":false,"suffix":""}],"container-title":"Journal of Asthma","id":"ITEM-1","issue":"2","issued":{"date-parts":[["2019"]]},"page":"190-199","publisher":"Taylor &amp; Francis","title":"Multifaceted interventions improve medication adherence and reduce acute hospitalization rates in medicaid patients prescribed asthma controllers","type":"article-journal","volume":"56"},"uris":["http://www.mendeley.com/documents/?uuid=d0d8934c-faee-4fb1-98c6-f6a0b74ba5c8"]}],"mendeley":{"formattedCitation":"(30)","plainTextFormattedCitation":"(30)","previouslyFormattedCitation":"(30)"},"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(30)</w:t>
            </w:r>
            <w:r w:rsidRPr="00F02BC6">
              <w:rPr>
                <w:color w:val="000000"/>
                <w:sz w:val="20"/>
                <w:szCs w:val="20"/>
                <w:vertAlign w:val="superscript"/>
                <w:lang w:val="en-US"/>
              </w:rPr>
              <w:fldChar w:fldCharType="end"/>
            </w:r>
          </w:p>
        </w:tc>
        <w:tc>
          <w:tcPr>
            <w:tcW w:w="1984" w:type="dxa"/>
            <w:tcBorders>
              <w:top w:val="single" w:sz="4" w:space="0" w:color="auto"/>
            </w:tcBorders>
          </w:tcPr>
          <w:p w14:paraId="5C37851D" w14:textId="2EA50AC2" w:rsidR="00801304" w:rsidRPr="00F02BC6" w:rsidRDefault="006F7569" w:rsidP="00495804">
            <w:pPr>
              <w:rPr>
                <w:color w:val="000000"/>
                <w:sz w:val="20"/>
                <w:szCs w:val="20"/>
                <w:lang w:val="en-US"/>
              </w:rPr>
            </w:pPr>
            <w:r w:rsidRPr="00F02BC6">
              <w:rPr>
                <w:color w:val="000000"/>
                <w:sz w:val="20"/>
                <w:szCs w:val="20"/>
                <w:lang w:val="en-US"/>
              </w:rPr>
              <w:t xml:space="preserve">Patients </w:t>
            </w:r>
            <w:r w:rsidR="00EC212F" w:rsidRPr="00F02BC6">
              <w:rPr>
                <w:color w:val="000000"/>
                <w:sz w:val="20"/>
                <w:szCs w:val="20"/>
                <w:lang w:val="en-US"/>
              </w:rPr>
              <w:t>were identified as having primary diagnosis of asthma (ICD-9, 493.xx and prescription fills for asthma controllers.</w:t>
            </w:r>
          </w:p>
        </w:tc>
        <w:tc>
          <w:tcPr>
            <w:tcW w:w="1843" w:type="dxa"/>
            <w:tcBorders>
              <w:top w:val="single" w:sz="4" w:space="0" w:color="auto"/>
            </w:tcBorders>
          </w:tcPr>
          <w:p w14:paraId="58FA7F2D" w14:textId="77777777" w:rsidR="00801304" w:rsidRPr="00F02BC6" w:rsidRDefault="00801304" w:rsidP="00495804">
            <w:pPr>
              <w:rPr>
                <w:color w:val="000000"/>
                <w:sz w:val="20"/>
                <w:szCs w:val="20"/>
                <w:lang w:val="en-US"/>
              </w:rPr>
            </w:pPr>
            <w:r w:rsidRPr="00F02BC6">
              <w:rPr>
                <w:color w:val="000000"/>
                <w:sz w:val="20"/>
                <w:szCs w:val="20"/>
                <w:lang w:val="en-US"/>
              </w:rPr>
              <w:t xml:space="preserve"> ----</w:t>
            </w:r>
          </w:p>
        </w:tc>
        <w:tc>
          <w:tcPr>
            <w:tcW w:w="2127" w:type="dxa"/>
            <w:tcBorders>
              <w:top w:val="single" w:sz="4" w:space="0" w:color="auto"/>
            </w:tcBorders>
          </w:tcPr>
          <w:p w14:paraId="1CEDD2CB" w14:textId="77777777" w:rsidR="00801304" w:rsidRPr="00F02BC6" w:rsidRDefault="00801304" w:rsidP="00495804">
            <w:pPr>
              <w:rPr>
                <w:color w:val="000000"/>
                <w:sz w:val="20"/>
                <w:szCs w:val="20"/>
                <w:lang w:val="en-US"/>
              </w:rPr>
            </w:pPr>
            <w:r w:rsidRPr="00F02BC6">
              <w:rPr>
                <w:color w:val="000000"/>
                <w:sz w:val="20"/>
                <w:szCs w:val="20"/>
                <w:lang w:val="en-US"/>
              </w:rPr>
              <w:t>PDC 20-67%</w:t>
            </w:r>
          </w:p>
        </w:tc>
        <w:tc>
          <w:tcPr>
            <w:tcW w:w="2976" w:type="dxa"/>
            <w:tcBorders>
              <w:top w:val="single" w:sz="4" w:space="0" w:color="auto"/>
            </w:tcBorders>
          </w:tcPr>
          <w:p w14:paraId="6ABC695F" w14:textId="77777777" w:rsidR="00801304" w:rsidRPr="00F02BC6" w:rsidRDefault="00801304" w:rsidP="00495804">
            <w:pPr>
              <w:rPr>
                <w:color w:val="000000"/>
                <w:sz w:val="20"/>
                <w:szCs w:val="20"/>
                <w:lang w:val="en-US"/>
              </w:rPr>
            </w:pPr>
            <w:r w:rsidRPr="00F02BC6">
              <w:rPr>
                <w:color w:val="000000"/>
                <w:sz w:val="20"/>
                <w:szCs w:val="20"/>
                <w:lang w:val="en-US"/>
              </w:rPr>
              <w:t>Mean PDC rate in managed care-led interventions between two groups (+4.9% and +7.2%; </w:t>
            </w:r>
            <w:r w:rsidRPr="00F02BC6">
              <w:rPr>
                <w:i/>
                <w:iCs/>
                <w:color w:val="000000"/>
                <w:sz w:val="20"/>
                <w:szCs w:val="20"/>
                <w:lang w:val="en-US"/>
              </w:rPr>
              <w:t>p</w:t>
            </w:r>
            <w:r w:rsidRPr="00F02BC6">
              <w:rPr>
                <w:color w:val="000000"/>
                <w:sz w:val="20"/>
                <w:szCs w:val="20"/>
                <w:lang w:val="en-US"/>
              </w:rPr>
              <w:t> = 0.01 and </w:t>
            </w:r>
            <w:r w:rsidRPr="00F02BC6">
              <w:rPr>
                <w:i/>
                <w:iCs/>
                <w:color w:val="000000"/>
                <w:sz w:val="20"/>
                <w:szCs w:val="20"/>
                <w:lang w:val="en-US"/>
              </w:rPr>
              <w:t>p</w:t>
            </w:r>
            <w:r w:rsidRPr="00F02BC6">
              <w:rPr>
                <w:color w:val="000000"/>
                <w:sz w:val="20"/>
                <w:szCs w:val="20"/>
                <w:lang w:val="en-US"/>
              </w:rPr>
              <w:t> = 0.03, respectively)</w:t>
            </w:r>
          </w:p>
          <w:p w14:paraId="5923411E" w14:textId="77777777" w:rsidR="00801304" w:rsidRPr="00F02BC6" w:rsidRDefault="00801304" w:rsidP="00495804">
            <w:pPr>
              <w:rPr>
                <w:color w:val="000000"/>
                <w:sz w:val="20"/>
                <w:szCs w:val="20"/>
                <w:lang w:val="en-US"/>
              </w:rPr>
            </w:pPr>
            <w:r w:rsidRPr="00F02BC6">
              <w:rPr>
                <w:color w:val="000000"/>
                <w:sz w:val="20"/>
                <w:szCs w:val="20"/>
                <w:lang w:val="en-US"/>
              </w:rPr>
              <w:t>Reductions in ED visits (asthma-related: −23.0% and −17.5%, respectively; </w:t>
            </w:r>
            <w:r w:rsidRPr="00F02BC6">
              <w:rPr>
                <w:i/>
                <w:iCs/>
                <w:color w:val="000000"/>
                <w:sz w:val="20"/>
                <w:szCs w:val="20"/>
                <w:lang w:val="en-US"/>
              </w:rPr>
              <w:t>p</w:t>
            </w:r>
            <w:r w:rsidRPr="00F02BC6">
              <w:rPr>
                <w:color w:val="000000"/>
                <w:sz w:val="20"/>
                <w:szCs w:val="20"/>
                <w:lang w:val="en-US"/>
              </w:rPr>
              <w:t> &lt; 0.01), and IP admissions (asthma-related: −37.1% and −40.0%, respectively; </w:t>
            </w:r>
            <w:r w:rsidRPr="00F02BC6">
              <w:rPr>
                <w:i/>
                <w:iCs/>
                <w:color w:val="000000"/>
                <w:sz w:val="20"/>
                <w:szCs w:val="20"/>
                <w:lang w:val="en-US"/>
              </w:rPr>
              <w:t>p</w:t>
            </w:r>
            <w:r w:rsidRPr="00F02BC6">
              <w:rPr>
                <w:color w:val="000000"/>
                <w:sz w:val="20"/>
                <w:szCs w:val="20"/>
                <w:lang w:val="en-US"/>
              </w:rPr>
              <w:t> &lt; 0.01) between two groups on managed care-led interventions</w:t>
            </w:r>
          </w:p>
        </w:tc>
        <w:tc>
          <w:tcPr>
            <w:tcW w:w="2693" w:type="dxa"/>
            <w:tcBorders>
              <w:top w:val="single" w:sz="4" w:space="0" w:color="auto"/>
            </w:tcBorders>
          </w:tcPr>
          <w:p w14:paraId="38861369" w14:textId="77777777" w:rsidR="00801304" w:rsidRPr="00F02BC6" w:rsidRDefault="00801304" w:rsidP="00495804">
            <w:pPr>
              <w:rPr>
                <w:color w:val="000000"/>
                <w:sz w:val="20"/>
                <w:szCs w:val="20"/>
                <w:lang w:val="en-US"/>
              </w:rPr>
            </w:pPr>
            <w:r w:rsidRPr="00F02BC6">
              <w:rPr>
                <w:color w:val="000000"/>
                <w:sz w:val="20"/>
                <w:szCs w:val="20"/>
                <w:lang w:val="en-US"/>
              </w:rPr>
              <w:t>Paired t-tests</w:t>
            </w:r>
          </w:p>
          <w:p w14:paraId="0AA3721F" w14:textId="77777777" w:rsidR="00801304" w:rsidRPr="00F02BC6" w:rsidRDefault="00801304" w:rsidP="00495804">
            <w:pPr>
              <w:rPr>
                <w:color w:val="000000"/>
                <w:sz w:val="20"/>
                <w:szCs w:val="20"/>
                <w:lang w:val="en-US"/>
              </w:rPr>
            </w:pPr>
            <w:r w:rsidRPr="00F02BC6">
              <w:rPr>
                <w:color w:val="000000"/>
                <w:sz w:val="20"/>
                <w:szCs w:val="20"/>
                <w:lang w:val="en-US"/>
              </w:rPr>
              <w:t>Repeated analysis of variance</w:t>
            </w:r>
          </w:p>
        </w:tc>
        <w:tc>
          <w:tcPr>
            <w:tcW w:w="1559" w:type="dxa"/>
            <w:gridSpan w:val="2"/>
            <w:tcBorders>
              <w:top w:val="single" w:sz="4" w:space="0" w:color="auto"/>
            </w:tcBorders>
          </w:tcPr>
          <w:p w14:paraId="3B5DD3F9" w14:textId="77777777" w:rsidR="00801304" w:rsidRPr="00F02BC6" w:rsidRDefault="00801304" w:rsidP="00495804">
            <w:pPr>
              <w:rPr>
                <w:color w:val="000000"/>
                <w:sz w:val="20"/>
                <w:szCs w:val="20"/>
                <w:lang w:val="en-US"/>
              </w:rPr>
            </w:pPr>
            <w:r w:rsidRPr="00F02BC6">
              <w:rPr>
                <w:color w:val="000000"/>
                <w:sz w:val="20"/>
                <w:szCs w:val="20"/>
                <w:lang w:val="en-US"/>
              </w:rPr>
              <w:t>---</w:t>
            </w:r>
          </w:p>
        </w:tc>
      </w:tr>
      <w:tr w:rsidR="00801304" w:rsidRPr="00F02BC6" w14:paraId="0EDF6F50" w14:textId="77777777" w:rsidTr="005F62B6">
        <w:tc>
          <w:tcPr>
            <w:tcW w:w="2219" w:type="dxa"/>
          </w:tcPr>
          <w:p w14:paraId="3A7E1F1F" w14:textId="77777777" w:rsidR="00801304" w:rsidRPr="00F02BC6" w:rsidRDefault="00801304" w:rsidP="00495804">
            <w:pPr>
              <w:rPr>
                <w:b/>
                <w:color w:val="000000"/>
                <w:sz w:val="20"/>
                <w:szCs w:val="20"/>
                <w:lang w:val="en-US"/>
              </w:rPr>
            </w:pPr>
          </w:p>
        </w:tc>
        <w:tc>
          <w:tcPr>
            <w:tcW w:w="1984" w:type="dxa"/>
          </w:tcPr>
          <w:p w14:paraId="137CBFEE" w14:textId="77777777" w:rsidR="00801304" w:rsidRPr="00F02BC6" w:rsidRDefault="00801304" w:rsidP="00495804">
            <w:pPr>
              <w:rPr>
                <w:b/>
                <w:color w:val="000000"/>
                <w:sz w:val="20"/>
                <w:szCs w:val="20"/>
                <w:lang w:val="en-US"/>
              </w:rPr>
            </w:pPr>
          </w:p>
        </w:tc>
        <w:tc>
          <w:tcPr>
            <w:tcW w:w="1843" w:type="dxa"/>
          </w:tcPr>
          <w:p w14:paraId="33DBD4DE" w14:textId="77777777" w:rsidR="00801304" w:rsidRPr="00F02BC6" w:rsidRDefault="00801304" w:rsidP="00495804">
            <w:pPr>
              <w:rPr>
                <w:b/>
                <w:color w:val="000000"/>
                <w:sz w:val="20"/>
                <w:szCs w:val="20"/>
                <w:lang w:val="en-US"/>
              </w:rPr>
            </w:pPr>
          </w:p>
        </w:tc>
        <w:tc>
          <w:tcPr>
            <w:tcW w:w="2127" w:type="dxa"/>
          </w:tcPr>
          <w:p w14:paraId="13822676" w14:textId="77777777" w:rsidR="00801304" w:rsidRPr="00F02BC6" w:rsidRDefault="00801304" w:rsidP="00495804">
            <w:pPr>
              <w:rPr>
                <w:b/>
                <w:color w:val="000000"/>
                <w:sz w:val="20"/>
                <w:szCs w:val="20"/>
                <w:lang w:val="en-US"/>
              </w:rPr>
            </w:pPr>
          </w:p>
        </w:tc>
        <w:tc>
          <w:tcPr>
            <w:tcW w:w="2976" w:type="dxa"/>
          </w:tcPr>
          <w:p w14:paraId="030A403B" w14:textId="77777777" w:rsidR="00801304" w:rsidRPr="00F02BC6" w:rsidRDefault="00801304" w:rsidP="00495804">
            <w:pPr>
              <w:rPr>
                <w:b/>
                <w:color w:val="000000"/>
                <w:sz w:val="20"/>
                <w:szCs w:val="20"/>
                <w:lang w:val="en-US"/>
              </w:rPr>
            </w:pPr>
          </w:p>
        </w:tc>
        <w:tc>
          <w:tcPr>
            <w:tcW w:w="2693" w:type="dxa"/>
          </w:tcPr>
          <w:p w14:paraId="3B4ED639" w14:textId="77777777" w:rsidR="00801304" w:rsidRPr="00F02BC6" w:rsidRDefault="00801304" w:rsidP="00495804">
            <w:pPr>
              <w:rPr>
                <w:b/>
                <w:color w:val="000000"/>
                <w:sz w:val="20"/>
                <w:szCs w:val="20"/>
                <w:lang w:val="en-US"/>
              </w:rPr>
            </w:pPr>
          </w:p>
        </w:tc>
        <w:tc>
          <w:tcPr>
            <w:tcW w:w="1559" w:type="dxa"/>
            <w:gridSpan w:val="2"/>
          </w:tcPr>
          <w:p w14:paraId="5A7D2ACA" w14:textId="77777777" w:rsidR="00801304" w:rsidRPr="00F02BC6" w:rsidRDefault="00801304" w:rsidP="00495804">
            <w:pPr>
              <w:rPr>
                <w:b/>
                <w:color w:val="000000"/>
                <w:sz w:val="20"/>
                <w:szCs w:val="20"/>
                <w:lang w:val="en-US"/>
              </w:rPr>
            </w:pPr>
          </w:p>
        </w:tc>
      </w:tr>
      <w:tr w:rsidR="00801304" w:rsidRPr="00F02BC6" w14:paraId="2A6038D4" w14:textId="77777777" w:rsidTr="005F62B6">
        <w:tc>
          <w:tcPr>
            <w:tcW w:w="2219" w:type="dxa"/>
          </w:tcPr>
          <w:p w14:paraId="2CBE0111" w14:textId="77777777" w:rsidR="00801304" w:rsidRPr="00F02BC6" w:rsidRDefault="00801304" w:rsidP="00495804">
            <w:pPr>
              <w:rPr>
                <w:color w:val="000000"/>
                <w:sz w:val="20"/>
                <w:szCs w:val="20"/>
                <w:lang w:val="en-US"/>
              </w:rPr>
            </w:pPr>
            <w:r w:rsidRPr="00F02BC6">
              <w:rPr>
                <w:color w:val="000000"/>
                <w:sz w:val="20"/>
                <w:szCs w:val="20"/>
                <w:lang w:val="en-US"/>
              </w:rPr>
              <w:t xml:space="preserve">Guo et al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{"citationItems":[{"id":"ITEM-1","itemData":{"DOI":"10.1016/j.jval.2012.03.314","ISSN":"10983015","abstract":"OBJECTIVES: Inhaled corticosteroids (ICSs) and long-acting beta-agonists (LABAs) have been recommended for patients with moderate to severe persistent asthma. This study quantified medication possession ratios (MPRs) for those asthmatic patients and assessed the association between severe asthma exacerbations (SAEs) and degree of medication compliance. METHODS: The primary data source was the MarketScan Multistate Medicaid database from 2002 to 2007. A total of 299,917 patients (ages 0-64) with moderate or severe asthma were selected. Drug use was tracked for ICSs, LABAs, ICS/LABA combination drugs, short-acting beta agonists leukotriene modifiers, and oral and IV steroids. An ICS-and-LABA MPR was calculated as the sum of days' supply for ICS and LABA drugs divided by the number of follow-up days during the first year after the patient's asthma index date. Logistic regressions were used to assess the risk of SAEs associated with degree of medication compliance. RESULTS: There were 21,852 (7.3%) patients with severe persistent and 278,065 (92.7%) patients with moderate persistent asthma. Within 12 months after asthma index date, average MPRs were 0.23 (median 0.14) for ICSs and LABAs and 0.66 (median 0.46) across all asthma medications. After controlling for covariates like age, gender, race, and comorbidities, the odds ratios of an asthmarelated emergency department (ED) visit was 0.81 (0.79-0.84) for a higher ICS-and- LABA MPR, but the odds ratio of asthma-related hospitalization or intubation was 1.56 (1.50-1.62). Other key risk factors (p&lt;0.0001) included being African American, having an alcohol/substance abuse disorder, pregnancy, obesity, and upper respiratory tract infection. CONCLUSIONS: A higher ICS-and-LABA MPR appears to be associated with a lower risk of asthma-related ED visits, but higher risk of asthmarelated hospitalization or intubation. Certain patients with asthma, such as pregnant adolescents and African Americans, seem particularly vulnerable to SAEs.","author":[{"dropping-particle":"","family":"Guo","given":"J.J.","non-dropping-particle":"","parse-names":false,"suffix":""},{"dropping-particle":"","family":"Kelton","given":"C.M.","non-dropping-particle":"","parse-names":false,"suffix":""},{"dropping-particle":"","family":"Tsai","given":"K.","non-dropping-particle":"","parse-names":false,"suffix":""},{"dropping-particle":"","family":"Cai","given":"B.","non-dropping-particle":"","parse-names":false,"suffix":""},{"dropping-particle":"","family":"Bian","given":"B.","non-dropping-particle":"","parse-names":false,"suffix":""},{"dropping-particle":"","family":"Wigle","given":"P.R.","non-dropping-particle":"","parse-names":false,"suffix":""}],"container-title":"Value in Health","id":"ITEM-1","issue":"4","issued":{"date-parts":[["2012"]]},"page":"A57","publisher":"Elsevier Inc.","title":"PRS30 Inhaled Corticosteroid and Long-Acting Beta-Agonist Medication Compliance in Patients with Moderate and Severe Asthma","type":"article-journal","volume":"15"},"uris":["http://www.mendeley.com/documents/?uuid=624b19a3-3679-4d31-8b65-eced68355873"]}],"mendeley":{"formattedCitation":"(31)","plainTextFormattedCitation":"(31)","previouslyFormattedCitation":"(31)"},"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(31)</w:t>
            </w:r>
            <w:r w:rsidRPr="00F02BC6">
              <w:rPr>
                <w:color w:val="000000"/>
                <w:sz w:val="20"/>
                <w:szCs w:val="20"/>
                <w:vertAlign w:val="superscript"/>
                <w:lang w:val="en-US"/>
              </w:rPr>
              <w:fldChar w:fldCharType="end"/>
            </w:r>
          </w:p>
        </w:tc>
        <w:tc>
          <w:tcPr>
            <w:tcW w:w="1984" w:type="dxa"/>
          </w:tcPr>
          <w:p w14:paraId="103BBB13" w14:textId="6F2B22E7" w:rsidR="00801304" w:rsidRPr="00F02BC6" w:rsidRDefault="006C58B4" w:rsidP="00495804">
            <w:pPr>
              <w:rPr>
                <w:color w:val="000000"/>
                <w:sz w:val="20"/>
                <w:szCs w:val="20"/>
                <w:lang w:val="en-US"/>
              </w:rPr>
            </w:pPr>
            <w:r w:rsidRPr="00F02BC6">
              <w:rPr>
                <w:color w:val="000000"/>
                <w:sz w:val="20"/>
                <w:szCs w:val="20"/>
                <w:lang w:val="en-US"/>
              </w:rPr>
              <w:t>Patients identified as moderate to severe asthma with prescription of ICS-and -LABA.</w:t>
            </w:r>
          </w:p>
        </w:tc>
        <w:tc>
          <w:tcPr>
            <w:tcW w:w="1843" w:type="dxa"/>
          </w:tcPr>
          <w:p w14:paraId="5E848FD5" w14:textId="77777777" w:rsidR="00801304" w:rsidRPr="00F02BC6" w:rsidRDefault="00801304" w:rsidP="00495804">
            <w:pPr>
              <w:rPr>
                <w:color w:val="000000"/>
                <w:sz w:val="20"/>
                <w:szCs w:val="20"/>
                <w:lang w:val="en-US"/>
              </w:rPr>
            </w:pPr>
            <w:r w:rsidRPr="00F02BC6">
              <w:rPr>
                <w:color w:val="000000"/>
                <w:sz w:val="20"/>
                <w:szCs w:val="20"/>
                <w:lang w:val="en-US"/>
              </w:rPr>
              <w:t xml:space="preserve">MPR </w:t>
            </w:r>
          </w:p>
          <w:p w14:paraId="1E8EC69B" w14:textId="77777777" w:rsidR="00801304" w:rsidRPr="00F02BC6" w:rsidRDefault="00801304" w:rsidP="00495804">
            <w:pPr>
              <w:rPr>
                <w:color w:val="000000"/>
                <w:sz w:val="20"/>
                <w:szCs w:val="20"/>
                <w:lang w:val="en-US"/>
              </w:rPr>
            </w:pPr>
            <w:r w:rsidRPr="00F02BC6">
              <w:rPr>
                <w:color w:val="000000"/>
                <w:sz w:val="20"/>
                <w:szCs w:val="20"/>
                <w:lang w:val="en-US"/>
              </w:rPr>
              <w:t xml:space="preserve">[0.23 (median 0.14)] for ICSs </w:t>
            </w:r>
          </w:p>
          <w:p w14:paraId="6665F52F" w14:textId="77777777" w:rsidR="00801304" w:rsidRPr="00F02BC6" w:rsidRDefault="00801304" w:rsidP="00495804">
            <w:pPr>
              <w:rPr>
                <w:color w:val="000000"/>
                <w:sz w:val="20"/>
                <w:szCs w:val="20"/>
                <w:lang w:val="en-US"/>
              </w:rPr>
            </w:pPr>
            <w:r w:rsidRPr="00F02BC6">
              <w:rPr>
                <w:color w:val="000000"/>
                <w:sz w:val="20"/>
                <w:szCs w:val="20"/>
                <w:lang w:val="en-US"/>
              </w:rPr>
              <w:t>[0.66 (median 0.46)] for all asthma medications</w:t>
            </w:r>
          </w:p>
        </w:tc>
        <w:tc>
          <w:tcPr>
            <w:tcW w:w="2127" w:type="dxa"/>
          </w:tcPr>
          <w:p w14:paraId="707BF3D9" w14:textId="77777777" w:rsidR="00801304" w:rsidRPr="00F02BC6" w:rsidRDefault="00801304" w:rsidP="00495804">
            <w:pPr>
              <w:rPr>
                <w:color w:val="000000"/>
                <w:sz w:val="20"/>
                <w:szCs w:val="20"/>
                <w:lang w:val="en-US"/>
              </w:rPr>
            </w:pPr>
            <w:r w:rsidRPr="00F02BC6">
              <w:rPr>
                <w:color w:val="000000"/>
                <w:sz w:val="20"/>
                <w:szCs w:val="20"/>
                <w:lang w:val="en-US"/>
              </w:rPr>
              <w:t>---</w:t>
            </w:r>
          </w:p>
        </w:tc>
        <w:tc>
          <w:tcPr>
            <w:tcW w:w="2976" w:type="dxa"/>
          </w:tcPr>
          <w:p w14:paraId="5E46BBA0" w14:textId="77777777" w:rsidR="00801304" w:rsidRPr="00F02BC6" w:rsidRDefault="00801304" w:rsidP="00495804">
            <w:pPr>
              <w:rPr>
                <w:color w:val="000000"/>
                <w:sz w:val="20"/>
                <w:szCs w:val="20"/>
                <w:lang w:val="en-US"/>
              </w:rPr>
            </w:pPr>
            <w:r w:rsidRPr="00F02BC6">
              <w:rPr>
                <w:color w:val="000000"/>
                <w:sz w:val="20"/>
                <w:szCs w:val="20"/>
                <w:lang w:val="en-US"/>
              </w:rPr>
              <w:t>odds ratios of an asthma related</w:t>
            </w:r>
          </w:p>
          <w:p w14:paraId="5A98C343" w14:textId="77777777" w:rsidR="00801304" w:rsidRPr="00F02BC6" w:rsidRDefault="00801304" w:rsidP="00495804">
            <w:pPr>
              <w:rPr>
                <w:color w:val="000000"/>
                <w:sz w:val="20"/>
                <w:szCs w:val="20"/>
                <w:lang w:val="en-US"/>
              </w:rPr>
            </w:pPr>
            <w:r w:rsidRPr="00F02BC6">
              <w:rPr>
                <w:color w:val="000000"/>
                <w:sz w:val="20"/>
                <w:szCs w:val="20"/>
                <w:lang w:val="en-US"/>
              </w:rPr>
              <w:t>emergency department (ED) visit was 0.81 (0.79-0.84) for a higher ICS-and-LABA MPR, but the odds ratio of asthma-related hospitalization or intubation was</w:t>
            </w:r>
          </w:p>
          <w:p w14:paraId="3187CEE3" w14:textId="77777777" w:rsidR="00801304" w:rsidRPr="00F02BC6" w:rsidRDefault="00801304" w:rsidP="00495804">
            <w:pPr>
              <w:rPr>
                <w:color w:val="000000"/>
                <w:sz w:val="20"/>
                <w:szCs w:val="20"/>
                <w:lang w:val="en-US"/>
              </w:rPr>
            </w:pPr>
            <w:r w:rsidRPr="00F02BC6">
              <w:rPr>
                <w:color w:val="000000"/>
                <w:sz w:val="20"/>
                <w:szCs w:val="20"/>
                <w:lang w:val="en-US"/>
              </w:rPr>
              <w:t>1.56 (1.50-1.62)</w:t>
            </w:r>
          </w:p>
        </w:tc>
        <w:tc>
          <w:tcPr>
            <w:tcW w:w="2693" w:type="dxa"/>
          </w:tcPr>
          <w:p w14:paraId="4218A35F" w14:textId="77777777" w:rsidR="00801304" w:rsidRPr="00F02BC6" w:rsidRDefault="00801304" w:rsidP="00495804">
            <w:pPr>
              <w:rPr>
                <w:color w:val="000000"/>
                <w:sz w:val="20"/>
                <w:szCs w:val="20"/>
                <w:lang w:val="en-US"/>
              </w:rPr>
            </w:pPr>
            <w:r w:rsidRPr="00F02BC6">
              <w:rPr>
                <w:color w:val="000000"/>
                <w:sz w:val="20"/>
                <w:szCs w:val="20"/>
                <w:lang w:val="en-US"/>
              </w:rPr>
              <w:t>Logistic Regression Analysis</w:t>
            </w:r>
          </w:p>
        </w:tc>
        <w:tc>
          <w:tcPr>
            <w:tcW w:w="1559" w:type="dxa"/>
            <w:gridSpan w:val="2"/>
          </w:tcPr>
          <w:p w14:paraId="4640433C" w14:textId="77777777" w:rsidR="00801304" w:rsidRPr="00F02BC6" w:rsidRDefault="00801304" w:rsidP="00495804">
            <w:pPr>
              <w:rPr>
                <w:color w:val="000000"/>
                <w:sz w:val="20"/>
                <w:szCs w:val="20"/>
                <w:lang w:val="en-US"/>
              </w:rPr>
            </w:pPr>
            <w:r w:rsidRPr="00F02BC6">
              <w:rPr>
                <w:color w:val="000000"/>
                <w:sz w:val="20"/>
                <w:szCs w:val="20"/>
                <w:lang w:val="en-US"/>
              </w:rPr>
              <w:t>---</w:t>
            </w:r>
          </w:p>
        </w:tc>
      </w:tr>
      <w:tr w:rsidR="00801304" w:rsidRPr="00F02BC6" w14:paraId="2BE29EA9" w14:textId="77777777" w:rsidTr="005F62B6">
        <w:tc>
          <w:tcPr>
            <w:tcW w:w="2219" w:type="dxa"/>
          </w:tcPr>
          <w:p w14:paraId="4870E34C" w14:textId="77777777" w:rsidR="00801304" w:rsidRPr="00F02BC6" w:rsidRDefault="00801304" w:rsidP="00495804">
            <w:pPr>
              <w:rPr>
                <w:color w:val="000000"/>
                <w:sz w:val="20"/>
                <w:szCs w:val="20"/>
                <w:lang w:val="en-US"/>
              </w:rPr>
            </w:pPr>
            <w:r w:rsidRPr="00F02BC6">
              <w:rPr>
                <w:color w:val="000000"/>
                <w:sz w:val="20"/>
                <w:szCs w:val="20"/>
                <w:lang w:val="en-US"/>
              </w:rPr>
              <w:t xml:space="preserve">Hagiwara et al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{"citationItems":[{"id":"ITEM-1","itemData":{"DOI":"10.3109/02770903.2012.754028","ISSN":"02770903","abstract":"Objective. National asthma treatment guidelines recommend low/medium-dose inhaled corticosteroids (ICSs) as initial therapy in mild asthma patients. However, low doses of a fixed-dose combination of ICS and long-acting β-agonists are sometimes used. This study compares asthma-related outcomes and health care utilization and costs in clinical practice in patients starting fluticasone propionate 100 μg and salmeterol 50 μg via Diskus (FSC) or mometasone furoate (MF). Methods. A retrospective cohort study was conducted to compare asthma-related outcomes in asthma patients who received FSC or MF, using a large health insurance claims dataset spanning January 2004-December 2008. Patients with ≥1 claim with an asthma ICD-9-CM diagnosis code and ≥2 FSC or MF prescriptions were included, stratified into FSC or MF groups by study drug received first and matched using propensity score. Results. A total of 18,283 patients met inclusion criteria (14,044 FSC and 4239 MF); 3799 matched pairs were identified (mean follow-up: FSC 548 days, MF 537 days). FSC patients had lower risk of asthma-related exacerbation (Hazard ratio = 0.88, 95% CI 0.81-0.95, p = .002), defined as either asthma-related emergency department (ED) visits/hospitalizations or receipt of systemic corticosteroids (SCSs); fewer SCS claims (mean 0.28 vs. 0.33, p = .021); and fewer asthma-related physician office (PO) and hospital outpatient (HO) visits (mean 1.17 vs. 1.63, p &lt; .001). However, asthma-related ED visits were higher with FSC (p = .004), and FSC patients had higher total costs of asthma-related health care ($953 vs.862, p = .002). Conclusions. In asthma patients initiating ICS therapy, MF had lower asthma-related ED visits. However, FSC may reduce the use of SCS and asthma-related PO/HO visits. © 2013 Informa Healthcare USA, Inc.","author":[{"dropping-particle":"","family":"Hagiwara","given":"May","non-dropping-particle":"","parse-names":false,"suffix":""},{"dropping-particle":"","family":"Delea","given":"Thomas E.","non-dropping-particle":"","parse-names":false,"suffix":""},{"dropping-particle":"","family":"Stanford","given":"Richard H.","non-dropping-particle":"","parse-names":false,"suffix":""}],"container-title":"Journal of Asthma","id":"ITEM-1","issue":"3","issued":{"date-parts":[["2013"]]},"page":"287-295","title":"Risk of Asthma Exacerbation, Asthma-Related Health Care Utilization and Costs, and Adherence to Controller Therapy in Patients with Asthma Receiving Fluticasone Propionate/Salmeterol Inhalation Powder 100 μg/50 μg Versus Mometasone Furoate Inhalation Powd","type":"article-journal","volume":"50"},"uris":["http://www.mendeley.com/documents/?uuid=9c63890f-3bc7-4737-9149-8024dfb749cc"]}],"mendeley":{"formattedCitation":"(32)","plainTextFormattedCitation":"(32)","previouslyFormattedCitation":"(32)"},"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(32)</w:t>
            </w:r>
            <w:r w:rsidRPr="00F02BC6">
              <w:rPr>
                <w:color w:val="000000"/>
                <w:sz w:val="20"/>
                <w:szCs w:val="20"/>
                <w:vertAlign w:val="superscript"/>
                <w:lang w:val="en-US"/>
              </w:rPr>
              <w:fldChar w:fldCharType="end"/>
            </w:r>
          </w:p>
        </w:tc>
        <w:tc>
          <w:tcPr>
            <w:tcW w:w="1984" w:type="dxa"/>
          </w:tcPr>
          <w:p w14:paraId="2DCCC2FC" w14:textId="685E2956" w:rsidR="00801304" w:rsidRPr="00F02BC6" w:rsidRDefault="006C58B4" w:rsidP="00495804">
            <w:pPr>
              <w:rPr>
                <w:color w:val="000000"/>
                <w:sz w:val="20"/>
                <w:szCs w:val="20"/>
                <w:lang w:val="en-US"/>
              </w:rPr>
            </w:pPr>
            <w:r w:rsidRPr="00F02BC6">
              <w:rPr>
                <w:color w:val="000000"/>
                <w:sz w:val="20"/>
                <w:szCs w:val="20"/>
                <w:lang w:val="en-US"/>
              </w:rPr>
              <w:t>Asthma cohort identified using ICD-9 codes and prescription of asthma related medications</w:t>
            </w:r>
          </w:p>
        </w:tc>
        <w:tc>
          <w:tcPr>
            <w:tcW w:w="1843" w:type="dxa"/>
          </w:tcPr>
          <w:p w14:paraId="2361185D" w14:textId="77777777" w:rsidR="00801304" w:rsidRPr="00F02BC6" w:rsidRDefault="00801304" w:rsidP="00495804">
            <w:pPr>
              <w:rPr>
                <w:color w:val="000000"/>
                <w:sz w:val="20"/>
                <w:szCs w:val="20"/>
                <w:lang w:val="en-US"/>
              </w:rPr>
            </w:pPr>
            <w:r w:rsidRPr="00F02BC6">
              <w:rPr>
                <w:color w:val="000000"/>
                <w:sz w:val="20"/>
                <w:szCs w:val="20"/>
                <w:lang w:val="en-US"/>
              </w:rPr>
              <w:t xml:space="preserve">MPR </w:t>
            </w:r>
          </w:p>
          <w:p w14:paraId="5EF060F4" w14:textId="77777777" w:rsidR="00801304" w:rsidRPr="00F02BC6" w:rsidRDefault="00801304" w:rsidP="00495804">
            <w:pPr>
              <w:rPr>
                <w:color w:val="000000"/>
                <w:sz w:val="20"/>
                <w:szCs w:val="20"/>
                <w:lang w:val="en-US"/>
              </w:rPr>
            </w:pPr>
            <w:r w:rsidRPr="00F02BC6">
              <w:rPr>
                <w:color w:val="000000"/>
                <w:sz w:val="20"/>
                <w:szCs w:val="20"/>
                <w:lang w:val="en-US"/>
              </w:rPr>
              <w:t>MF [57.2 (27.2)]</w:t>
            </w:r>
          </w:p>
          <w:p w14:paraId="46C4612F" w14:textId="77777777" w:rsidR="00801304" w:rsidRPr="00F02BC6" w:rsidRDefault="00801304" w:rsidP="00495804">
            <w:pPr>
              <w:rPr>
                <w:color w:val="000000"/>
                <w:sz w:val="20"/>
                <w:szCs w:val="20"/>
                <w:lang w:val="en-US"/>
              </w:rPr>
            </w:pPr>
            <w:r w:rsidRPr="00F02BC6">
              <w:rPr>
                <w:color w:val="000000"/>
                <w:sz w:val="20"/>
                <w:szCs w:val="20"/>
                <w:lang w:val="en-US"/>
              </w:rPr>
              <w:t>FSC 100/50 [59.3 (27.1)]</w:t>
            </w:r>
          </w:p>
          <w:p w14:paraId="76D11B2B" w14:textId="77777777" w:rsidR="00801304" w:rsidRPr="00F02BC6" w:rsidRDefault="00801304" w:rsidP="00495804">
            <w:pPr>
              <w:rPr>
                <w:color w:val="000000"/>
                <w:sz w:val="20"/>
                <w:szCs w:val="20"/>
                <w:lang w:val="en-US"/>
              </w:rPr>
            </w:pPr>
          </w:p>
        </w:tc>
        <w:tc>
          <w:tcPr>
            <w:tcW w:w="2127" w:type="dxa"/>
          </w:tcPr>
          <w:p w14:paraId="4F0C2B52" w14:textId="77777777" w:rsidR="00801304" w:rsidRPr="00F02BC6" w:rsidRDefault="00801304" w:rsidP="00495804">
            <w:pPr>
              <w:rPr>
                <w:color w:val="000000"/>
                <w:sz w:val="20"/>
                <w:szCs w:val="20"/>
                <w:lang w:val="en-US"/>
              </w:rPr>
            </w:pPr>
            <w:r w:rsidRPr="00F02BC6">
              <w:rPr>
                <w:color w:val="000000"/>
                <w:sz w:val="20"/>
                <w:szCs w:val="20"/>
                <w:lang w:val="en-US"/>
              </w:rPr>
              <w:t>undefined</w:t>
            </w:r>
          </w:p>
        </w:tc>
        <w:tc>
          <w:tcPr>
            <w:tcW w:w="2976" w:type="dxa"/>
          </w:tcPr>
          <w:p w14:paraId="20E6B571" w14:textId="77777777" w:rsidR="00801304" w:rsidRPr="00F02BC6" w:rsidRDefault="00801304" w:rsidP="00495804">
            <w:pPr>
              <w:rPr>
                <w:color w:val="000000"/>
                <w:sz w:val="20"/>
                <w:szCs w:val="20"/>
                <w:lang w:val="en-US"/>
              </w:rPr>
            </w:pPr>
            <w:r w:rsidRPr="00F02BC6">
              <w:rPr>
                <w:color w:val="000000"/>
                <w:sz w:val="20"/>
                <w:szCs w:val="20"/>
                <w:lang w:val="en-US"/>
              </w:rPr>
              <w:t>Compared to MF patients, patients who received FSC 100/</w:t>
            </w:r>
          </w:p>
          <w:p w14:paraId="4DCB82EC" w14:textId="77777777" w:rsidR="00801304" w:rsidRPr="00F02BC6" w:rsidRDefault="00801304" w:rsidP="00495804">
            <w:pPr>
              <w:rPr>
                <w:color w:val="000000"/>
                <w:sz w:val="20"/>
                <w:szCs w:val="20"/>
                <w:lang w:val="en-US"/>
              </w:rPr>
            </w:pPr>
            <w:r w:rsidRPr="00F02BC6">
              <w:rPr>
                <w:color w:val="000000"/>
                <w:sz w:val="20"/>
                <w:szCs w:val="20"/>
                <w:lang w:val="en-US"/>
              </w:rPr>
              <w:t>50 had lower ICS MPR for MF vs FSC100/50 patients (57.2 vs.</w:t>
            </w:r>
          </w:p>
          <w:p w14:paraId="136A6D88" w14:textId="77777777" w:rsidR="00801304" w:rsidRPr="00F02BC6" w:rsidRDefault="00801304" w:rsidP="00495804">
            <w:pPr>
              <w:rPr>
                <w:color w:val="000000"/>
                <w:sz w:val="20"/>
                <w:szCs w:val="20"/>
                <w:lang w:val="en-US"/>
              </w:rPr>
            </w:pPr>
            <w:r w:rsidRPr="00F02BC6">
              <w:rPr>
                <w:color w:val="000000"/>
                <w:sz w:val="20"/>
                <w:szCs w:val="20"/>
                <w:lang w:val="en-US"/>
              </w:rPr>
              <w:t>59.3, p &lt; .001) and refill rate (4.1 vs. 4.4, p &lt; .001)</w:t>
            </w:r>
          </w:p>
        </w:tc>
        <w:tc>
          <w:tcPr>
            <w:tcW w:w="2693" w:type="dxa"/>
          </w:tcPr>
          <w:p w14:paraId="74F8AD0E" w14:textId="77777777" w:rsidR="00801304" w:rsidRPr="00F02BC6" w:rsidRDefault="00801304" w:rsidP="00495804">
            <w:pPr>
              <w:rPr>
                <w:color w:val="000000"/>
                <w:sz w:val="20"/>
                <w:szCs w:val="20"/>
                <w:lang w:val="en-US"/>
              </w:rPr>
            </w:pPr>
            <w:r w:rsidRPr="00F02BC6">
              <w:rPr>
                <w:color w:val="000000"/>
                <w:sz w:val="20"/>
                <w:szCs w:val="20"/>
                <w:lang w:val="en-US"/>
              </w:rPr>
              <w:t>Propensity score analysis</w:t>
            </w:r>
          </w:p>
          <w:p w14:paraId="0313EA33" w14:textId="77777777" w:rsidR="00801304" w:rsidRPr="00F02BC6" w:rsidRDefault="00801304" w:rsidP="00495804">
            <w:pPr>
              <w:rPr>
                <w:color w:val="000000"/>
                <w:sz w:val="20"/>
                <w:szCs w:val="20"/>
                <w:lang w:val="en-US"/>
              </w:rPr>
            </w:pPr>
            <w:r w:rsidRPr="00F02BC6">
              <w:rPr>
                <w:color w:val="000000"/>
                <w:sz w:val="20"/>
                <w:szCs w:val="20"/>
                <w:lang w:val="en-US"/>
              </w:rPr>
              <w:t>Descriptive statistics</w:t>
            </w:r>
          </w:p>
        </w:tc>
        <w:tc>
          <w:tcPr>
            <w:tcW w:w="1559" w:type="dxa"/>
            <w:gridSpan w:val="2"/>
          </w:tcPr>
          <w:p w14:paraId="2E0C6099" w14:textId="77777777" w:rsidR="00801304" w:rsidRPr="00F02BC6" w:rsidRDefault="00801304" w:rsidP="00495804">
            <w:pPr>
              <w:rPr>
                <w:color w:val="000000"/>
                <w:sz w:val="20"/>
                <w:szCs w:val="20"/>
                <w:lang w:val="en-US"/>
              </w:rPr>
            </w:pPr>
            <w:r w:rsidRPr="00F02BC6">
              <w:rPr>
                <w:color w:val="000000"/>
                <w:sz w:val="20"/>
                <w:szCs w:val="20"/>
                <w:lang w:val="en-US"/>
              </w:rPr>
              <w:t>----</w:t>
            </w:r>
          </w:p>
        </w:tc>
      </w:tr>
      <w:tr w:rsidR="00801304" w:rsidRPr="00F02BC6" w14:paraId="33C4025E" w14:textId="77777777" w:rsidTr="005F62B6">
        <w:tc>
          <w:tcPr>
            <w:tcW w:w="2219" w:type="dxa"/>
          </w:tcPr>
          <w:p w14:paraId="2FED720B" w14:textId="77777777" w:rsidR="00801304" w:rsidRPr="00F02BC6" w:rsidRDefault="00801304" w:rsidP="00495804">
            <w:pPr>
              <w:rPr>
                <w:color w:val="000000"/>
                <w:sz w:val="20"/>
                <w:szCs w:val="20"/>
                <w:lang w:val="en-US"/>
              </w:rPr>
            </w:pPr>
            <w:proofErr w:type="spellStart"/>
            <w:r w:rsidRPr="00F02BC6">
              <w:rPr>
                <w:color w:val="000000"/>
                <w:sz w:val="20"/>
                <w:szCs w:val="20"/>
                <w:lang w:val="en-US"/>
              </w:rPr>
              <w:t>Hardstock</w:t>
            </w:r>
            <w:proofErr w:type="spellEnd"/>
            <w:r w:rsidRPr="00F02BC6">
              <w:rPr>
                <w:color w:val="000000"/>
                <w:sz w:val="20"/>
                <w:szCs w:val="20"/>
                <w:lang w:val="en-US"/>
              </w:rPr>
              <w:t xml:space="preserve"> et al</w:t>
            </w:r>
            <w:r w:rsidRPr="00F02BC6">
              <w:rPr>
                <w:color w:val="000000"/>
                <w:sz w:val="20"/>
                <w:szCs w:val="20"/>
                <w:vertAlign w:val="superscript"/>
                <w:lang w:val="en-US"/>
              </w:rPr>
              <w:t xml:space="preserve">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10.1016/j.jval.2019.09.2559","ISSN":"10983015","author":[{"dropping-particle":"","family":"Hardtstock","given":"F.","non-dropping-particle":"","parse-names":false,"suffix":""},{"dropping-particle":"","family":"Maywald","given":"U.","non-dropping-particle":"","parse-names":false,"suffix":""},{"dropping-particle":"","family":"Timmermann","given":"H.","non-dropping-particle":"","parse-names":false,"suffix":""},{"dropping-particle":"","family":"Unmuessig","given":"V.","non-dropping-particle":"","parse-names":false,"suffix":""},{"dropping-particle":"","family":"Mueller","given":"S.","non-dropping-particle":"","parse-names":false,"suffix":""},{"dropping-particle":"","family":"Wilke","given":"T.","non-dropping-particle":"","parse-names":false,"suffix":""}],"container-title":"Value in Health","id":"ITEM-1","issue":"November","issued":{"date-parts":[["2019"]]},"page":"S885","publisher":"Elsevier Inc","title":"Prs70 Applying Different Measures To Assess Patients' Non-Adherence: Results of a Linked Data Study of Patients With Asthma in Germany","type":"article-journal","volume":"22"},"uris":["http://www.mendeley.com/documents/?uuid=fba3d4fd-2f0b-4129-8f52-5f255d901dc3"]}],"mendeley":{"formattedCitation":"(33)","plainTextFormattedCitation":"(33)","previouslyFormattedCitation":"(33)"},"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(33)</w:t>
            </w:r>
            <w:r w:rsidRPr="00F02BC6">
              <w:rPr>
                <w:color w:val="000000"/>
                <w:sz w:val="20"/>
                <w:szCs w:val="20"/>
                <w:vertAlign w:val="superscript"/>
                <w:lang w:val="en-US"/>
              </w:rPr>
              <w:fldChar w:fldCharType="end"/>
            </w:r>
          </w:p>
        </w:tc>
        <w:tc>
          <w:tcPr>
            <w:tcW w:w="1984" w:type="dxa"/>
          </w:tcPr>
          <w:p w14:paraId="433CCFC3" w14:textId="05314A76" w:rsidR="00801304" w:rsidRPr="00F02BC6" w:rsidRDefault="006C58B4" w:rsidP="00495804">
            <w:pPr>
              <w:rPr>
                <w:color w:val="000000"/>
                <w:sz w:val="20"/>
                <w:szCs w:val="20"/>
                <w:lang w:val="en-US"/>
              </w:rPr>
            </w:pPr>
            <w:r w:rsidRPr="00F02BC6">
              <w:rPr>
                <w:color w:val="000000"/>
                <w:sz w:val="20"/>
                <w:szCs w:val="20"/>
                <w:lang w:val="en-US"/>
              </w:rPr>
              <w:t>Patients with asthma using ICD-codes with long term usage of asthma medications</w:t>
            </w:r>
          </w:p>
        </w:tc>
        <w:tc>
          <w:tcPr>
            <w:tcW w:w="1843" w:type="dxa"/>
          </w:tcPr>
          <w:p w14:paraId="0EFB356C" w14:textId="77777777" w:rsidR="00801304" w:rsidRPr="00F02BC6" w:rsidRDefault="00801304" w:rsidP="00495804">
            <w:pPr>
              <w:rPr>
                <w:color w:val="000000"/>
                <w:sz w:val="20"/>
                <w:szCs w:val="20"/>
                <w:lang w:val="en-US"/>
              </w:rPr>
            </w:pPr>
            <w:r w:rsidRPr="00F02BC6">
              <w:rPr>
                <w:color w:val="000000"/>
                <w:sz w:val="20"/>
                <w:szCs w:val="20"/>
                <w:lang w:val="en-US"/>
              </w:rPr>
              <w:t>MPR (80.6)</w:t>
            </w:r>
          </w:p>
          <w:p w14:paraId="563D31F2" w14:textId="77777777" w:rsidR="00801304" w:rsidRPr="00F02BC6" w:rsidRDefault="00801304" w:rsidP="00495804">
            <w:pPr>
              <w:rPr>
                <w:color w:val="000000"/>
                <w:sz w:val="20"/>
                <w:szCs w:val="20"/>
                <w:lang w:val="en-US"/>
              </w:rPr>
            </w:pPr>
            <w:r w:rsidRPr="00F02BC6">
              <w:rPr>
                <w:color w:val="000000"/>
                <w:sz w:val="20"/>
                <w:szCs w:val="20"/>
                <w:lang w:val="en-US"/>
              </w:rPr>
              <w:t>PDC (83.2)</w:t>
            </w:r>
          </w:p>
        </w:tc>
        <w:tc>
          <w:tcPr>
            <w:tcW w:w="2127" w:type="dxa"/>
          </w:tcPr>
          <w:p w14:paraId="04B1F639" w14:textId="77777777" w:rsidR="00801304" w:rsidRPr="00F02BC6" w:rsidRDefault="00801304" w:rsidP="00495804">
            <w:pPr>
              <w:rPr>
                <w:color w:val="000000"/>
                <w:sz w:val="20"/>
                <w:szCs w:val="20"/>
                <w:lang w:val="en-US"/>
              </w:rPr>
            </w:pPr>
            <w:r w:rsidRPr="00F02BC6">
              <w:rPr>
                <w:color w:val="000000"/>
                <w:sz w:val="20"/>
                <w:szCs w:val="20"/>
                <w:lang w:val="en-US"/>
              </w:rPr>
              <w:t>MPR and PDC ≥80%</w:t>
            </w:r>
          </w:p>
        </w:tc>
        <w:tc>
          <w:tcPr>
            <w:tcW w:w="2976" w:type="dxa"/>
          </w:tcPr>
          <w:p w14:paraId="3A3F8C00" w14:textId="77777777" w:rsidR="00801304" w:rsidRPr="00F02BC6" w:rsidRDefault="00801304" w:rsidP="00495804">
            <w:pPr>
              <w:rPr>
                <w:color w:val="000000"/>
                <w:sz w:val="20"/>
                <w:szCs w:val="20"/>
                <w:lang w:val="en-US"/>
              </w:rPr>
            </w:pPr>
            <w:r w:rsidRPr="00F02BC6">
              <w:rPr>
                <w:color w:val="000000"/>
                <w:sz w:val="20"/>
                <w:szCs w:val="20"/>
                <w:lang w:val="en-US"/>
              </w:rPr>
              <w:t>Adherence in prescription-based and interval-based analysis</w:t>
            </w:r>
          </w:p>
        </w:tc>
        <w:tc>
          <w:tcPr>
            <w:tcW w:w="2693" w:type="dxa"/>
          </w:tcPr>
          <w:p w14:paraId="32EAA4AE" w14:textId="77777777" w:rsidR="00801304" w:rsidRPr="00F02BC6" w:rsidRDefault="00801304" w:rsidP="00495804">
            <w:pPr>
              <w:rPr>
                <w:color w:val="000000"/>
                <w:sz w:val="20"/>
                <w:szCs w:val="20"/>
                <w:lang w:val="en-US"/>
              </w:rPr>
            </w:pPr>
            <w:r w:rsidRPr="00F02BC6">
              <w:rPr>
                <w:color w:val="000000"/>
                <w:sz w:val="20"/>
                <w:szCs w:val="20"/>
                <w:lang w:val="en-US"/>
              </w:rPr>
              <w:t>Not reported</w:t>
            </w:r>
          </w:p>
        </w:tc>
        <w:tc>
          <w:tcPr>
            <w:tcW w:w="1559" w:type="dxa"/>
            <w:gridSpan w:val="2"/>
          </w:tcPr>
          <w:p w14:paraId="6EBC8864" w14:textId="77777777" w:rsidR="00801304" w:rsidRPr="00F02BC6" w:rsidRDefault="00801304" w:rsidP="00495804">
            <w:pPr>
              <w:rPr>
                <w:color w:val="000000"/>
                <w:sz w:val="20"/>
                <w:szCs w:val="20"/>
                <w:lang w:val="en-US"/>
              </w:rPr>
            </w:pPr>
            <w:r w:rsidRPr="00F02BC6">
              <w:rPr>
                <w:color w:val="000000"/>
                <w:sz w:val="20"/>
                <w:szCs w:val="20"/>
                <w:lang w:val="en-US"/>
              </w:rPr>
              <w:t>38.42% estimated by MPR</w:t>
            </w:r>
          </w:p>
          <w:p w14:paraId="51C954B8" w14:textId="77777777" w:rsidR="00801304" w:rsidRPr="00F02BC6" w:rsidRDefault="00801304" w:rsidP="00495804">
            <w:pPr>
              <w:rPr>
                <w:color w:val="000000"/>
                <w:sz w:val="20"/>
                <w:szCs w:val="20"/>
                <w:lang w:val="en-US"/>
              </w:rPr>
            </w:pPr>
            <w:r w:rsidRPr="00F02BC6">
              <w:rPr>
                <w:color w:val="000000"/>
                <w:sz w:val="20"/>
                <w:szCs w:val="20"/>
                <w:lang w:val="en-US"/>
              </w:rPr>
              <w:t>32.52% estimated by PDC</w:t>
            </w:r>
          </w:p>
        </w:tc>
      </w:tr>
      <w:tr w:rsidR="00801304" w:rsidRPr="00F02BC6" w14:paraId="18FA19F9" w14:textId="77777777" w:rsidTr="005F62B6">
        <w:tc>
          <w:tcPr>
            <w:tcW w:w="2219" w:type="dxa"/>
            <w:tcBorders>
              <w:top w:val="single" w:sz="4" w:space="0" w:color="auto"/>
              <w:bottom w:val="single" w:sz="4" w:space="0" w:color="auto"/>
            </w:tcBorders>
          </w:tcPr>
          <w:p w14:paraId="019B9CBB" w14:textId="77777777" w:rsidR="00801304" w:rsidRPr="00F02BC6" w:rsidRDefault="00801304" w:rsidP="00495804">
            <w:pPr>
              <w:rPr>
                <w:b/>
                <w:color w:val="000000"/>
                <w:sz w:val="20"/>
                <w:szCs w:val="20"/>
                <w:lang w:val="en-US"/>
              </w:rPr>
            </w:pPr>
            <w:r w:rsidRPr="00F02BC6">
              <w:rPr>
                <w:b/>
                <w:color w:val="000000"/>
                <w:sz w:val="20"/>
                <w:szCs w:val="20"/>
                <w:lang w:val="en-US"/>
              </w:rPr>
              <w:t>Author</w:t>
            </w:r>
          </w:p>
        </w:tc>
        <w:tc>
          <w:tcPr>
            <w:tcW w:w="1984" w:type="dxa"/>
            <w:tcBorders>
              <w:top w:val="single" w:sz="4" w:space="0" w:color="auto"/>
              <w:bottom w:val="single" w:sz="4" w:space="0" w:color="auto"/>
            </w:tcBorders>
          </w:tcPr>
          <w:p w14:paraId="49D85779" w14:textId="77777777" w:rsidR="00801304" w:rsidRPr="00F02BC6" w:rsidRDefault="00801304" w:rsidP="00495804">
            <w:pPr>
              <w:rPr>
                <w:b/>
                <w:color w:val="000000"/>
                <w:sz w:val="20"/>
                <w:szCs w:val="20"/>
                <w:lang w:val="en-US"/>
              </w:rPr>
            </w:pPr>
          </w:p>
        </w:tc>
        <w:tc>
          <w:tcPr>
            <w:tcW w:w="1843" w:type="dxa"/>
            <w:tcBorders>
              <w:top w:val="single" w:sz="4" w:space="0" w:color="auto"/>
              <w:bottom w:val="single" w:sz="4" w:space="0" w:color="auto"/>
            </w:tcBorders>
          </w:tcPr>
          <w:p w14:paraId="0BA096E0" w14:textId="77777777" w:rsidR="00801304" w:rsidRPr="00F02BC6" w:rsidRDefault="00801304" w:rsidP="00495804">
            <w:pPr>
              <w:rPr>
                <w:b/>
                <w:color w:val="000000"/>
                <w:sz w:val="20"/>
                <w:szCs w:val="20"/>
                <w:lang w:val="en-US"/>
              </w:rPr>
            </w:pPr>
            <w:r w:rsidRPr="00F02BC6">
              <w:rPr>
                <w:b/>
                <w:color w:val="000000"/>
                <w:sz w:val="20"/>
                <w:szCs w:val="20"/>
                <w:lang w:val="en-US"/>
              </w:rPr>
              <w:t>Mean Medication Adherence Rate± Standard deviation</w:t>
            </w:r>
          </w:p>
        </w:tc>
        <w:tc>
          <w:tcPr>
            <w:tcW w:w="2127" w:type="dxa"/>
            <w:tcBorders>
              <w:top w:val="single" w:sz="4" w:space="0" w:color="auto"/>
              <w:bottom w:val="single" w:sz="4" w:space="0" w:color="auto"/>
            </w:tcBorders>
          </w:tcPr>
          <w:p w14:paraId="2AC8CD1E" w14:textId="77777777" w:rsidR="00801304" w:rsidRPr="00F02BC6" w:rsidRDefault="00801304" w:rsidP="00495804">
            <w:pPr>
              <w:rPr>
                <w:b/>
                <w:color w:val="000000"/>
                <w:sz w:val="20"/>
                <w:szCs w:val="20"/>
                <w:lang w:val="en-US"/>
              </w:rPr>
            </w:pPr>
            <w:r w:rsidRPr="00F02BC6">
              <w:rPr>
                <w:b/>
                <w:color w:val="000000"/>
                <w:sz w:val="20"/>
                <w:szCs w:val="20"/>
                <w:lang w:val="en-US"/>
              </w:rPr>
              <w:t>Medication Adherence rate Threshold</w:t>
            </w:r>
          </w:p>
        </w:tc>
        <w:tc>
          <w:tcPr>
            <w:tcW w:w="2976" w:type="dxa"/>
            <w:tcBorders>
              <w:top w:val="single" w:sz="4" w:space="0" w:color="auto"/>
              <w:bottom w:val="single" w:sz="4" w:space="0" w:color="auto"/>
            </w:tcBorders>
          </w:tcPr>
          <w:p w14:paraId="7471C526" w14:textId="77777777" w:rsidR="00801304" w:rsidRPr="00F02BC6" w:rsidRDefault="00801304" w:rsidP="00495804">
            <w:pPr>
              <w:rPr>
                <w:b/>
                <w:color w:val="000000"/>
                <w:sz w:val="20"/>
                <w:szCs w:val="20"/>
                <w:lang w:val="en-US"/>
              </w:rPr>
            </w:pPr>
            <w:r w:rsidRPr="00F02BC6">
              <w:rPr>
                <w:b/>
                <w:color w:val="000000"/>
                <w:sz w:val="20"/>
                <w:szCs w:val="20"/>
                <w:lang w:val="en-US"/>
              </w:rPr>
              <w:t>Probability to reach the targeted clinical outcome with Medication Adherence Threshold (Odds ratios [OR], Hazards ratios [HR] and Confidence Interval [CI])</w:t>
            </w:r>
          </w:p>
        </w:tc>
        <w:tc>
          <w:tcPr>
            <w:tcW w:w="2693" w:type="dxa"/>
            <w:tcBorders>
              <w:top w:val="single" w:sz="4" w:space="0" w:color="auto"/>
              <w:bottom w:val="single" w:sz="4" w:space="0" w:color="auto"/>
            </w:tcBorders>
          </w:tcPr>
          <w:p w14:paraId="4BA5270F" w14:textId="77777777" w:rsidR="00801304" w:rsidRPr="00F02BC6" w:rsidRDefault="00801304" w:rsidP="00495804">
            <w:pPr>
              <w:rPr>
                <w:b/>
                <w:color w:val="000000"/>
                <w:sz w:val="20"/>
                <w:szCs w:val="20"/>
                <w:lang w:val="en-US"/>
              </w:rPr>
            </w:pPr>
            <w:r w:rsidRPr="00F02BC6">
              <w:rPr>
                <w:b/>
                <w:color w:val="000000"/>
                <w:sz w:val="20"/>
                <w:szCs w:val="20"/>
                <w:lang w:val="en-US"/>
              </w:rPr>
              <w:t>Methods of Threshold Determination</w:t>
            </w:r>
          </w:p>
        </w:tc>
        <w:tc>
          <w:tcPr>
            <w:tcW w:w="1559" w:type="dxa"/>
            <w:gridSpan w:val="2"/>
            <w:tcBorders>
              <w:top w:val="single" w:sz="4" w:space="0" w:color="auto"/>
              <w:bottom w:val="single" w:sz="4" w:space="0" w:color="auto"/>
            </w:tcBorders>
          </w:tcPr>
          <w:p w14:paraId="19D845CA" w14:textId="77777777" w:rsidR="00801304" w:rsidRPr="00F02BC6" w:rsidRDefault="00801304" w:rsidP="00495804">
            <w:pPr>
              <w:rPr>
                <w:b/>
                <w:color w:val="000000"/>
                <w:sz w:val="20"/>
                <w:szCs w:val="20"/>
                <w:lang w:val="en-US"/>
              </w:rPr>
            </w:pPr>
            <w:r w:rsidRPr="00F02BC6">
              <w:rPr>
                <w:b/>
                <w:color w:val="000000"/>
                <w:sz w:val="20"/>
                <w:szCs w:val="20"/>
                <w:lang w:val="en-US"/>
              </w:rPr>
              <w:t>Nonadherence Prevalence</w:t>
            </w:r>
          </w:p>
        </w:tc>
      </w:tr>
      <w:tr w:rsidR="00801304" w:rsidRPr="00F02BC6" w14:paraId="532B0CBC" w14:textId="77777777" w:rsidTr="005F62B6">
        <w:tc>
          <w:tcPr>
            <w:tcW w:w="2219" w:type="dxa"/>
            <w:tcBorders>
              <w:top w:val="single" w:sz="4" w:space="0" w:color="auto"/>
            </w:tcBorders>
          </w:tcPr>
          <w:p w14:paraId="4DC312CA" w14:textId="77777777" w:rsidR="00801304" w:rsidRPr="00F02BC6" w:rsidRDefault="00801304" w:rsidP="00495804">
            <w:pPr>
              <w:rPr>
                <w:color w:val="000000"/>
                <w:sz w:val="20"/>
                <w:szCs w:val="20"/>
                <w:lang w:val="en-US"/>
              </w:rPr>
            </w:pPr>
            <w:proofErr w:type="spellStart"/>
            <w:r w:rsidRPr="00F02BC6">
              <w:rPr>
                <w:color w:val="000000"/>
                <w:sz w:val="20"/>
                <w:szCs w:val="20"/>
                <w:lang w:val="en-US"/>
              </w:rPr>
              <w:t>Ismaila</w:t>
            </w:r>
            <w:proofErr w:type="spellEnd"/>
            <w:r w:rsidRPr="00F02BC6">
              <w:rPr>
                <w:color w:val="000000"/>
                <w:sz w:val="20"/>
                <w:szCs w:val="20"/>
                <w:lang w:val="en-US"/>
              </w:rPr>
              <w:t xml:space="preserve"> et al</w:t>
            </w:r>
            <w:r w:rsidRPr="00F02BC6">
              <w:rPr>
                <w:color w:val="000000"/>
                <w:sz w:val="20"/>
                <w:szCs w:val="20"/>
                <w:vertAlign w:val="superscript"/>
                <w:lang w:val="en-US"/>
              </w:rPr>
              <w:t xml:space="preserve">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{"citationItems":[{"id":"ITEM-1","itemData":{"DOI":"10.1185/03007995.2014.908827","ISSN":"14734877","abstract":"Objective: Low adherence with asthma treatment may be associated with suboptimal outcomes and hence create a treatment gap in the real-life setting. The objective of this study was to assess the long-term association between adherence to treatment with fixed-dose fluticasone propionate/salmeterol (FSC) and the risk of exacerbations and health care utilization in patients with asthma. Research design and methods: Observational single cohort study utilizing the Quebec Health Insurance databases. All patients (age &gt;12 years) with a diagnosis of asthma (ICD9-CM 493.xx) between 2001 and 2010 were entered into the study cohort at the time of their first prescription for FSC at any dose. Follow-up continued to the last known claim or death. Adherence to treatment was ascertained as compliance (medication possession ratio ≥80%) and persistence (absence of treatment gap ≥30 days). Main outcome measures: Outcomes assessed were exacerbations defined as one of the following: use of oral corticosteroid (OCS), emergency room (ER) visit for asthma or hospitalization for asthma. Asthma related health care resource utilizations ascertained were number of prescription claims for rescue medications, ER visits, hospitalizations, intensive care unit (ICU) stay, intubations, and general practitioner (GP) and respirologist visits. Results: A total of 19,126 patients were included in the study. The proportion of compliant and persistent patients were 42.7% and 29.3% respectively. Multivariate logistic regression analyses showed a significantly reduced adjusted odds of exacerbations for compliant (OR=0.48; 95% CI: 0.44-0.54) and persistent patients (OR=0.42; 95% CI: 0.38-0.48). Similarly, significantly lower rates of health care utilization were observed for compliant and persistent patients. Conclusions: The results of this large population-based study have shown that increased adherence to treatment with FSC is associated with lower risk for exacerbations, lower rescue medication use and lower health care utilization in asthma patients. Despite the typical limitations of an administrative database study including validity of the diagnosis, the fact that compliance and persistence are calculated based on filled claims which does not guarantee that the patients actually took their medications, and the absence of clinical and laboratory data, the findings have implications for physician and patient awareness of the importance of adherence in the management of asthma. © 2014 All …","author":[{"dropping-particle":"","family":"Ismaila","given":"A.","non-dropping-particle":"","parse-names":false,"suffix":""},{"dropping-particle":"","family":"Corriveau","given":"D.","non-dropping-particle":"","parse-names":false,"suffix":""},{"dropping-particle":"","family":"Vaillancourt","given":"J.","non-dropping-particle":"","parse-names":false,"suffix":""},{"dropping-particle":"","family":"Parsons","given":"D.","non-dropping-particle":"","parse-names":false,"suffix":""},{"dropping-particle":"","family":"Stanford","given":"R.","non-dropping-particle":"","parse-names":false,"suffix":""},{"dropping-particle":"","family":"Su","given":"Z.","non-dropping-particle":"","parse-names":false,"suffix":""},{"dropping-particle":"","family":"Sampalis","given":"J. S.","non-dropping-particle":"","parse-names":false,"suffix":""}],"container-title":"Current Medical Research and Opinion","id":"ITEM-1","issue":"7","issued":{"date-parts":[["2014"]]},"page":"1417-1425","title":"Impact of adherence to treatment with fluticasone propionate/salmeterol in asthma patients","type":"article-journal","volume":"30"},"uris":["http://www.mendeley.com/documents/?uuid=cc0cbd3a-4aca-4eda-a2ba-598540b818a6"]}],"mendeley":{"formattedCitation":"(14)","plainTextFormattedCitation":"(14)","previouslyFormattedCitation":"(14)"},"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(14)</w:t>
            </w:r>
            <w:r w:rsidRPr="00F02BC6">
              <w:rPr>
                <w:color w:val="000000"/>
                <w:sz w:val="20"/>
                <w:szCs w:val="20"/>
                <w:vertAlign w:val="superscript"/>
                <w:lang w:val="en-US"/>
              </w:rPr>
              <w:fldChar w:fldCharType="end"/>
            </w:r>
          </w:p>
        </w:tc>
        <w:tc>
          <w:tcPr>
            <w:tcW w:w="1984" w:type="dxa"/>
            <w:tcBorders>
              <w:top w:val="single" w:sz="4" w:space="0" w:color="auto"/>
            </w:tcBorders>
          </w:tcPr>
          <w:p w14:paraId="4FB4A51A" w14:textId="5BF3990B" w:rsidR="00801304" w:rsidRPr="00F02BC6" w:rsidRDefault="00E36E4E" w:rsidP="00495804">
            <w:pPr>
              <w:rPr>
                <w:color w:val="000000"/>
                <w:sz w:val="20"/>
                <w:szCs w:val="20"/>
                <w:lang w:val="en-US"/>
              </w:rPr>
            </w:pPr>
            <w:r w:rsidRPr="00F02BC6">
              <w:rPr>
                <w:color w:val="000000"/>
                <w:sz w:val="20"/>
                <w:szCs w:val="20"/>
                <w:lang w:val="en-US"/>
              </w:rPr>
              <w:t>Patients identified from the database using ICD-9 CM codes 493.xx, in addition to prescription of asthma medications.</w:t>
            </w:r>
          </w:p>
        </w:tc>
        <w:tc>
          <w:tcPr>
            <w:tcW w:w="1843" w:type="dxa"/>
            <w:tcBorders>
              <w:top w:val="single" w:sz="4" w:space="0" w:color="auto"/>
            </w:tcBorders>
          </w:tcPr>
          <w:p w14:paraId="602EA87D" w14:textId="77777777" w:rsidR="00801304" w:rsidRPr="00F02BC6" w:rsidRDefault="00801304" w:rsidP="00495804">
            <w:pPr>
              <w:rPr>
                <w:color w:val="000000"/>
                <w:sz w:val="20"/>
                <w:szCs w:val="20"/>
                <w:lang w:val="en-US"/>
              </w:rPr>
            </w:pPr>
            <w:r w:rsidRPr="00F02BC6">
              <w:rPr>
                <w:color w:val="000000"/>
                <w:sz w:val="20"/>
                <w:szCs w:val="20"/>
                <w:lang w:val="en-US"/>
              </w:rPr>
              <w:t>----</w:t>
            </w:r>
          </w:p>
          <w:p w14:paraId="7902BFA3" w14:textId="77777777" w:rsidR="00801304" w:rsidRPr="00F02BC6" w:rsidRDefault="00801304" w:rsidP="00495804">
            <w:pPr>
              <w:rPr>
                <w:color w:val="000000"/>
                <w:sz w:val="20"/>
                <w:szCs w:val="20"/>
                <w:lang w:val="en-US"/>
              </w:rPr>
            </w:pPr>
          </w:p>
          <w:p w14:paraId="797ED68F" w14:textId="77777777" w:rsidR="00801304" w:rsidRPr="00F02BC6" w:rsidRDefault="00801304" w:rsidP="00495804">
            <w:pPr>
              <w:rPr>
                <w:color w:val="000000"/>
                <w:sz w:val="20"/>
                <w:szCs w:val="20"/>
                <w:lang w:val="en-US"/>
              </w:rPr>
            </w:pPr>
          </w:p>
        </w:tc>
        <w:tc>
          <w:tcPr>
            <w:tcW w:w="2127" w:type="dxa"/>
            <w:tcBorders>
              <w:top w:val="single" w:sz="4" w:space="0" w:color="auto"/>
            </w:tcBorders>
          </w:tcPr>
          <w:p w14:paraId="11FA2004" w14:textId="77777777" w:rsidR="00801304" w:rsidRPr="00F02BC6" w:rsidRDefault="00801304" w:rsidP="00495804">
            <w:pPr>
              <w:rPr>
                <w:color w:val="000000"/>
                <w:sz w:val="20"/>
                <w:szCs w:val="20"/>
                <w:lang w:val="en-US"/>
              </w:rPr>
            </w:pPr>
            <w:r w:rsidRPr="00F02BC6">
              <w:rPr>
                <w:color w:val="000000"/>
                <w:sz w:val="20"/>
                <w:szCs w:val="20"/>
                <w:lang w:val="en-US"/>
              </w:rPr>
              <w:t>MPR ≥ 80%</w:t>
            </w:r>
          </w:p>
          <w:p w14:paraId="43AAFADE" w14:textId="77777777" w:rsidR="00801304" w:rsidRPr="00F02BC6" w:rsidRDefault="00801304" w:rsidP="00495804">
            <w:pPr>
              <w:rPr>
                <w:color w:val="000000"/>
                <w:sz w:val="20"/>
                <w:szCs w:val="20"/>
                <w:lang w:val="en-US"/>
              </w:rPr>
            </w:pPr>
            <w:r w:rsidRPr="00F02BC6">
              <w:rPr>
                <w:color w:val="000000"/>
                <w:sz w:val="20"/>
                <w:szCs w:val="20"/>
                <w:lang w:val="en-US"/>
              </w:rPr>
              <w:t>Persistence (absence of treatment gap ≥30 days)</w:t>
            </w:r>
          </w:p>
        </w:tc>
        <w:tc>
          <w:tcPr>
            <w:tcW w:w="2976" w:type="dxa"/>
            <w:tcBorders>
              <w:top w:val="single" w:sz="4" w:space="0" w:color="auto"/>
            </w:tcBorders>
          </w:tcPr>
          <w:p w14:paraId="1166E015" w14:textId="77777777" w:rsidR="00801304" w:rsidRPr="00F02BC6" w:rsidRDefault="00801304" w:rsidP="00495804">
            <w:pPr>
              <w:rPr>
                <w:color w:val="000000"/>
                <w:sz w:val="20"/>
                <w:szCs w:val="20"/>
                <w:lang w:val="en-US"/>
              </w:rPr>
            </w:pPr>
            <w:r w:rsidRPr="00F02BC6">
              <w:rPr>
                <w:color w:val="000000"/>
                <w:sz w:val="20"/>
                <w:szCs w:val="20"/>
                <w:lang w:val="en-US"/>
              </w:rPr>
              <w:t>MPR &lt;80% ≥ 80%</w:t>
            </w:r>
          </w:p>
          <w:p w14:paraId="32AF3968" w14:textId="77777777" w:rsidR="00801304" w:rsidRPr="00F02BC6" w:rsidRDefault="00801304" w:rsidP="00495804">
            <w:pPr>
              <w:rPr>
                <w:color w:val="000000"/>
                <w:sz w:val="20"/>
                <w:szCs w:val="20"/>
                <w:lang w:val="en-US"/>
              </w:rPr>
            </w:pPr>
            <w:r w:rsidRPr="00F02BC6">
              <w:rPr>
                <w:color w:val="000000"/>
                <w:sz w:val="20"/>
                <w:szCs w:val="20"/>
                <w:lang w:val="en-US"/>
              </w:rPr>
              <w:t>Persistence (absence of treatment gap ≥30 &lt;30 days)</w:t>
            </w:r>
          </w:p>
          <w:p w14:paraId="073A11F8" w14:textId="77777777" w:rsidR="00801304" w:rsidRPr="00F02BC6" w:rsidRDefault="00801304" w:rsidP="00495804">
            <w:pPr>
              <w:rPr>
                <w:color w:val="000000"/>
                <w:sz w:val="20"/>
                <w:szCs w:val="20"/>
                <w:lang w:val="en-US"/>
              </w:rPr>
            </w:pPr>
            <w:r w:rsidRPr="00F02BC6">
              <w:rPr>
                <w:color w:val="000000"/>
                <w:sz w:val="20"/>
                <w:szCs w:val="20"/>
                <w:lang w:val="en-US"/>
              </w:rPr>
              <w:t>Exacerbations</w:t>
            </w:r>
          </w:p>
          <w:p w14:paraId="59CFF9A2" w14:textId="77777777" w:rsidR="00801304" w:rsidRPr="00F02BC6" w:rsidRDefault="00801304" w:rsidP="00495804">
            <w:pPr>
              <w:rPr>
                <w:color w:val="000000"/>
                <w:sz w:val="20"/>
                <w:szCs w:val="20"/>
                <w:lang w:val="en-US"/>
              </w:rPr>
            </w:pPr>
            <w:proofErr w:type="gramStart"/>
            <w:r w:rsidRPr="00F02BC6">
              <w:rPr>
                <w:color w:val="000000"/>
                <w:sz w:val="20"/>
                <w:szCs w:val="20"/>
                <w:lang w:val="en-US"/>
              </w:rPr>
              <w:t>OR;</w:t>
            </w:r>
            <w:proofErr w:type="gramEnd"/>
            <w:r w:rsidRPr="00F02BC6">
              <w:rPr>
                <w:color w:val="000000"/>
                <w:sz w:val="20"/>
                <w:szCs w:val="20"/>
                <w:lang w:val="en-US"/>
              </w:rPr>
              <w:t xml:space="preserve"> 0.48 (0.44-0.54) p=0.001 </w:t>
            </w:r>
          </w:p>
          <w:p w14:paraId="1AA8B1F1" w14:textId="77777777" w:rsidR="00801304" w:rsidRPr="00F02BC6" w:rsidRDefault="00801304" w:rsidP="00495804">
            <w:pPr>
              <w:rPr>
                <w:color w:val="000000"/>
                <w:sz w:val="20"/>
                <w:szCs w:val="20"/>
                <w:lang w:val="en-US"/>
              </w:rPr>
            </w:pPr>
            <w:proofErr w:type="gramStart"/>
            <w:r w:rsidRPr="00F02BC6">
              <w:rPr>
                <w:color w:val="000000"/>
                <w:sz w:val="20"/>
                <w:szCs w:val="20"/>
                <w:lang w:val="en-US"/>
              </w:rPr>
              <w:t>OR;</w:t>
            </w:r>
            <w:proofErr w:type="gramEnd"/>
            <w:r w:rsidRPr="00F02BC6">
              <w:rPr>
                <w:color w:val="000000"/>
                <w:sz w:val="20"/>
                <w:szCs w:val="20"/>
                <w:lang w:val="en-US"/>
              </w:rPr>
              <w:t xml:space="preserve"> 0.42 (0.38-0.48) p=0.001</w:t>
            </w:r>
          </w:p>
          <w:p w14:paraId="54BF2837" w14:textId="77777777" w:rsidR="00801304" w:rsidRPr="00F02BC6" w:rsidRDefault="00801304" w:rsidP="00495804">
            <w:pPr>
              <w:rPr>
                <w:color w:val="000000"/>
                <w:sz w:val="20"/>
                <w:szCs w:val="20"/>
                <w:lang w:val="en-US"/>
              </w:rPr>
            </w:pPr>
            <w:r w:rsidRPr="00F02BC6">
              <w:rPr>
                <w:color w:val="000000"/>
                <w:sz w:val="20"/>
                <w:szCs w:val="20"/>
                <w:lang w:val="en-US"/>
              </w:rPr>
              <w:t xml:space="preserve">SABA Use </w:t>
            </w:r>
          </w:p>
          <w:p w14:paraId="4476B2A0" w14:textId="77777777" w:rsidR="00801304" w:rsidRPr="00F02BC6" w:rsidRDefault="00801304" w:rsidP="00495804">
            <w:pPr>
              <w:rPr>
                <w:color w:val="000000"/>
                <w:sz w:val="20"/>
                <w:szCs w:val="20"/>
                <w:lang w:val="en-US"/>
              </w:rPr>
            </w:pPr>
            <w:proofErr w:type="gramStart"/>
            <w:r w:rsidRPr="00F02BC6">
              <w:rPr>
                <w:color w:val="000000"/>
                <w:sz w:val="20"/>
                <w:szCs w:val="20"/>
                <w:lang w:val="en-US"/>
              </w:rPr>
              <w:t>OR;</w:t>
            </w:r>
            <w:proofErr w:type="gramEnd"/>
            <w:r w:rsidRPr="00F02BC6">
              <w:rPr>
                <w:color w:val="000000"/>
                <w:sz w:val="20"/>
                <w:szCs w:val="20"/>
                <w:lang w:val="en-US"/>
              </w:rPr>
              <w:t xml:space="preserve"> 1.00 (0.91-1.11) p=0.972 </w:t>
            </w:r>
          </w:p>
          <w:p w14:paraId="18AF8C81" w14:textId="77777777" w:rsidR="00801304" w:rsidRPr="00F02BC6" w:rsidRDefault="00801304" w:rsidP="00495804">
            <w:pPr>
              <w:rPr>
                <w:color w:val="000000"/>
                <w:sz w:val="20"/>
                <w:szCs w:val="20"/>
                <w:lang w:val="en-US"/>
              </w:rPr>
            </w:pPr>
            <w:proofErr w:type="gramStart"/>
            <w:r w:rsidRPr="00F02BC6">
              <w:rPr>
                <w:color w:val="000000"/>
                <w:sz w:val="20"/>
                <w:szCs w:val="20"/>
                <w:lang w:val="en-US"/>
              </w:rPr>
              <w:t>OR;</w:t>
            </w:r>
            <w:proofErr w:type="gramEnd"/>
            <w:r w:rsidRPr="00F02BC6">
              <w:rPr>
                <w:color w:val="000000"/>
                <w:sz w:val="20"/>
                <w:szCs w:val="20"/>
                <w:lang w:val="en-US"/>
              </w:rPr>
              <w:t xml:space="preserve"> 0.68 (0.61-0.76) p=0.001</w:t>
            </w:r>
          </w:p>
          <w:p w14:paraId="21ADE551" w14:textId="77777777" w:rsidR="00801304" w:rsidRPr="00F02BC6" w:rsidRDefault="00801304" w:rsidP="00495804">
            <w:pPr>
              <w:rPr>
                <w:color w:val="000000"/>
                <w:sz w:val="20"/>
                <w:szCs w:val="20"/>
                <w:lang w:val="en-US"/>
              </w:rPr>
            </w:pPr>
            <w:r w:rsidRPr="00F02BC6">
              <w:rPr>
                <w:color w:val="000000"/>
                <w:sz w:val="20"/>
                <w:szCs w:val="20"/>
                <w:lang w:val="en-US"/>
              </w:rPr>
              <w:t xml:space="preserve">OCS Use </w:t>
            </w:r>
          </w:p>
          <w:p w14:paraId="27430D99" w14:textId="77777777" w:rsidR="00801304" w:rsidRPr="00F02BC6" w:rsidRDefault="00801304" w:rsidP="00495804">
            <w:pPr>
              <w:rPr>
                <w:color w:val="000000"/>
                <w:sz w:val="20"/>
                <w:szCs w:val="20"/>
                <w:lang w:val="en-US"/>
              </w:rPr>
            </w:pPr>
            <w:proofErr w:type="gramStart"/>
            <w:r w:rsidRPr="00F02BC6">
              <w:rPr>
                <w:color w:val="000000"/>
                <w:sz w:val="20"/>
                <w:szCs w:val="20"/>
                <w:lang w:val="en-US"/>
              </w:rPr>
              <w:t>OR;</w:t>
            </w:r>
            <w:proofErr w:type="gramEnd"/>
            <w:r w:rsidRPr="00F02BC6">
              <w:rPr>
                <w:color w:val="000000"/>
                <w:sz w:val="20"/>
                <w:szCs w:val="20"/>
                <w:lang w:val="en-US"/>
              </w:rPr>
              <w:t xml:space="preserve"> 0.46 (0.42-0.52) p=0.001</w:t>
            </w:r>
          </w:p>
          <w:p w14:paraId="526D70C3" w14:textId="77777777" w:rsidR="00801304" w:rsidRPr="00F02BC6" w:rsidRDefault="00801304" w:rsidP="00495804">
            <w:pPr>
              <w:rPr>
                <w:color w:val="000000"/>
                <w:sz w:val="20"/>
                <w:szCs w:val="20"/>
                <w:lang w:val="en-US"/>
              </w:rPr>
            </w:pPr>
            <w:proofErr w:type="gramStart"/>
            <w:r w:rsidRPr="00F02BC6">
              <w:rPr>
                <w:color w:val="000000"/>
                <w:sz w:val="20"/>
                <w:szCs w:val="20"/>
                <w:lang w:val="en-US"/>
              </w:rPr>
              <w:t>OR;</w:t>
            </w:r>
            <w:proofErr w:type="gramEnd"/>
            <w:r w:rsidRPr="00F02BC6">
              <w:rPr>
                <w:color w:val="000000"/>
                <w:sz w:val="20"/>
                <w:szCs w:val="20"/>
                <w:lang w:val="en-US"/>
              </w:rPr>
              <w:t xml:space="preserve"> 0.36 (0.32-0.40) p=0.001</w:t>
            </w:r>
          </w:p>
          <w:p w14:paraId="4B8BBBEF" w14:textId="77777777" w:rsidR="00801304" w:rsidRPr="00F02BC6" w:rsidRDefault="00801304" w:rsidP="00495804">
            <w:pPr>
              <w:rPr>
                <w:color w:val="000000"/>
                <w:sz w:val="20"/>
                <w:szCs w:val="20"/>
                <w:lang w:val="en-US"/>
              </w:rPr>
            </w:pPr>
            <w:r w:rsidRPr="00F02BC6">
              <w:rPr>
                <w:color w:val="000000"/>
                <w:sz w:val="20"/>
                <w:szCs w:val="20"/>
                <w:lang w:val="en-US"/>
              </w:rPr>
              <w:t xml:space="preserve">ER Visits </w:t>
            </w:r>
          </w:p>
          <w:p w14:paraId="4AB5AA86" w14:textId="77777777" w:rsidR="00801304" w:rsidRPr="00F02BC6" w:rsidRDefault="00801304" w:rsidP="00495804">
            <w:pPr>
              <w:rPr>
                <w:color w:val="000000"/>
                <w:sz w:val="20"/>
                <w:szCs w:val="20"/>
                <w:lang w:val="en-US"/>
              </w:rPr>
            </w:pPr>
            <w:proofErr w:type="gramStart"/>
            <w:r w:rsidRPr="00F02BC6">
              <w:rPr>
                <w:color w:val="000000"/>
                <w:sz w:val="20"/>
                <w:szCs w:val="20"/>
                <w:lang w:val="en-US"/>
              </w:rPr>
              <w:t>OR;</w:t>
            </w:r>
            <w:proofErr w:type="gramEnd"/>
            <w:r w:rsidRPr="00F02BC6">
              <w:rPr>
                <w:color w:val="000000"/>
                <w:sz w:val="20"/>
                <w:szCs w:val="20"/>
                <w:lang w:val="en-US"/>
              </w:rPr>
              <w:t xml:space="preserve"> 0.48 (0.36- 0.64) p=0.001</w:t>
            </w:r>
          </w:p>
          <w:p w14:paraId="365BA355" w14:textId="77777777" w:rsidR="00801304" w:rsidRPr="00F02BC6" w:rsidRDefault="00801304" w:rsidP="00495804">
            <w:pPr>
              <w:rPr>
                <w:color w:val="000000"/>
                <w:sz w:val="20"/>
                <w:szCs w:val="20"/>
                <w:lang w:val="en-US"/>
              </w:rPr>
            </w:pPr>
            <w:proofErr w:type="gramStart"/>
            <w:r w:rsidRPr="00F02BC6">
              <w:rPr>
                <w:color w:val="000000"/>
                <w:sz w:val="20"/>
                <w:szCs w:val="20"/>
                <w:lang w:val="en-US"/>
              </w:rPr>
              <w:t>OR;</w:t>
            </w:r>
            <w:proofErr w:type="gramEnd"/>
            <w:r w:rsidRPr="00F02BC6">
              <w:rPr>
                <w:color w:val="000000"/>
                <w:sz w:val="20"/>
                <w:szCs w:val="20"/>
                <w:lang w:val="en-US"/>
              </w:rPr>
              <w:t xml:space="preserve"> 0.31 (0.21- 0.46) p=0.001</w:t>
            </w:r>
          </w:p>
          <w:p w14:paraId="7495C6BF" w14:textId="77777777" w:rsidR="00801304" w:rsidRPr="00F02BC6" w:rsidRDefault="00801304" w:rsidP="00495804">
            <w:pPr>
              <w:rPr>
                <w:color w:val="000000"/>
                <w:sz w:val="20"/>
                <w:szCs w:val="20"/>
                <w:lang w:val="en-US"/>
              </w:rPr>
            </w:pPr>
            <w:r w:rsidRPr="00F02BC6">
              <w:rPr>
                <w:color w:val="000000"/>
                <w:sz w:val="20"/>
                <w:szCs w:val="20"/>
                <w:lang w:val="en-US"/>
              </w:rPr>
              <w:t xml:space="preserve">Hospitalizations </w:t>
            </w:r>
          </w:p>
          <w:p w14:paraId="30F6898B" w14:textId="77777777" w:rsidR="00801304" w:rsidRPr="00F02BC6" w:rsidRDefault="00801304" w:rsidP="00495804">
            <w:pPr>
              <w:rPr>
                <w:color w:val="000000"/>
                <w:sz w:val="20"/>
                <w:szCs w:val="20"/>
                <w:lang w:val="en-US"/>
              </w:rPr>
            </w:pPr>
            <w:proofErr w:type="gramStart"/>
            <w:r w:rsidRPr="00F02BC6">
              <w:rPr>
                <w:color w:val="000000"/>
                <w:sz w:val="20"/>
                <w:szCs w:val="20"/>
                <w:lang w:val="en-US"/>
              </w:rPr>
              <w:t>OR;</w:t>
            </w:r>
            <w:proofErr w:type="gramEnd"/>
            <w:r w:rsidRPr="00F02BC6">
              <w:rPr>
                <w:color w:val="000000"/>
                <w:sz w:val="20"/>
                <w:szCs w:val="20"/>
                <w:lang w:val="en-US"/>
              </w:rPr>
              <w:t xml:space="preserve"> 0.49 (0.42-0.57) p=0.001</w:t>
            </w:r>
          </w:p>
          <w:p w14:paraId="7D077295" w14:textId="77777777" w:rsidR="00801304" w:rsidRPr="00F02BC6" w:rsidRDefault="00801304" w:rsidP="00495804">
            <w:pPr>
              <w:rPr>
                <w:color w:val="000000"/>
                <w:sz w:val="20"/>
                <w:szCs w:val="20"/>
                <w:lang w:val="en-US"/>
              </w:rPr>
            </w:pPr>
            <w:proofErr w:type="gramStart"/>
            <w:r w:rsidRPr="00F02BC6">
              <w:rPr>
                <w:color w:val="000000"/>
                <w:sz w:val="20"/>
                <w:szCs w:val="20"/>
                <w:lang w:val="en-US"/>
              </w:rPr>
              <w:t>OR;</w:t>
            </w:r>
            <w:proofErr w:type="gramEnd"/>
            <w:r w:rsidRPr="00F02BC6">
              <w:rPr>
                <w:color w:val="000000"/>
                <w:sz w:val="20"/>
                <w:szCs w:val="20"/>
                <w:lang w:val="en-US"/>
              </w:rPr>
              <w:t xml:space="preserve"> 0.41 (0.35-0.49) p=0.001</w:t>
            </w:r>
          </w:p>
          <w:p w14:paraId="21C3BD36" w14:textId="77777777" w:rsidR="00801304" w:rsidRPr="00F02BC6" w:rsidRDefault="00801304" w:rsidP="00495804">
            <w:pPr>
              <w:rPr>
                <w:color w:val="000000"/>
                <w:sz w:val="20"/>
                <w:szCs w:val="20"/>
                <w:lang w:val="en-US"/>
              </w:rPr>
            </w:pPr>
            <w:r w:rsidRPr="00F02BC6">
              <w:rPr>
                <w:color w:val="000000"/>
                <w:sz w:val="20"/>
                <w:szCs w:val="20"/>
                <w:lang w:val="en-US"/>
              </w:rPr>
              <w:t xml:space="preserve">ICU Admission </w:t>
            </w:r>
          </w:p>
          <w:p w14:paraId="6D3E767D" w14:textId="77777777" w:rsidR="00801304" w:rsidRPr="00F02BC6" w:rsidRDefault="00801304" w:rsidP="00495804">
            <w:pPr>
              <w:rPr>
                <w:color w:val="000000"/>
                <w:sz w:val="20"/>
                <w:szCs w:val="20"/>
                <w:lang w:val="en-US"/>
              </w:rPr>
            </w:pPr>
            <w:proofErr w:type="gramStart"/>
            <w:r w:rsidRPr="00F02BC6">
              <w:rPr>
                <w:color w:val="000000"/>
                <w:sz w:val="20"/>
                <w:szCs w:val="20"/>
                <w:lang w:val="en-US"/>
              </w:rPr>
              <w:t>OR;</w:t>
            </w:r>
            <w:proofErr w:type="gramEnd"/>
            <w:r w:rsidRPr="00F02BC6">
              <w:rPr>
                <w:color w:val="000000"/>
                <w:sz w:val="20"/>
                <w:szCs w:val="20"/>
                <w:lang w:val="en-US"/>
              </w:rPr>
              <w:t xml:space="preserve"> 0.62 (0.39-0.98) p=0.041 </w:t>
            </w:r>
          </w:p>
          <w:p w14:paraId="10548A41" w14:textId="77777777" w:rsidR="00801304" w:rsidRPr="00F02BC6" w:rsidRDefault="00801304" w:rsidP="00495804">
            <w:pPr>
              <w:rPr>
                <w:color w:val="000000"/>
                <w:sz w:val="20"/>
                <w:szCs w:val="20"/>
                <w:lang w:val="en-US"/>
              </w:rPr>
            </w:pPr>
            <w:proofErr w:type="gramStart"/>
            <w:r w:rsidRPr="00F02BC6">
              <w:rPr>
                <w:color w:val="000000"/>
                <w:sz w:val="20"/>
                <w:szCs w:val="20"/>
                <w:lang w:val="en-US"/>
              </w:rPr>
              <w:t>OR;</w:t>
            </w:r>
            <w:proofErr w:type="gramEnd"/>
            <w:r w:rsidRPr="00F02BC6">
              <w:rPr>
                <w:color w:val="000000"/>
                <w:sz w:val="20"/>
                <w:szCs w:val="20"/>
                <w:lang w:val="en-US"/>
              </w:rPr>
              <w:t xml:space="preserve"> 0.14 (0.07-0.28) p=0.001</w:t>
            </w:r>
          </w:p>
          <w:p w14:paraId="1648A85F" w14:textId="77777777" w:rsidR="00801304" w:rsidRPr="00F02BC6" w:rsidRDefault="00801304" w:rsidP="00495804">
            <w:pPr>
              <w:rPr>
                <w:color w:val="000000"/>
                <w:sz w:val="20"/>
                <w:szCs w:val="20"/>
                <w:lang w:val="en-US"/>
              </w:rPr>
            </w:pPr>
            <w:r w:rsidRPr="00F02BC6">
              <w:rPr>
                <w:color w:val="000000"/>
                <w:sz w:val="20"/>
                <w:szCs w:val="20"/>
                <w:lang w:val="en-US"/>
              </w:rPr>
              <w:t xml:space="preserve">Intubation </w:t>
            </w:r>
          </w:p>
          <w:p w14:paraId="7C70064C" w14:textId="77777777" w:rsidR="00801304" w:rsidRPr="00F02BC6" w:rsidRDefault="00801304" w:rsidP="00495804">
            <w:pPr>
              <w:rPr>
                <w:color w:val="000000"/>
                <w:sz w:val="20"/>
                <w:szCs w:val="20"/>
                <w:lang w:val="en-US"/>
              </w:rPr>
            </w:pPr>
            <w:proofErr w:type="gramStart"/>
            <w:r w:rsidRPr="00F02BC6">
              <w:rPr>
                <w:color w:val="000000"/>
                <w:sz w:val="20"/>
                <w:szCs w:val="20"/>
                <w:lang w:val="en-US"/>
              </w:rPr>
              <w:t>OR;</w:t>
            </w:r>
            <w:proofErr w:type="gramEnd"/>
            <w:r w:rsidRPr="00F02BC6">
              <w:rPr>
                <w:color w:val="000000"/>
                <w:sz w:val="20"/>
                <w:szCs w:val="20"/>
                <w:lang w:val="en-US"/>
              </w:rPr>
              <w:t xml:space="preserve"> 0.72 (0.31-1.64) p=0.427</w:t>
            </w:r>
          </w:p>
          <w:p w14:paraId="70AE7DE1" w14:textId="77777777" w:rsidR="00801304" w:rsidRPr="00F02BC6" w:rsidRDefault="00801304" w:rsidP="00495804">
            <w:pPr>
              <w:rPr>
                <w:color w:val="000000"/>
                <w:sz w:val="20"/>
                <w:szCs w:val="20"/>
                <w:lang w:val="en-US"/>
              </w:rPr>
            </w:pPr>
            <w:proofErr w:type="gramStart"/>
            <w:r w:rsidRPr="00F02BC6">
              <w:rPr>
                <w:color w:val="000000"/>
                <w:sz w:val="20"/>
                <w:szCs w:val="20"/>
                <w:lang w:val="en-US"/>
              </w:rPr>
              <w:t>OR;</w:t>
            </w:r>
            <w:proofErr w:type="gramEnd"/>
            <w:r w:rsidRPr="00F02BC6">
              <w:rPr>
                <w:color w:val="000000"/>
                <w:sz w:val="20"/>
                <w:szCs w:val="20"/>
                <w:lang w:val="en-US"/>
              </w:rPr>
              <w:t xml:space="preserve"> 0.05 (0.01-0.26) p=0.001</w:t>
            </w:r>
          </w:p>
          <w:p w14:paraId="71200CB5" w14:textId="77777777" w:rsidR="00801304" w:rsidRPr="00F02BC6" w:rsidRDefault="00801304" w:rsidP="00495804">
            <w:pPr>
              <w:rPr>
                <w:color w:val="000000"/>
                <w:sz w:val="20"/>
                <w:szCs w:val="20"/>
                <w:lang w:val="en-US"/>
              </w:rPr>
            </w:pPr>
            <w:r w:rsidRPr="00F02BC6">
              <w:rPr>
                <w:color w:val="000000"/>
                <w:sz w:val="20"/>
                <w:szCs w:val="20"/>
                <w:lang w:val="en-US"/>
              </w:rPr>
              <w:t xml:space="preserve">Respirologist Visit </w:t>
            </w:r>
          </w:p>
          <w:p w14:paraId="75947236" w14:textId="77777777" w:rsidR="00801304" w:rsidRPr="00F02BC6" w:rsidRDefault="00801304" w:rsidP="00495804">
            <w:pPr>
              <w:rPr>
                <w:color w:val="000000"/>
                <w:sz w:val="20"/>
                <w:szCs w:val="20"/>
                <w:lang w:val="en-US"/>
              </w:rPr>
            </w:pPr>
            <w:proofErr w:type="gramStart"/>
            <w:r w:rsidRPr="00F02BC6">
              <w:rPr>
                <w:color w:val="000000"/>
                <w:sz w:val="20"/>
                <w:szCs w:val="20"/>
                <w:lang w:val="en-US"/>
              </w:rPr>
              <w:t>OR;</w:t>
            </w:r>
            <w:proofErr w:type="gramEnd"/>
            <w:r w:rsidRPr="00F02BC6">
              <w:rPr>
                <w:color w:val="000000"/>
                <w:sz w:val="20"/>
                <w:szCs w:val="20"/>
                <w:lang w:val="en-US"/>
              </w:rPr>
              <w:t xml:space="preserve"> 0.88 (0.79-0.99) p=0.032</w:t>
            </w:r>
          </w:p>
          <w:p w14:paraId="5AEE8890" w14:textId="77777777" w:rsidR="00801304" w:rsidRPr="00F02BC6" w:rsidRDefault="00801304" w:rsidP="00495804">
            <w:pPr>
              <w:rPr>
                <w:color w:val="000000"/>
                <w:sz w:val="20"/>
                <w:szCs w:val="20"/>
                <w:lang w:val="en-US"/>
              </w:rPr>
            </w:pPr>
            <w:proofErr w:type="gramStart"/>
            <w:r w:rsidRPr="00F02BC6">
              <w:rPr>
                <w:color w:val="000000"/>
                <w:sz w:val="20"/>
                <w:szCs w:val="20"/>
                <w:lang w:val="en-US"/>
              </w:rPr>
              <w:t>OR;</w:t>
            </w:r>
            <w:proofErr w:type="gramEnd"/>
            <w:r w:rsidRPr="00F02BC6">
              <w:rPr>
                <w:color w:val="000000"/>
                <w:sz w:val="20"/>
                <w:szCs w:val="20"/>
                <w:lang w:val="en-US"/>
              </w:rPr>
              <w:t xml:space="preserve"> 0.43 (0.38-0.50) p=0.001</w:t>
            </w:r>
          </w:p>
          <w:p w14:paraId="0BF9DB66" w14:textId="77777777" w:rsidR="00801304" w:rsidRPr="00F02BC6" w:rsidRDefault="00801304" w:rsidP="00495804">
            <w:pPr>
              <w:rPr>
                <w:color w:val="000000"/>
                <w:sz w:val="20"/>
                <w:szCs w:val="20"/>
                <w:lang w:val="en-US"/>
              </w:rPr>
            </w:pPr>
            <w:r w:rsidRPr="00F02BC6">
              <w:rPr>
                <w:color w:val="000000"/>
                <w:sz w:val="20"/>
                <w:szCs w:val="20"/>
                <w:lang w:val="en-US"/>
              </w:rPr>
              <w:t xml:space="preserve">GP Visit </w:t>
            </w:r>
          </w:p>
          <w:p w14:paraId="0B629ECA" w14:textId="77777777" w:rsidR="00801304" w:rsidRPr="00F02BC6" w:rsidRDefault="00801304" w:rsidP="00495804">
            <w:pPr>
              <w:rPr>
                <w:color w:val="000000"/>
                <w:sz w:val="20"/>
                <w:szCs w:val="20"/>
                <w:lang w:val="en-US"/>
              </w:rPr>
            </w:pPr>
            <w:proofErr w:type="gramStart"/>
            <w:r w:rsidRPr="00F02BC6">
              <w:rPr>
                <w:color w:val="000000"/>
                <w:sz w:val="20"/>
                <w:szCs w:val="20"/>
                <w:lang w:val="en-US"/>
              </w:rPr>
              <w:t>OR;</w:t>
            </w:r>
            <w:proofErr w:type="gramEnd"/>
            <w:r w:rsidRPr="00F02BC6">
              <w:rPr>
                <w:color w:val="000000"/>
                <w:sz w:val="20"/>
                <w:szCs w:val="20"/>
                <w:lang w:val="en-US"/>
              </w:rPr>
              <w:t xml:space="preserve"> 0.63 (0.56-0.71) p=0.001</w:t>
            </w:r>
          </w:p>
          <w:p w14:paraId="617270D7" w14:textId="77777777" w:rsidR="00801304" w:rsidRPr="00F02BC6" w:rsidRDefault="00801304" w:rsidP="00495804">
            <w:pPr>
              <w:rPr>
                <w:color w:val="000000"/>
                <w:sz w:val="20"/>
                <w:szCs w:val="20"/>
                <w:lang w:val="en-US"/>
              </w:rPr>
            </w:pPr>
            <w:proofErr w:type="gramStart"/>
            <w:r w:rsidRPr="00F02BC6">
              <w:rPr>
                <w:color w:val="000000"/>
                <w:sz w:val="20"/>
                <w:szCs w:val="20"/>
                <w:lang w:val="en-US"/>
              </w:rPr>
              <w:t>OR;</w:t>
            </w:r>
            <w:proofErr w:type="gramEnd"/>
            <w:r w:rsidRPr="00F02BC6">
              <w:rPr>
                <w:color w:val="000000"/>
                <w:sz w:val="20"/>
                <w:szCs w:val="20"/>
                <w:lang w:val="en-US"/>
              </w:rPr>
              <w:t xml:space="preserve"> 0.45 (0.39-0.52) p=0.001</w:t>
            </w:r>
          </w:p>
        </w:tc>
        <w:tc>
          <w:tcPr>
            <w:tcW w:w="2693" w:type="dxa"/>
            <w:tcBorders>
              <w:top w:val="single" w:sz="4" w:space="0" w:color="auto"/>
            </w:tcBorders>
          </w:tcPr>
          <w:p w14:paraId="7E5FD08D" w14:textId="77777777" w:rsidR="00801304" w:rsidRPr="00F02BC6" w:rsidRDefault="00801304" w:rsidP="00495804">
            <w:pPr>
              <w:rPr>
                <w:color w:val="000000"/>
                <w:sz w:val="20"/>
                <w:szCs w:val="20"/>
                <w:lang w:val="en-US"/>
              </w:rPr>
            </w:pPr>
            <w:r w:rsidRPr="00F02BC6">
              <w:rPr>
                <w:color w:val="000000"/>
                <w:sz w:val="20"/>
                <w:szCs w:val="20"/>
                <w:lang w:val="en-US"/>
              </w:rPr>
              <w:t>Multivariate logistic regression</w:t>
            </w:r>
          </w:p>
        </w:tc>
        <w:tc>
          <w:tcPr>
            <w:tcW w:w="1559" w:type="dxa"/>
            <w:gridSpan w:val="2"/>
            <w:tcBorders>
              <w:top w:val="single" w:sz="4" w:space="0" w:color="auto"/>
            </w:tcBorders>
          </w:tcPr>
          <w:p w14:paraId="3CD0B95E" w14:textId="77777777" w:rsidR="00801304" w:rsidRPr="00F02BC6" w:rsidRDefault="00801304" w:rsidP="00495804">
            <w:pPr>
              <w:tabs>
                <w:tab w:val="left" w:pos="937"/>
              </w:tabs>
              <w:rPr>
                <w:color w:val="000000"/>
                <w:sz w:val="20"/>
                <w:szCs w:val="20"/>
                <w:lang w:val="en-US"/>
              </w:rPr>
            </w:pPr>
            <w:r w:rsidRPr="00F02BC6">
              <w:rPr>
                <w:color w:val="000000"/>
                <w:sz w:val="20"/>
                <w:szCs w:val="20"/>
                <w:lang w:val="en-US"/>
              </w:rPr>
              <w:t>57.3% estimated using MPR</w:t>
            </w:r>
          </w:p>
          <w:p w14:paraId="2E6426A3" w14:textId="77777777" w:rsidR="00801304" w:rsidRPr="00F02BC6" w:rsidRDefault="00801304" w:rsidP="00495804">
            <w:pPr>
              <w:tabs>
                <w:tab w:val="left" w:pos="937"/>
              </w:tabs>
              <w:rPr>
                <w:color w:val="000000"/>
                <w:sz w:val="20"/>
                <w:szCs w:val="20"/>
                <w:lang w:val="en-US"/>
              </w:rPr>
            </w:pPr>
            <w:r w:rsidRPr="00F02BC6">
              <w:rPr>
                <w:color w:val="000000"/>
                <w:sz w:val="20"/>
                <w:szCs w:val="20"/>
                <w:lang w:val="en-US"/>
              </w:rPr>
              <w:t>70.7% (non-persistence)</w:t>
            </w:r>
          </w:p>
        </w:tc>
      </w:tr>
      <w:tr w:rsidR="00801304" w:rsidRPr="00F02BC6" w14:paraId="48A8004E" w14:textId="77777777" w:rsidTr="005F62B6">
        <w:tc>
          <w:tcPr>
            <w:tcW w:w="2219" w:type="dxa"/>
          </w:tcPr>
          <w:p w14:paraId="35947A1D" w14:textId="77777777" w:rsidR="00801304" w:rsidRPr="00F02BC6" w:rsidRDefault="00801304" w:rsidP="00495804">
            <w:pPr>
              <w:rPr>
                <w:color w:val="000000"/>
                <w:sz w:val="20"/>
                <w:szCs w:val="20"/>
                <w:lang w:val="en-US"/>
              </w:rPr>
            </w:pPr>
            <w:r w:rsidRPr="00F02BC6">
              <w:rPr>
                <w:color w:val="000000"/>
                <w:sz w:val="20"/>
                <w:szCs w:val="20"/>
                <w:lang w:val="en-US"/>
              </w:rPr>
              <w:t xml:space="preserve">Kang et al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{"citationItems":[{"id":"ITEM-1","itemData":{"DOI":"10.1136/bmjopen-2017-020825","ISSN":"20446055","abstract":"Objectives Asthma exacerbation, associated with many risks factors, can reflect management failure. However, little is known about how risk factors are associated with exacerbation, according to asthma severity. We aimed to investigate differences in risk factors in patients with different asthma severity and evaluate whether risk factors differed between frequent exacerbators and patients with single exacerbation. Design Nationwide population-based observational study. Setting Korean National Sample Cohort database. Participants We included 22 130 adults with asthma diagnoses more than twice (ICD-10 (International Classification of Diseases, Tenth revision) codes J45 and J46) and one prescription for asthma medication from 2010 to 2011. Outcome measures Asthma exacerbation was defined as having a corticosteroid (CS) burst characterised by a prescription of high-dose oral CS for ≥3 days or one systemic CS injection, hospitalisation or emergency department visit. Results Among severities, history of CS bursts was significantly associated with exacerbation. In mild and moderate asthma, exacerbation was significantly associated with age ≥45 years, being female, gastro-oesophageal reflux disease and chronic rhinitis. High medication possession ratio (MPR≥50%), compared with low MPR (&lt;20%) showed adjusted ORs of 0.828 (95% CI 0.707 to 0.971) and 0.362 (0.185 to 0.708) in moderate and severe asthma, respectively. In severe asthma, compared with mild asthma, only allergic rhinitis and history of hospitalisation were strongly associated with exacerbation. When comparing frequent exacerbators to patients with single exacerbation, age ≥45 years, atopic dermatitis, anxiety and history of CS burst were significant risk factors in mild and moderate asthma, whereas no risk factors were significant in severe asthma. Conclusions Different associations between risk factors and asthma exacerbations based on asthma severity suggest that patients with mild asthma require greater attention to their age and comorbidities, whereas those with severe asthma require greater attention to hospitalisation history and drug adherence.","author":[{"dropping-particle":"","family":"Kang","given":"Hye Rim","non-dropping-particle":"","parse-names":false,"suffix":""},{"dropping-particle":"","family":"Song","given":"Hyun Jin","non-dropping-particle":"","parse-names":false,"suffix":""},{"dropping-particle":"","family":"Nam","given":"Jin Hyun","non-dropping-particle":"","parse-names":false,"suffix":""},{"dropping-particle":"","family":"Hong","given":"Sung Hyun","non-dropping-particle":"","parse-names":false,"suffix":""},{"dropping-particle":"","family":"Yang","given":"So Young","non-dropping-particle":"","parse-names":false,"suffix":""},{"dropping-particle":"","family":"Ju","given":"Sangeun","non-dropping-particle":"","parse-names":false,"suffix":""},{"dropping-particle":"","family":"Lee","given":"Sang Won","non-dropping-particle":"","parse-names":false,"suffix":""},{"dropping-particle":"","family":"Kim","given":"Tae Bum","non-dropping-particle":"","parse-names":false,"suffix":""},{"dropping-particle":"","family":"Kim","given":"Hye Lin","non-dropping-particle":"","parse-names":false,"suffix":""},{"dropping-particle":"","family":"Lee","given":"Eui Kyung","non-dropping-particle":"","parse-names":false,"suffix":""}],"container-title":"BMJ Open","id":"ITEM-1","issue":"3","issued":{"date-parts":[["2018"]]},"page":"1-10","title":"Risk factors of asthma exacerbation based on asthma severity: A nationwide population-based observational study in South Korea","type":"article-journal","volume":"8"},"uris":["http://www.mendeley.com/documents/?uuid=30861917-ff2a-408a-bc0b-50abfccb036d"]}],"mendeley":{"formattedCitation":"(18)","plainTextFormattedCitation":"(18)","previouslyFormattedCitation":"(18)"},"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(18)</w:t>
            </w:r>
            <w:r w:rsidRPr="00F02BC6">
              <w:rPr>
                <w:color w:val="000000"/>
                <w:sz w:val="20"/>
                <w:szCs w:val="20"/>
                <w:vertAlign w:val="superscript"/>
                <w:lang w:val="en-US"/>
              </w:rPr>
              <w:fldChar w:fldCharType="end"/>
            </w:r>
          </w:p>
        </w:tc>
        <w:tc>
          <w:tcPr>
            <w:tcW w:w="1984" w:type="dxa"/>
          </w:tcPr>
          <w:p w14:paraId="1C1D8101" w14:textId="4257A489" w:rsidR="00801304" w:rsidRPr="00F02BC6" w:rsidRDefault="00E36E4E" w:rsidP="00495804">
            <w:pPr>
              <w:rPr>
                <w:color w:val="000000"/>
                <w:sz w:val="20"/>
                <w:szCs w:val="20"/>
                <w:lang w:val="en-US"/>
              </w:rPr>
            </w:pPr>
            <w:r w:rsidRPr="00F02BC6">
              <w:rPr>
                <w:color w:val="000000"/>
                <w:sz w:val="20"/>
                <w:szCs w:val="20"/>
                <w:lang w:val="en-US"/>
              </w:rPr>
              <w:t>Patients identified using ICD-10 codes for asthma (J45, J46) and one prescription of asthma medications.</w:t>
            </w:r>
          </w:p>
        </w:tc>
        <w:tc>
          <w:tcPr>
            <w:tcW w:w="1843" w:type="dxa"/>
          </w:tcPr>
          <w:p w14:paraId="32EACE5E" w14:textId="77777777" w:rsidR="00801304" w:rsidRPr="00F02BC6" w:rsidRDefault="00801304" w:rsidP="00495804">
            <w:pPr>
              <w:rPr>
                <w:color w:val="000000"/>
                <w:sz w:val="20"/>
                <w:szCs w:val="20"/>
                <w:lang w:val="en-US"/>
              </w:rPr>
            </w:pPr>
            <w:r w:rsidRPr="00F02BC6">
              <w:rPr>
                <w:color w:val="000000"/>
                <w:sz w:val="20"/>
                <w:szCs w:val="20"/>
                <w:lang w:val="en-US"/>
              </w:rPr>
              <w:t>---</w:t>
            </w:r>
          </w:p>
        </w:tc>
        <w:tc>
          <w:tcPr>
            <w:tcW w:w="2127" w:type="dxa"/>
          </w:tcPr>
          <w:p w14:paraId="74FBBF2B" w14:textId="77777777" w:rsidR="00801304" w:rsidRPr="00F02BC6" w:rsidRDefault="00801304" w:rsidP="00495804">
            <w:pPr>
              <w:rPr>
                <w:color w:val="000000"/>
                <w:sz w:val="20"/>
                <w:szCs w:val="20"/>
                <w:lang w:val="en-US"/>
              </w:rPr>
            </w:pPr>
            <w:r w:rsidRPr="00F02BC6">
              <w:rPr>
                <w:color w:val="000000"/>
                <w:sz w:val="20"/>
                <w:szCs w:val="20"/>
                <w:lang w:val="en-US"/>
              </w:rPr>
              <w:t>MPR&lt;20%</w:t>
            </w:r>
          </w:p>
          <w:p w14:paraId="78E1B859" w14:textId="77777777" w:rsidR="00801304" w:rsidRPr="00F02BC6" w:rsidRDefault="00801304" w:rsidP="00495804">
            <w:pPr>
              <w:rPr>
                <w:color w:val="000000"/>
                <w:sz w:val="20"/>
                <w:szCs w:val="20"/>
                <w:lang w:val="en-US"/>
              </w:rPr>
            </w:pPr>
            <w:r w:rsidRPr="00F02BC6">
              <w:rPr>
                <w:color w:val="000000"/>
                <w:sz w:val="20"/>
                <w:szCs w:val="20"/>
                <w:lang w:val="en-US"/>
              </w:rPr>
              <w:t>20%</w:t>
            </w:r>
            <w:r w:rsidRPr="00F02BC6">
              <w:rPr>
                <w:rFonts w:hint="eastAsia"/>
                <w:color w:val="000000"/>
                <w:sz w:val="20"/>
                <w:szCs w:val="20"/>
                <w:lang w:val="en-US"/>
              </w:rPr>
              <w:t>≤</w:t>
            </w:r>
            <w:r w:rsidRPr="00F02BC6">
              <w:rPr>
                <w:color w:val="000000"/>
                <w:sz w:val="20"/>
                <w:szCs w:val="20"/>
                <w:lang w:val="en-US"/>
              </w:rPr>
              <w:t>MPR&lt;50%</w:t>
            </w:r>
          </w:p>
          <w:p w14:paraId="066A258C" w14:textId="77777777" w:rsidR="00801304" w:rsidRPr="00F02BC6" w:rsidRDefault="00801304" w:rsidP="00495804">
            <w:pPr>
              <w:rPr>
                <w:color w:val="000000"/>
                <w:sz w:val="20"/>
                <w:szCs w:val="20"/>
                <w:lang w:val="en-US"/>
              </w:rPr>
            </w:pPr>
            <w:r w:rsidRPr="00F02BC6">
              <w:rPr>
                <w:color w:val="000000"/>
                <w:sz w:val="20"/>
                <w:szCs w:val="20"/>
                <w:lang w:val="en-US"/>
              </w:rPr>
              <w:t>MPR≥50%</w:t>
            </w:r>
          </w:p>
        </w:tc>
        <w:tc>
          <w:tcPr>
            <w:tcW w:w="2976" w:type="dxa"/>
          </w:tcPr>
          <w:p w14:paraId="312F1F09" w14:textId="77777777" w:rsidR="00801304" w:rsidRPr="00F02BC6" w:rsidRDefault="00801304" w:rsidP="00495804">
            <w:pPr>
              <w:rPr>
                <w:color w:val="000000"/>
                <w:sz w:val="20"/>
                <w:szCs w:val="20"/>
                <w:lang w:val="en-US"/>
              </w:rPr>
            </w:pPr>
            <w:r w:rsidRPr="00F02BC6">
              <w:rPr>
                <w:color w:val="000000"/>
                <w:sz w:val="20"/>
                <w:szCs w:val="20"/>
                <w:lang w:val="en-US"/>
              </w:rPr>
              <w:t>MPR</w:t>
            </w:r>
            <w:r w:rsidRPr="00F02BC6">
              <w:rPr>
                <w:rFonts w:hint="eastAsia"/>
                <w:color w:val="000000"/>
                <w:sz w:val="20"/>
                <w:szCs w:val="20"/>
                <w:lang w:val="en-US"/>
              </w:rPr>
              <w:t>≥</w:t>
            </w:r>
            <w:r w:rsidRPr="00F02BC6">
              <w:rPr>
                <w:color w:val="000000"/>
                <w:sz w:val="20"/>
                <w:szCs w:val="20"/>
                <w:lang w:val="en-US"/>
              </w:rPr>
              <w:t>50% compared with</w:t>
            </w:r>
          </w:p>
          <w:p w14:paraId="77C6786E" w14:textId="77777777" w:rsidR="00801304" w:rsidRPr="00F02BC6" w:rsidRDefault="00801304" w:rsidP="00495804">
            <w:pPr>
              <w:rPr>
                <w:color w:val="000000"/>
                <w:sz w:val="20"/>
                <w:szCs w:val="20"/>
                <w:lang w:val="en-US"/>
              </w:rPr>
            </w:pPr>
            <w:r w:rsidRPr="00F02BC6">
              <w:rPr>
                <w:color w:val="000000"/>
                <w:sz w:val="20"/>
                <w:szCs w:val="20"/>
                <w:lang w:val="en-US"/>
              </w:rPr>
              <w:t>MPR (&lt;20%) showed ORs of 0.828 (95% CI 0.707-0.971) and 0.362 (0.185-0.708) in moderate and severe asthma, respectively.</w:t>
            </w:r>
          </w:p>
        </w:tc>
        <w:tc>
          <w:tcPr>
            <w:tcW w:w="2693" w:type="dxa"/>
          </w:tcPr>
          <w:p w14:paraId="1406FDD6" w14:textId="77777777" w:rsidR="00801304" w:rsidRPr="00F02BC6" w:rsidRDefault="00801304" w:rsidP="00495804">
            <w:pPr>
              <w:rPr>
                <w:color w:val="000000"/>
                <w:sz w:val="20"/>
                <w:szCs w:val="20"/>
                <w:lang w:val="en-US"/>
              </w:rPr>
            </w:pPr>
            <w:r w:rsidRPr="00F02BC6">
              <w:rPr>
                <w:color w:val="000000"/>
                <w:sz w:val="20"/>
                <w:szCs w:val="20"/>
                <w:lang w:val="en-US"/>
              </w:rPr>
              <w:t>Multivariate logistic regression analysis</w:t>
            </w:r>
          </w:p>
        </w:tc>
        <w:tc>
          <w:tcPr>
            <w:tcW w:w="1559" w:type="dxa"/>
            <w:gridSpan w:val="2"/>
          </w:tcPr>
          <w:p w14:paraId="6B44C78B" w14:textId="77777777" w:rsidR="00801304" w:rsidRPr="00F02BC6" w:rsidRDefault="00801304" w:rsidP="00495804">
            <w:pPr>
              <w:rPr>
                <w:color w:val="000000"/>
                <w:sz w:val="20"/>
                <w:szCs w:val="20"/>
                <w:lang w:val="en-US"/>
              </w:rPr>
            </w:pPr>
            <w:r w:rsidRPr="00F02BC6">
              <w:rPr>
                <w:color w:val="000000"/>
                <w:sz w:val="20"/>
                <w:szCs w:val="20"/>
                <w:lang w:val="en-US"/>
              </w:rPr>
              <w:t xml:space="preserve">91.4% </w:t>
            </w:r>
          </w:p>
        </w:tc>
      </w:tr>
      <w:tr w:rsidR="00801304" w:rsidRPr="00F02BC6" w14:paraId="3BB7F99A" w14:textId="77777777" w:rsidTr="005F62B6">
        <w:tc>
          <w:tcPr>
            <w:tcW w:w="2219" w:type="dxa"/>
          </w:tcPr>
          <w:p w14:paraId="70207DE2" w14:textId="77777777" w:rsidR="00801304" w:rsidRPr="00F02BC6" w:rsidRDefault="00801304" w:rsidP="00495804">
            <w:pPr>
              <w:rPr>
                <w:color w:val="000000"/>
                <w:sz w:val="20"/>
                <w:szCs w:val="20"/>
                <w:lang w:val="en-US"/>
              </w:rPr>
            </w:pPr>
          </w:p>
          <w:p w14:paraId="298A473B" w14:textId="77777777" w:rsidR="00801304" w:rsidRPr="00F02BC6" w:rsidRDefault="00801304" w:rsidP="00495804">
            <w:pPr>
              <w:rPr>
                <w:color w:val="000000"/>
                <w:sz w:val="20"/>
                <w:szCs w:val="20"/>
                <w:lang w:val="en-US"/>
              </w:rPr>
            </w:pPr>
            <w:proofErr w:type="spellStart"/>
            <w:r w:rsidRPr="00F02BC6">
              <w:rPr>
                <w:color w:val="000000"/>
                <w:sz w:val="20"/>
                <w:szCs w:val="20"/>
                <w:lang w:val="en-US"/>
              </w:rPr>
              <w:t>Kelloway</w:t>
            </w:r>
            <w:proofErr w:type="spellEnd"/>
            <w:r w:rsidRPr="00F02BC6">
              <w:rPr>
                <w:color w:val="000000"/>
                <w:sz w:val="20"/>
                <w:szCs w:val="20"/>
                <w:lang w:val="en-US"/>
              </w:rPr>
              <w:t xml:space="preserve"> et al </w:t>
            </w:r>
          </w:p>
          <w:p w14:paraId="38DB6D4A" w14:textId="77777777" w:rsidR="00801304" w:rsidRPr="00F02BC6" w:rsidRDefault="00801304" w:rsidP="00495804">
            <w:pPr>
              <w:rPr>
                <w:color w:val="000000"/>
                <w:sz w:val="20"/>
                <w:szCs w:val="20"/>
                <w:vertAlign w:val="superscript"/>
                <w:lang w:val="en-US"/>
              </w:rPr>
            </w:pP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{"citationItems":[{"id":"ITEM-1","itemData":{"DOI":"10.1016/S1081-1206(10)62781-0","ISSN":"10811206","abstract":"Background: Optimal treatment for persistent asthma requires multiple classes of medication, including antiinflammatory agents and bronchodilators. Inhaled corticosteroids are the most effective antiinflammatory agents available and are recommended by recent guidelines as first-line treatment. Salmeterol, a long-acting inhaled bronchodilator, is recommended as adjunctive therapy to inhaled corticosteroids. Non-adherence to prescribed medication is prevalent and has been implicated in asthma exacerbations. Salmeterol's benefits in terms of asthma control are readily perceived by patients whereas the benefits of inhaled corticosteroid therapy may be less apparent. Objective: To evaluate whether the addition of salmeterol to a medication regimen affects patient adherence to prescription refills for inhaled corticosteroids. Methods: A retrospective medical chart and pharmacy claims record review before and after the addition of salmeterol was used. Medication adherence rates were calculated for 67 patients requiring inhaled corticosteroids for at least 8 months before and after the addition of salmeterol. Results: Adherence with inhaled corticosteroid therapy before (49.7% ± 29.3%) and after (56.5% ± 28.6%) the introduction of salmeterol was not significantly different (P = .0785, pre versus post). Adherence with salmeterol was significantly higher (58.7% ± 28.3%) than inhaled corticosteroids at baseline (P = .0202), but not with concurrent use. Dosing frequency of inhaled corticosteroid administration was not a significant factor in adherence, but increasing age was (r = 0.41788, P = .0048). Conclusions: The addition of salmeterol does not adversely affect the adherence rates to prescription refills for prescribed inhaled corticosteroid therapy. On average, important antiinflammatory treatment should not be supplanted with salmeterol if prescribed in combination.","author":[{"dropping-particle":"","family":"Kelloway","given":"Judy S.","non-dropping-particle":"","parse-names":false,"suffix":""},{"dropping-particle":"","family":"Wyatt","given":"Richard","non-dropping-particle":"","parse-names":false,"suffix":""},{"dropping-particle":"","family":"DeMarco","given":"Joanne","non-dropping-particle":"","parse-names":false,"suffix":""},{"dropping-particle":"","family":"Adlis","given":"Susan","non-dropping-particle":"","parse-names":false,"suffix":""}],"container-title":"Annals of Allergy, Asthma and Immunology","id":"ITEM-1","issue":"3","issued":{"date-parts":[["2000"]]},"page":"324-328","publisher":"American College of Allergy, Asthma &amp; Immunology","title":"Effect of salmeterol on patients' adherence to their prescribed refills for inhaled corticosteroids","type":"article-journal","volume":"84"},"uris":["http://www.mendeley.com/documents/?uuid=2df0e578-3217-4ad9-a078-39ee62265fa5"]}],"mendeley":{"formattedCitation":"(34)","plainTextFormattedCitation":"(34)","previouslyFormattedCitation":"(34)"},"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(34)</w:t>
            </w:r>
            <w:r w:rsidRPr="00F02BC6">
              <w:rPr>
                <w:color w:val="000000"/>
                <w:sz w:val="20"/>
                <w:szCs w:val="20"/>
                <w:vertAlign w:val="superscript"/>
                <w:lang w:val="en-US"/>
              </w:rPr>
              <w:fldChar w:fldCharType="end"/>
            </w:r>
          </w:p>
        </w:tc>
        <w:tc>
          <w:tcPr>
            <w:tcW w:w="1984" w:type="dxa"/>
          </w:tcPr>
          <w:p w14:paraId="13853CB7" w14:textId="77777777" w:rsidR="00801304" w:rsidRPr="00F02BC6" w:rsidRDefault="00801304" w:rsidP="00495804">
            <w:pPr>
              <w:rPr>
                <w:color w:val="000000"/>
                <w:sz w:val="20"/>
                <w:szCs w:val="20"/>
                <w:lang w:val="en-US"/>
              </w:rPr>
            </w:pPr>
          </w:p>
          <w:p w14:paraId="54FC74F7" w14:textId="375002B9" w:rsidR="00E36E4E" w:rsidRPr="00F02BC6" w:rsidRDefault="00E36E4E" w:rsidP="00495804">
            <w:pPr>
              <w:rPr>
                <w:color w:val="000000"/>
                <w:sz w:val="20"/>
                <w:szCs w:val="20"/>
                <w:lang w:val="en-US"/>
              </w:rPr>
            </w:pPr>
          </w:p>
        </w:tc>
        <w:tc>
          <w:tcPr>
            <w:tcW w:w="1843" w:type="dxa"/>
          </w:tcPr>
          <w:p w14:paraId="742013B3" w14:textId="77777777" w:rsidR="00801304" w:rsidRPr="00F02BC6" w:rsidRDefault="00801304" w:rsidP="00495804">
            <w:pPr>
              <w:rPr>
                <w:color w:val="000000"/>
                <w:sz w:val="20"/>
                <w:szCs w:val="20"/>
                <w:lang w:val="en-US"/>
              </w:rPr>
            </w:pPr>
          </w:p>
          <w:p w14:paraId="0DA0B06B" w14:textId="77777777" w:rsidR="00801304" w:rsidRPr="00F02BC6" w:rsidRDefault="00801304" w:rsidP="00495804">
            <w:pPr>
              <w:rPr>
                <w:color w:val="000000"/>
                <w:sz w:val="20"/>
                <w:szCs w:val="20"/>
                <w:lang w:val="en-US"/>
              </w:rPr>
            </w:pPr>
            <w:r w:rsidRPr="00F02BC6">
              <w:rPr>
                <w:color w:val="000000"/>
                <w:sz w:val="20"/>
                <w:szCs w:val="20"/>
                <w:lang w:val="en-US"/>
              </w:rPr>
              <w:t xml:space="preserve">56.5% </w:t>
            </w:r>
            <w:r w:rsidRPr="00F02BC6">
              <w:rPr>
                <w:b/>
                <w:color w:val="000000"/>
                <w:sz w:val="20"/>
                <w:szCs w:val="20"/>
                <w:lang w:val="en-US"/>
              </w:rPr>
              <w:t xml:space="preserve">± </w:t>
            </w:r>
            <w:r w:rsidRPr="00F02BC6">
              <w:rPr>
                <w:color w:val="000000"/>
                <w:sz w:val="20"/>
                <w:szCs w:val="20"/>
                <w:lang w:val="en-US"/>
              </w:rPr>
              <w:t>28.6</w:t>
            </w:r>
          </w:p>
        </w:tc>
        <w:tc>
          <w:tcPr>
            <w:tcW w:w="2127" w:type="dxa"/>
          </w:tcPr>
          <w:p w14:paraId="689CAC0C" w14:textId="77777777" w:rsidR="00801304" w:rsidRPr="00F02BC6" w:rsidRDefault="00801304" w:rsidP="00495804">
            <w:pPr>
              <w:rPr>
                <w:color w:val="000000"/>
                <w:sz w:val="20"/>
                <w:szCs w:val="20"/>
                <w:lang w:val="en-US"/>
              </w:rPr>
            </w:pPr>
          </w:p>
          <w:p w14:paraId="5D812485" w14:textId="77777777" w:rsidR="00801304" w:rsidRPr="00F02BC6" w:rsidRDefault="00801304" w:rsidP="00495804">
            <w:pPr>
              <w:rPr>
                <w:color w:val="000000"/>
                <w:sz w:val="20"/>
                <w:szCs w:val="20"/>
                <w:lang w:val="en-US"/>
              </w:rPr>
            </w:pPr>
            <w:r w:rsidRPr="00F02BC6">
              <w:rPr>
                <w:color w:val="000000"/>
                <w:sz w:val="20"/>
                <w:szCs w:val="20"/>
                <w:lang w:val="en-US"/>
              </w:rPr>
              <w:t>Not reported</w:t>
            </w:r>
          </w:p>
        </w:tc>
        <w:tc>
          <w:tcPr>
            <w:tcW w:w="2976" w:type="dxa"/>
          </w:tcPr>
          <w:p w14:paraId="3E62EC31" w14:textId="77777777" w:rsidR="00801304" w:rsidRPr="00F02BC6" w:rsidRDefault="00801304" w:rsidP="00495804">
            <w:pPr>
              <w:rPr>
                <w:color w:val="000000"/>
                <w:sz w:val="20"/>
                <w:szCs w:val="20"/>
                <w:lang w:val="en-US"/>
              </w:rPr>
            </w:pPr>
          </w:p>
          <w:p w14:paraId="740BE086" w14:textId="77777777" w:rsidR="00801304" w:rsidRPr="00F02BC6" w:rsidRDefault="00801304" w:rsidP="00495804">
            <w:pPr>
              <w:rPr>
                <w:color w:val="000000"/>
                <w:sz w:val="20"/>
                <w:szCs w:val="20"/>
                <w:lang w:val="en-US"/>
              </w:rPr>
            </w:pPr>
            <w:r w:rsidRPr="00F02BC6">
              <w:rPr>
                <w:color w:val="000000"/>
                <w:sz w:val="20"/>
                <w:szCs w:val="20"/>
                <w:lang w:val="en-US"/>
              </w:rPr>
              <w:t>Adherence with ICS before (49.7% vs 29.3%)</w:t>
            </w:r>
          </w:p>
          <w:p w14:paraId="06B174E3" w14:textId="77777777" w:rsidR="00801304" w:rsidRPr="00F02BC6" w:rsidRDefault="00801304" w:rsidP="00495804">
            <w:pPr>
              <w:rPr>
                <w:color w:val="000000"/>
                <w:sz w:val="20"/>
                <w:szCs w:val="20"/>
                <w:lang w:val="en-US"/>
              </w:rPr>
            </w:pPr>
            <w:r w:rsidRPr="00F02BC6">
              <w:rPr>
                <w:color w:val="000000"/>
                <w:sz w:val="20"/>
                <w:szCs w:val="20"/>
                <w:lang w:val="en-US"/>
              </w:rPr>
              <w:t>and after (56.5% ±28.6%) salmeterol introduction (</w:t>
            </w:r>
            <w:r w:rsidRPr="00F02BC6">
              <w:rPr>
                <w:i/>
                <w:iCs/>
                <w:color w:val="000000"/>
                <w:sz w:val="20"/>
                <w:szCs w:val="20"/>
                <w:lang w:val="en-US"/>
              </w:rPr>
              <w:t>p=</w:t>
            </w:r>
            <w:r w:rsidRPr="00F02BC6">
              <w:rPr>
                <w:color w:val="000000"/>
                <w:sz w:val="20"/>
                <w:szCs w:val="20"/>
                <w:lang w:val="en-US"/>
              </w:rPr>
              <w:t>0.0785, pre vs post)</w:t>
            </w:r>
          </w:p>
        </w:tc>
        <w:tc>
          <w:tcPr>
            <w:tcW w:w="2693" w:type="dxa"/>
          </w:tcPr>
          <w:p w14:paraId="60DDD3D9" w14:textId="77777777" w:rsidR="00801304" w:rsidRPr="00F02BC6" w:rsidRDefault="00801304" w:rsidP="00495804">
            <w:pPr>
              <w:rPr>
                <w:color w:val="000000"/>
                <w:sz w:val="20"/>
                <w:szCs w:val="20"/>
                <w:lang w:val="en-US"/>
              </w:rPr>
            </w:pPr>
          </w:p>
          <w:p w14:paraId="39150C31" w14:textId="77777777" w:rsidR="00801304" w:rsidRPr="00F02BC6" w:rsidRDefault="00801304" w:rsidP="00495804">
            <w:pPr>
              <w:rPr>
                <w:color w:val="000000"/>
                <w:sz w:val="20"/>
                <w:szCs w:val="20"/>
                <w:lang w:val="en-US"/>
              </w:rPr>
            </w:pPr>
            <w:r w:rsidRPr="00F02BC6">
              <w:rPr>
                <w:color w:val="000000"/>
                <w:sz w:val="20"/>
                <w:szCs w:val="20"/>
                <w:lang w:val="en-US"/>
              </w:rPr>
              <w:t>Multivariate linear regression</w:t>
            </w:r>
          </w:p>
        </w:tc>
        <w:tc>
          <w:tcPr>
            <w:tcW w:w="1559" w:type="dxa"/>
            <w:gridSpan w:val="2"/>
          </w:tcPr>
          <w:p w14:paraId="77817DE7" w14:textId="77777777" w:rsidR="00801304" w:rsidRPr="00F02BC6" w:rsidRDefault="00801304" w:rsidP="00495804">
            <w:pPr>
              <w:rPr>
                <w:color w:val="000000"/>
                <w:sz w:val="20"/>
                <w:szCs w:val="20"/>
                <w:lang w:val="en-US"/>
              </w:rPr>
            </w:pPr>
          </w:p>
          <w:p w14:paraId="3DC7F969" w14:textId="77777777" w:rsidR="00801304" w:rsidRPr="00F02BC6" w:rsidRDefault="00801304" w:rsidP="00495804">
            <w:pPr>
              <w:rPr>
                <w:color w:val="000000"/>
                <w:sz w:val="20"/>
                <w:szCs w:val="20"/>
                <w:lang w:val="en-US"/>
              </w:rPr>
            </w:pPr>
            <w:r w:rsidRPr="00F02BC6">
              <w:rPr>
                <w:color w:val="000000"/>
                <w:sz w:val="20"/>
                <w:szCs w:val="20"/>
                <w:lang w:val="en-US"/>
              </w:rPr>
              <w:t>Not reported</w:t>
            </w:r>
          </w:p>
        </w:tc>
      </w:tr>
      <w:tr w:rsidR="00801304" w:rsidRPr="00F02BC6" w14:paraId="077A0BD1" w14:textId="77777777" w:rsidTr="005F62B6">
        <w:tc>
          <w:tcPr>
            <w:tcW w:w="2219" w:type="dxa"/>
            <w:tcBorders>
              <w:top w:val="single" w:sz="4" w:space="0" w:color="auto"/>
              <w:bottom w:val="single" w:sz="4" w:space="0" w:color="auto"/>
            </w:tcBorders>
          </w:tcPr>
          <w:p w14:paraId="1BEF553A" w14:textId="77777777" w:rsidR="00801304" w:rsidRPr="00F02BC6" w:rsidRDefault="00801304" w:rsidP="00495804">
            <w:pPr>
              <w:rPr>
                <w:b/>
                <w:color w:val="000000"/>
                <w:sz w:val="20"/>
                <w:szCs w:val="20"/>
                <w:lang w:val="en-US"/>
              </w:rPr>
            </w:pPr>
            <w:r w:rsidRPr="00F02BC6">
              <w:rPr>
                <w:b/>
                <w:color w:val="000000"/>
                <w:sz w:val="20"/>
                <w:szCs w:val="20"/>
                <w:lang w:val="en-US"/>
              </w:rPr>
              <w:t>Author</w:t>
            </w:r>
          </w:p>
        </w:tc>
        <w:tc>
          <w:tcPr>
            <w:tcW w:w="1984" w:type="dxa"/>
            <w:tcBorders>
              <w:top w:val="single" w:sz="4" w:space="0" w:color="auto"/>
              <w:bottom w:val="single" w:sz="4" w:space="0" w:color="auto"/>
            </w:tcBorders>
          </w:tcPr>
          <w:p w14:paraId="47A54219" w14:textId="77777777" w:rsidR="00801304" w:rsidRPr="00F02BC6" w:rsidRDefault="00801304" w:rsidP="00495804">
            <w:pPr>
              <w:rPr>
                <w:b/>
                <w:color w:val="000000"/>
                <w:sz w:val="20"/>
                <w:szCs w:val="20"/>
                <w:lang w:val="en-US"/>
              </w:rPr>
            </w:pPr>
          </w:p>
        </w:tc>
        <w:tc>
          <w:tcPr>
            <w:tcW w:w="1843" w:type="dxa"/>
            <w:tcBorders>
              <w:top w:val="single" w:sz="4" w:space="0" w:color="auto"/>
              <w:bottom w:val="single" w:sz="4" w:space="0" w:color="auto"/>
            </w:tcBorders>
          </w:tcPr>
          <w:p w14:paraId="29E5A37B" w14:textId="77777777" w:rsidR="00801304" w:rsidRPr="00F02BC6" w:rsidRDefault="00801304" w:rsidP="00495804">
            <w:pPr>
              <w:rPr>
                <w:b/>
                <w:color w:val="000000"/>
                <w:sz w:val="20"/>
                <w:szCs w:val="20"/>
                <w:lang w:val="en-US"/>
              </w:rPr>
            </w:pPr>
            <w:r w:rsidRPr="00F02BC6">
              <w:rPr>
                <w:b/>
                <w:color w:val="000000"/>
                <w:sz w:val="20"/>
                <w:szCs w:val="20"/>
                <w:lang w:val="en-US"/>
              </w:rPr>
              <w:t>Mean Medication Adherence Rate± Standard deviation</w:t>
            </w:r>
          </w:p>
        </w:tc>
        <w:tc>
          <w:tcPr>
            <w:tcW w:w="2127" w:type="dxa"/>
            <w:tcBorders>
              <w:top w:val="single" w:sz="4" w:space="0" w:color="auto"/>
              <w:bottom w:val="single" w:sz="4" w:space="0" w:color="auto"/>
            </w:tcBorders>
          </w:tcPr>
          <w:p w14:paraId="69BD7CD3" w14:textId="77777777" w:rsidR="00801304" w:rsidRPr="00F02BC6" w:rsidRDefault="00801304" w:rsidP="00495804">
            <w:pPr>
              <w:rPr>
                <w:b/>
                <w:color w:val="000000"/>
                <w:sz w:val="20"/>
                <w:szCs w:val="20"/>
                <w:lang w:val="en-US"/>
              </w:rPr>
            </w:pPr>
            <w:r w:rsidRPr="00F02BC6">
              <w:rPr>
                <w:b/>
                <w:color w:val="000000"/>
                <w:sz w:val="20"/>
                <w:szCs w:val="20"/>
                <w:lang w:val="en-US"/>
              </w:rPr>
              <w:t>Medication Adherence rate Threshold</w:t>
            </w:r>
          </w:p>
        </w:tc>
        <w:tc>
          <w:tcPr>
            <w:tcW w:w="2976" w:type="dxa"/>
            <w:tcBorders>
              <w:top w:val="single" w:sz="4" w:space="0" w:color="auto"/>
              <w:bottom w:val="single" w:sz="4" w:space="0" w:color="auto"/>
            </w:tcBorders>
          </w:tcPr>
          <w:p w14:paraId="256A8E02" w14:textId="77777777" w:rsidR="00801304" w:rsidRPr="00F02BC6" w:rsidRDefault="00801304" w:rsidP="00495804">
            <w:pPr>
              <w:rPr>
                <w:b/>
                <w:color w:val="000000"/>
                <w:sz w:val="20"/>
                <w:szCs w:val="20"/>
                <w:lang w:val="en-US"/>
              </w:rPr>
            </w:pPr>
            <w:r w:rsidRPr="00F02BC6">
              <w:rPr>
                <w:b/>
                <w:color w:val="000000"/>
                <w:sz w:val="20"/>
                <w:szCs w:val="20"/>
                <w:lang w:val="en-US"/>
              </w:rPr>
              <w:t>Probability to reach the targeted clinical outcome with Medication Adherence Threshold (Odds ratios [OR], Hazards ratios [HR] and Confidence Interval [CI])</w:t>
            </w:r>
          </w:p>
        </w:tc>
        <w:tc>
          <w:tcPr>
            <w:tcW w:w="2693" w:type="dxa"/>
            <w:tcBorders>
              <w:top w:val="single" w:sz="4" w:space="0" w:color="auto"/>
              <w:bottom w:val="single" w:sz="4" w:space="0" w:color="auto"/>
            </w:tcBorders>
          </w:tcPr>
          <w:p w14:paraId="03D6B706" w14:textId="77777777" w:rsidR="00801304" w:rsidRPr="00F02BC6" w:rsidRDefault="00801304" w:rsidP="00495804">
            <w:pPr>
              <w:rPr>
                <w:b/>
                <w:color w:val="000000"/>
                <w:sz w:val="20"/>
                <w:szCs w:val="20"/>
                <w:lang w:val="en-US"/>
              </w:rPr>
            </w:pPr>
            <w:r w:rsidRPr="00F02BC6">
              <w:rPr>
                <w:b/>
                <w:color w:val="000000"/>
                <w:sz w:val="20"/>
                <w:szCs w:val="20"/>
                <w:lang w:val="en-US"/>
              </w:rPr>
              <w:t>Methods of Threshold Determination</w:t>
            </w:r>
          </w:p>
        </w:tc>
        <w:tc>
          <w:tcPr>
            <w:tcW w:w="1559" w:type="dxa"/>
            <w:gridSpan w:val="2"/>
            <w:tcBorders>
              <w:top w:val="single" w:sz="4" w:space="0" w:color="auto"/>
              <w:bottom w:val="single" w:sz="4" w:space="0" w:color="auto"/>
            </w:tcBorders>
          </w:tcPr>
          <w:p w14:paraId="5F3821EB" w14:textId="77777777" w:rsidR="00801304" w:rsidRPr="00F02BC6" w:rsidRDefault="00801304" w:rsidP="00495804">
            <w:pPr>
              <w:rPr>
                <w:b/>
                <w:color w:val="000000"/>
                <w:sz w:val="20"/>
                <w:szCs w:val="20"/>
                <w:lang w:val="en-US"/>
              </w:rPr>
            </w:pPr>
            <w:r w:rsidRPr="00F02BC6">
              <w:rPr>
                <w:b/>
                <w:color w:val="000000"/>
                <w:sz w:val="20"/>
                <w:szCs w:val="20"/>
                <w:lang w:val="en-US"/>
              </w:rPr>
              <w:t>Nonadherence Prevalence</w:t>
            </w:r>
          </w:p>
        </w:tc>
      </w:tr>
      <w:tr w:rsidR="00801304" w:rsidRPr="00F02BC6" w14:paraId="1AE0D631" w14:textId="77777777" w:rsidTr="005F62B6">
        <w:tc>
          <w:tcPr>
            <w:tcW w:w="2219" w:type="dxa"/>
          </w:tcPr>
          <w:p w14:paraId="7024036D" w14:textId="77777777" w:rsidR="00801304" w:rsidRPr="00F02BC6" w:rsidRDefault="00801304" w:rsidP="00495804">
            <w:pPr>
              <w:rPr>
                <w:color w:val="000000"/>
                <w:sz w:val="20"/>
                <w:szCs w:val="20"/>
                <w:lang w:val="en-US"/>
              </w:rPr>
            </w:pPr>
            <w:proofErr w:type="spellStart"/>
            <w:r w:rsidRPr="00F02BC6">
              <w:rPr>
                <w:color w:val="000000"/>
                <w:sz w:val="20"/>
                <w:szCs w:val="20"/>
                <w:lang w:val="en-US"/>
              </w:rPr>
              <w:t>Makhinova</w:t>
            </w:r>
            <w:proofErr w:type="spellEnd"/>
            <w:r w:rsidRPr="00F02BC6">
              <w:rPr>
                <w:color w:val="000000"/>
                <w:sz w:val="20"/>
                <w:szCs w:val="20"/>
                <w:lang w:val="en-US"/>
              </w:rPr>
              <w:t xml:space="preserve"> et al</w:t>
            </w:r>
            <w:r w:rsidRPr="00F02BC6">
              <w:rPr>
                <w:color w:val="000000"/>
                <w:sz w:val="20"/>
                <w:szCs w:val="20"/>
                <w:vertAlign w:val="superscript"/>
                <w:lang w:val="en-US"/>
              </w:rPr>
              <w:t xml:space="preserve">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{"citationItems":[{"id":"ITEM-1","itemData":{"DOI":"10.18553/jmcp.2015.21.12.1124","ISSN":"10834087","abstract":"Background: Adherence to asthma long-term controller medications is one of the key drivers to improve asthma management among patients with persistent asthma. While suboptimal use of controller medications has been found to be associated with more frequent use of oral corticosteroids (OCS), few studies exist regarding the relationship between adherence to controller therapy and the use of short-acting beta2-agonists (SABAs). A better understanding of the association between adherence to asthma controller agents and use of reliever medications will help health care providers and decision makers enhance asthma management. Objective: To determine if there is a relationship between asthma controller adherence, risk of exacerbation requiring OCS, and use of asthma rescue agents. Methods: Texas Medicaid claims data from January 1, 2008, to August 31, 2011, were retrospectively analyzed. Continuously enrolled patients aged 5-63 years with a primary diagnosis of asthma (ICD-9-CM code 493) and with 4 or more prescription claims for any asthma medication in 1 year (persistent asthma) were included. The index date was the date of the first asthma controller prescription, and patients were followed for 1 year. The primary outcome variables were SABA (dichotomous: &lt; 6 vs. = 6) and OCS (continuous) use. The primary independent variable was adherence (proportion of days covered [PDC]) to asthma long-term controller medications. Covariates included demographics and nonstudy medication utilization. Multivariate logistic and linear regression analyses were employed to address the study objective. Results: The study sample (n = 32,172) was aged 15.0 ± 14.5 years, and adherence to controller therapy was 32.2% ± 19.7%. The mean number of SABA claims was 3.7 ± 3.1, with most patients having 1-5 claims (73.2%), whereas 19.4% had ≥ 6 SABA claims. The mean number of OCS claims was 1.0 ± 1.4. Adherent (PDC ≥ 50%) patients were 96.7% (OR = 1.967; 95% CI = 1.826-2.120) more likely to have ≥ 6 SABA claims when compared with nonadherent (PDC &lt; 50%) patients (P &lt; 0.001). As for OCS use, adherent patients had 0.11 fewer claims compared with nonadherent patients (P &lt; 0.001). Importantly, patients with ≥ 6 SABA claims had 0.7 more OCS claims compared with patients with &lt; 6 claims for SABA (P &lt; 0.001). The odds of having ≥ 6 SABA claims were higher for concurrent dual therapy users, older age, males, African Americans and higher number of nonstudy medications (P &lt; 0.001). Dual therapy us…","author":[{"dropping-particle":"","family":"Makhinova","given":"Tatiana","non-dropping-particle":"","parse-names":false,"suffix":""},{"dropping-particle":"","family":"Barner","given":"Jamie C.","non-dropping-particle":"","parse-names":false,"suffix":""},{"dropping-particle":"","family":"Richards","given":"Kristin M.","non-dropping-particle":"","parse-names":false,"suffix":""},{"dropping-particle":"","family":"Rascati","given":"Karen L.","non-dropping-particle":"","parse-names":false,"suffix":""}],"container-title":"Journal of Managed Care Pharmacy","id":"ITEM-1","issue":"12","issued":{"date-parts":[["2015"]]},"page":"1124-1132","title":"Asthma controller medication adherence, risk of exacerbation, and use of rescue agents among Texas medicaid patients with persistent asthma","type":"article-journal","volume":"21"},"uris":["http://www.mendeley.com/documents/?uuid=479a8537-3944-4e3d-bbe0-f6f79d0da103"]}],"mendeley":{"formattedCitation":"(36)","plainTextFormattedCitation":"(36)","previouslyFormattedCitation":"(36)"},"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(36)</w:t>
            </w:r>
            <w:r w:rsidRPr="00F02BC6">
              <w:rPr>
                <w:color w:val="000000"/>
                <w:sz w:val="20"/>
                <w:szCs w:val="20"/>
                <w:vertAlign w:val="superscript"/>
                <w:lang w:val="en-US"/>
              </w:rPr>
              <w:fldChar w:fldCharType="end"/>
            </w:r>
          </w:p>
        </w:tc>
        <w:tc>
          <w:tcPr>
            <w:tcW w:w="1984" w:type="dxa"/>
          </w:tcPr>
          <w:p w14:paraId="30A456C6" w14:textId="3FCA9063" w:rsidR="00801304" w:rsidRPr="00F02BC6" w:rsidRDefault="00B51F1F" w:rsidP="00B51F1F">
            <w:pPr>
              <w:autoSpaceDE w:val="0"/>
              <w:autoSpaceDN w:val="0"/>
              <w:adjustRightInd w:val="0"/>
              <w:rPr>
                <w:rFonts w:eastAsiaTheme="minorHAnsi"/>
                <w:color w:val="000000"/>
                <w:sz w:val="20"/>
                <w:szCs w:val="20"/>
                <w:lang w:val="en-US"/>
              </w:rPr>
            </w:pPr>
            <w:r w:rsidRPr="00F02BC6">
              <w:rPr>
                <w:rFonts w:eastAsiaTheme="minorHAnsi"/>
                <w:color w:val="000000"/>
                <w:sz w:val="20"/>
                <w:szCs w:val="20"/>
                <w:lang w:val="en-US"/>
              </w:rPr>
              <w:t>Patients identified as having charted diagnosis of asthma and had records prescribed in haled corticosteroids (ICS)</w:t>
            </w:r>
          </w:p>
        </w:tc>
        <w:tc>
          <w:tcPr>
            <w:tcW w:w="1843" w:type="dxa"/>
          </w:tcPr>
          <w:p w14:paraId="2BA1AC3E" w14:textId="77777777" w:rsidR="00801304" w:rsidRPr="00F02BC6" w:rsidRDefault="00801304" w:rsidP="00495804">
            <w:pPr>
              <w:rPr>
                <w:color w:val="000000"/>
                <w:sz w:val="20"/>
                <w:szCs w:val="20"/>
                <w:lang w:val="en-US"/>
              </w:rPr>
            </w:pPr>
            <w:r w:rsidRPr="00F02BC6">
              <w:rPr>
                <w:color w:val="000000"/>
                <w:sz w:val="20"/>
                <w:szCs w:val="20"/>
                <w:lang w:val="en-US"/>
              </w:rPr>
              <w:t xml:space="preserve">PDC 32.2% ± 19.7% </w:t>
            </w:r>
          </w:p>
        </w:tc>
        <w:tc>
          <w:tcPr>
            <w:tcW w:w="2127" w:type="dxa"/>
          </w:tcPr>
          <w:p w14:paraId="745996D8" w14:textId="77777777" w:rsidR="00801304" w:rsidRPr="00F02BC6" w:rsidRDefault="00801304" w:rsidP="00495804">
            <w:pPr>
              <w:rPr>
                <w:color w:val="000000"/>
                <w:sz w:val="20"/>
                <w:szCs w:val="20"/>
                <w:lang w:val="en-US"/>
              </w:rPr>
            </w:pPr>
            <w:r w:rsidRPr="00F02BC6">
              <w:rPr>
                <w:color w:val="000000"/>
                <w:sz w:val="20"/>
                <w:szCs w:val="20"/>
                <w:lang w:val="en-US"/>
              </w:rPr>
              <w:t>PDC &lt; 50</w:t>
            </w:r>
          </w:p>
          <w:p w14:paraId="2BFCD1E2" w14:textId="77777777" w:rsidR="00801304" w:rsidRPr="00F02BC6" w:rsidRDefault="00801304" w:rsidP="00495804">
            <w:pPr>
              <w:rPr>
                <w:color w:val="000000"/>
                <w:sz w:val="20"/>
                <w:szCs w:val="20"/>
                <w:lang w:val="en-US"/>
              </w:rPr>
            </w:pPr>
            <w:r w:rsidRPr="00F02BC6">
              <w:rPr>
                <w:color w:val="000000"/>
                <w:sz w:val="20"/>
                <w:szCs w:val="20"/>
                <w:lang w:val="en-US"/>
              </w:rPr>
              <w:t>PDC ≥ 50</w:t>
            </w:r>
          </w:p>
        </w:tc>
        <w:tc>
          <w:tcPr>
            <w:tcW w:w="2976" w:type="dxa"/>
          </w:tcPr>
          <w:p w14:paraId="1D0C96DB" w14:textId="77777777" w:rsidR="00801304" w:rsidRPr="00F02BC6" w:rsidRDefault="00801304" w:rsidP="00495804">
            <w:pPr>
              <w:rPr>
                <w:color w:val="000000"/>
                <w:sz w:val="20"/>
                <w:szCs w:val="20"/>
                <w:lang w:val="en-US"/>
              </w:rPr>
            </w:pPr>
            <w:r w:rsidRPr="00F02BC6">
              <w:rPr>
                <w:color w:val="000000"/>
                <w:sz w:val="20"/>
                <w:szCs w:val="20"/>
                <w:lang w:val="en-US"/>
              </w:rPr>
              <w:t xml:space="preserve">Patients with PDC ≥ 50% is 97% more likely to have ≥ 6 SABA claims when compared to patients with PDC &lt; 50% patients (OR = 1.967; 95% CI = 1.826-2.120; </w:t>
            </w:r>
            <w:r w:rsidRPr="00F02BC6">
              <w:rPr>
                <w:i/>
                <w:color w:val="000000"/>
                <w:sz w:val="20"/>
                <w:szCs w:val="20"/>
                <w:lang w:val="en-US"/>
              </w:rPr>
              <w:t>p</w:t>
            </w:r>
            <w:r w:rsidRPr="00F02BC6">
              <w:rPr>
                <w:i/>
                <w:iCs/>
                <w:color w:val="000000"/>
                <w:sz w:val="20"/>
                <w:szCs w:val="20"/>
                <w:lang w:val="en-US"/>
              </w:rPr>
              <w:t xml:space="preserve"> </w:t>
            </w:r>
            <w:r w:rsidRPr="00F02BC6">
              <w:rPr>
                <w:color w:val="000000"/>
                <w:sz w:val="20"/>
                <w:szCs w:val="20"/>
                <w:lang w:val="en-US"/>
              </w:rPr>
              <w:t xml:space="preserve">&lt; 0.001). As for OCS use, adherent patients had 0.11 fewer claims compared with </w:t>
            </w:r>
            <w:proofErr w:type="spellStart"/>
            <w:r w:rsidRPr="00F02BC6">
              <w:rPr>
                <w:color w:val="000000"/>
                <w:sz w:val="20"/>
                <w:szCs w:val="20"/>
                <w:lang w:val="en-US"/>
              </w:rPr>
              <w:t>non adherent</w:t>
            </w:r>
            <w:proofErr w:type="spellEnd"/>
            <w:r w:rsidRPr="00F02BC6">
              <w:rPr>
                <w:color w:val="000000"/>
                <w:sz w:val="20"/>
                <w:szCs w:val="20"/>
                <w:lang w:val="en-US"/>
              </w:rPr>
              <w:t xml:space="preserve"> patients (</w:t>
            </w:r>
            <w:r w:rsidRPr="00F02BC6">
              <w:rPr>
                <w:i/>
                <w:iCs/>
                <w:color w:val="000000"/>
                <w:sz w:val="20"/>
                <w:szCs w:val="20"/>
                <w:lang w:val="en-US"/>
              </w:rPr>
              <w:t xml:space="preserve">p </w:t>
            </w:r>
            <w:r w:rsidRPr="00F02BC6">
              <w:rPr>
                <w:color w:val="000000"/>
                <w:sz w:val="20"/>
                <w:szCs w:val="20"/>
                <w:lang w:val="en-US"/>
              </w:rPr>
              <w:t>&lt; 0.001)</w:t>
            </w:r>
          </w:p>
        </w:tc>
        <w:tc>
          <w:tcPr>
            <w:tcW w:w="2693" w:type="dxa"/>
          </w:tcPr>
          <w:p w14:paraId="07041B8A" w14:textId="77777777" w:rsidR="00801304" w:rsidRPr="00F02BC6" w:rsidRDefault="00801304" w:rsidP="00495804">
            <w:pPr>
              <w:rPr>
                <w:color w:val="000000"/>
                <w:sz w:val="20"/>
                <w:szCs w:val="20"/>
                <w:lang w:val="en-US"/>
              </w:rPr>
            </w:pPr>
            <w:r w:rsidRPr="00F02BC6">
              <w:rPr>
                <w:color w:val="000000"/>
                <w:sz w:val="20"/>
                <w:szCs w:val="20"/>
                <w:lang w:val="en-US"/>
              </w:rPr>
              <w:t>Multivariate logistic and linear regression analyses</w:t>
            </w:r>
          </w:p>
        </w:tc>
        <w:tc>
          <w:tcPr>
            <w:tcW w:w="1559" w:type="dxa"/>
            <w:gridSpan w:val="2"/>
          </w:tcPr>
          <w:p w14:paraId="43A137A7" w14:textId="77777777" w:rsidR="00801304" w:rsidRPr="00F02BC6" w:rsidRDefault="00801304" w:rsidP="00495804">
            <w:pPr>
              <w:rPr>
                <w:color w:val="000000"/>
                <w:sz w:val="20"/>
                <w:szCs w:val="20"/>
                <w:lang w:val="en-US"/>
              </w:rPr>
            </w:pPr>
            <w:r w:rsidRPr="00F02BC6">
              <w:rPr>
                <w:color w:val="000000"/>
                <w:sz w:val="20"/>
                <w:szCs w:val="20"/>
                <w:lang w:val="en-US"/>
              </w:rPr>
              <w:t>Adherence to asthma controller medication, risk of exacerbation, and use of rescue agents.</w:t>
            </w:r>
          </w:p>
        </w:tc>
      </w:tr>
      <w:tr w:rsidR="00801304" w:rsidRPr="00F02BC6" w14:paraId="436D42CE" w14:textId="77777777" w:rsidTr="005F62B6">
        <w:tc>
          <w:tcPr>
            <w:tcW w:w="2219" w:type="dxa"/>
          </w:tcPr>
          <w:p w14:paraId="3E85C515" w14:textId="77777777" w:rsidR="00801304" w:rsidRPr="00F02BC6" w:rsidRDefault="00801304" w:rsidP="00495804">
            <w:pPr>
              <w:rPr>
                <w:color w:val="000000"/>
                <w:sz w:val="20"/>
                <w:szCs w:val="20"/>
                <w:lang w:val="en-US"/>
              </w:rPr>
            </w:pPr>
          </w:p>
          <w:p w14:paraId="2CE681B5" w14:textId="77777777" w:rsidR="00801304" w:rsidRPr="00F02BC6" w:rsidRDefault="00801304" w:rsidP="00495804">
            <w:pPr>
              <w:rPr>
                <w:color w:val="000000"/>
                <w:sz w:val="20"/>
                <w:szCs w:val="20"/>
                <w:lang w:val="en-US"/>
              </w:rPr>
            </w:pPr>
            <w:r w:rsidRPr="00F02BC6">
              <w:rPr>
                <w:color w:val="000000"/>
                <w:sz w:val="20"/>
                <w:szCs w:val="20"/>
                <w:lang w:val="en-US"/>
              </w:rPr>
              <w:t xml:space="preserve">Navaratnam et al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{"citationItems":[{"id":"ITEM-1","itemData":{"DOI":"10.1016/j.jval.2011.01.001","ISSN":"15244733","abstract":"Objectives: Differences between mometasone furoate (MF), administered once daily, and fluticasone propionate (FP), administered twice daily, dosing regimens may affect adherence and short-acting β2 agonist (SABA) use. The objective of this analysis was to compare asthma control outcomes in matched cohorts of MF- and FP-treated asthma patients stratified by SABA claims. Methods: Aretrospective pharmacy claims database analysis identified matched cohorts of asthma patients (aged 12-65 years) who initiated treatment with MF or FP. Patients with none, one to four, five to eight, or more than eight SABA preindex claims were stratified to categories A, B, C, and D, respectively. Bivariate analyses compared postindex SABA canister claims, adherence, and exacerbations; multivariate analyses compared postindex SABA canister claims. Results: Matched patients in categories A (n = 2517 per cohort) and B (n = 2329 per cohort) were analyzed; insufficient sample sizes were identified for categories C and D. Postindex bivariate analyses indicated that MF cohorts had fewer SABA claims compared to FP cohorts (category A, 0.80 vs. 1.17 [P &lt; 0.0001]; category B, 1.39 vs. 1.58 [P &lt; 0.0001]), better adherence to the index drug (category A, 24% vs. 15% [P &lt; 0.0001]; category B, 27% vs. 15% [P &lt; 0.0001]), and fewer exacerbations (category A, 0.17 vs. 0.19 [P = 0.011]; category B, 0.17 vs. 0.21 [P = 0.008]). Multivariate analyses indicated that MF cohorts had fewer postindex SABA claims compared to FP cohorts in categories A and B (P &lt; 0.0001). Conclusions: Data for SABA claims, treatment adherence, and exacerbations suggest that, compared to twice-daily FP, once-daily MF may provide better asthma control. Copyright © 2011, International Society for Pharmacoeconomics and Outcomes Research (ISPOR).","author":[{"dropping-particle":"","family":"Navaratnam","given":"Prakash","non-dropping-particle":"","parse-names":false,"suffix":""},{"dropping-particle":"","family":"Friedman","given":"Howard S.","non-dropping-particle":"","parse-names":false,"suffix":""},{"dropping-particle":"","family":"Urdaneta","given":"Eduardo","non-dropping-particle":"","parse-names":false,"suffix":""}],"container-title":"Value in Health","id":"ITEM-1","issue":"2","issued":{"date-parts":[["2011"]]},"page":"339-346","publisher":"Elsevier Inc.","title":"Treatment with inhaled mometasone furoate reduces short-acting β2 agonist claims and increases adherence compared to fluticasone propionate in asthma patients","type":"article-journal","volume":"14"},"uris":["http://www.mendeley.com/documents/?uuid=03305e90-ecd2-4615-8d4e-bd11f775e633"]}],"mendeley":{"formattedCitation":"(35)","plainTextFormattedCitation":"(35)","previouslyFormattedCitation":"(35)"},"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(35)</w:t>
            </w:r>
            <w:r w:rsidRPr="00F02BC6">
              <w:rPr>
                <w:color w:val="000000"/>
                <w:sz w:val="20"/>
                <w:szCs w:val="20"/>
                <w:vertAlign w:val="superscript"/>
                <w:lang w:val="en-US"/>
              </w:rPr>
              <w:fldChar w:fldCharType="end"/>
            </w:r>
          </w:p>
        </w:tc>
        <w:tc>
          <w:tcPr>
            <w:tcW w:w="1984" w:type="dxa"/>
          </w:tcPr>
          <w:p w14:paraId="10DC7141" w14:textId="77777777" w:rsidR="00801304" w:rsidRPr="00F02BC6" w:rsidRDefault="00801304" w:rsidP="00495804">
            <w:pPr>
              <w:rPr>
                <w:color w:val="000000"/>
                <w:sz w:val="20"/>
                <w:szCs w:val="20"/>
                <w:lang w:val="en-US"/>
              </w:rPr>
            </w:pPr>
          </w:p>
          <w:p w14:paraId="220AD6BF" w14:textId="717975AB" w:rsidR="00AF6F82" w:rsidRPr="00F02BC6" w:rsidRDefault="00AF6F82" w:rsidP="00495804">
            <w:pPr>
              <w:rPr>
                <w:color w:val="000000"/>
                <w:sz w:val="20"/>
                <w:szCs w:val="20"/>
                <w:lang w:val="en-US"/>
              </w:rPr>
            </w:pPr>
            <w:r w:rsidRPr="00F02BC6">
              <w:rPr>
                <w:color w:val="000000"/>
                <w:sz w:val="20"/>
                <w:szCs w:val="20"/>
                <w:lang w:val="en-US"/>
              </w:rPr>
              <w:t>Cohort identified using ICD-9 codes for asthma: 493.xx and records of filled asthma medications.</w:t>
            </w:r>
          </w:p>
        </w:tc>
        <w:tc>
          <w:tcPr>
            <w:tcW w:w="1843" w:type="dxa"/>
          </w:tcPr>
          <w:p w14:paraId="14DD16A3" w14:textId="77777777" w:rsidR="00801304" w:rsidRPr="00F02BC6" w:rsidRDefault="00801304" w:rsidP="00495804">
            <w:pPr>
              <w:rPr>
                <w:color w:val="000000"/>
                <w:sz w:val="20"/>
                <w:szCs w:val="20"/>
                <w:lang w:val="en-US"/>
              </w:rPr>
            </w:pPr>
          </w:p>
          <w:p w14:paraId="00BA1601" w14:textId="77777777" w:rsidR="00801304" w:rsidRPr="00F02BC6" w:rsidRDefault="00801304" w:rsidP="00495804">
            <w:pPr>
              <w:rPr>
                <w:color w:val="000000"/>
                <w:sz w:val="20"/>
                <w:szCs w:val="20"/>
                <w:lang w:val="en-US"/>
              </w:rPr>
            </w:pPr>
            <w:r w:rsidRPr="00F02BC6">
              <w:rPr>
                <w:color w:val="000000"/>
                <w:sz w:val="20"/>
                <w:szCs w:val="20"/>
                <w:lang w:val="en-US"/>
              </w:rPr>
              <w:t>----</w:t>
            </w:r>
          </w:p>
        </w:tc>
        <w:tc>
          <w:tcPr>
            <w:tcW w:w="2127" w:type="dxa"/>
          </w:tcPr>
          <w:p w14:paraId="7DEACCF9" w14:textId="77777777" w:rsidR="00801304" w:rsidRPr="00F02BC6" w:rsidRDefault="00801304" w:rsidP="00495804">
            <w:pPr>
              <w:rPr>
                <w:color w:val="000000"/>
                <w:sz w:val="20"/>
                <w:szCs w:val="20"/>
                <w:lang w:val="en-US"/>
              </w:rPr>
            </w:pPr>
          </w:p>
          <w:p w14:paraId="33C65788" w14:textId="77777777" w:rsidR="00801304" w:rsidRPr="00F02BC6" w:rsidRDefault="00801304" w:rsidP="00495804">
            <w:pPr>
              <w:tabs>
                <w:tab w:val="right" w:pos="1911"/>
              </w:tabs>
              <w:rPr>
                <w:color w:val="000000"/>
                <w:sz w:val="20"/>
                <w:szCs w:val="20"/>
                <w:lang w:val="en-US"/>
              </w:rPr>
            </w:pPr>
            <w:r w:rsidRPr="00F02BC6">
              <w:rPr>
                <w:color w:val="000000"/>
                <w:sz w:val="20"/>
                <w:szCs w:val="20"/>
                <w:lang w:val="en-US"/>
              </w:rPr>
              <w:t>PDC</w:t>
            </w:r>
            <w:r w:rsidRPr="00F02BC6">
              <w:rPr>
                <w:color w:val="000000"/>
                <w:sz w:val="20"/>
                <w:szCs w:val="20"/>
                <w:lang w:val="en-US"/>
              </w:rPr>
              <w:tab/>
              <w:t xml:space="preserve">       </w:t>
            </w:r>
          </w:p>
        </w:tc>
        <w:tc>
          <w:tcPr>
            <w:tcW w:w="2976" w:type="dxa"/>
          </w:tcPr>
          <w:p w14:paraId="5B18D126" w14:textId="77777777" w:rsidR="00801304" w:rsidRPr="00F02BC6" w:rsidRDefault="00801304" w:rsidP="00495804">
            <w:pPr>
              <w:rPr>
                <w:color w:val="000000"/>
                <w:sz w:val="20"/>
                <w:szCs w:val="20"/>
                <w:lang w:val="en-US"/>
              </w:rPr>
            </w:pPr>
          </w:p>
          <w:p w14:paraId="621C895A" w14:textId="77777777" w:rsidR="00801304" w:rsidRPr="00F02BC6" w:rsidRDefault="00801304" w:rsidP="00495804">
            <w:pPr>
              <w:rPr>
                <w:color w:val="000000"/>
                <w:sz w:val="20"/>
                <w:szCs w:val="20"/>
                <w:lang w:val="en-US"/>
              </w:rPr>
            </w:pPr>
            <w:r w:rsidRPr="00F02BC6">
              <w:rPr>
                <w:i/>
                <w:iCs/>
                <w:color w:val="000000"/>
                <w:sz w:val="20"/>
                <w:szCs w:val="20"/>
                <w:lang w:val="en-US"/>
              </w:rPr>
              <w:t>Category A</w:t>
            </w:r>
            <w:r w:rsidRPr="00F02BC6">
              <w:rPr>
                <w:color w:val="000000"/>
                <w:sz w:val="20"/>
                <w:szCs w:val="20"/>
                <w:lang w:val="en-US"/>
              </w:rPr>
              <w:t>: 24% adherence to mometasone furoate (MF); 15% adherence to fluticasone propionate (FP).</w:t>
            </w:r>
          </w:p>
          <w:p w14:paraId="7BCE26C5" w14:textId="77777777" w:rsidR="00801304" w:rsidRPr="00F02BC6" w:rsidRDefault="00801304" w:rsidP="00495804">
            <w:pPr>
              <w:rPr>
                <w:color w:val="000000"/>
                <w:sz w:val="20"/>
                <w:szCs w:val="20"/>
                <w:lang w:val="en-US"/>
              </w:rPr>
            </w:pPr>
            <w:r w:rsidRPr="00F02BC6">
              <w:rPr>
                <w:color w:val="000000"/>
                <w:sz w:val="20"/>
                <w:szCs w:val="20"/>
                <w:lang w:val="en-US"/>
              </w:rPr>
              <w:t xml:space="preserve"> </w:t>
            </w:r>
            <w:r w:rsidRPr="00F02BC6">
              <w:rPr>
                <w:i/>
                <w:iCs/>
                <w:color w:val="000000"/>
                <w:sz w:val="20"/>
                <w:szCs w:val="20"/>
                <w:lang w:val="en-US"/>
              </w:rPr>
              <w:t>Category B</w:t>
            </w:r>
            <w:r w:rsidRPr="00F02BC6">
              <w:rPr>
                <w:color w:val="000000"/>
                <w:sz w:val="20"/>
                <w:szCs w:val="20"/>
                <w:lang w:val="en-US"/>
              </w:rPr>
              <w:t>: 27% adherence to mometasone furoate (MF), 15% adherence to FP.</w:t>
            </w:r>
          </w:p>
        </w:tc>
        <w:tc>
          <w:tcPr>
            <w:tcW w:w="2693" w:type="dxa"/>
          </w:tcPr>
          <w:p w14:paraId="2EB2550B" w14:textId="77777777" w:rsidR="00801304" w:rsidRPr="00F02BC6" w:rsidRDefault="00801304" w:rsidP="00495804">
            <w:pPr>
              <w:rPr>
                <w:color w:val="000000"/>
                <w:sz w:val="20"/>
                <w:szCs w:val="20"/>
                <w:lang w:val="en-US"/>
              </w:rPr>
            </w:pPr>
          </w:p>
          <w:p w14:paraId="0A755C0B" w14:textId="77777777" w:rsidR="00801304" w:rsidRPr="00F02BC6" w:rsidRDefault="00801304" w:rsidP="00495804">
            <w:pPr>
              <w:rPr>
                <w:color w:val="000000"/>
                <w:sz w:val="20"/>
                <w:szCs w:val="20"/>
                <w:lang w:val="en-US"/>
              </w:rPr>
            </w:pPr>
            <w:r w:rsidRPr="00F02BC6">
              <w:rPr>
                <w:color w:val="000000"/>
                <w:sz w:val="20"/>
                <w:szCs w:val="20"/>
                <w:lang w:val="en-US"/>
              </w:rPr>
              <w:t>Multivariate Generalized Linear Model (GLM) with Poisson distribution</w:t>
            </w:r>
          </w:p>
        </w:tc>
        <w:tc>
          <w:tcPr>
            <w:tcW w:w="1559" w:type="dxa"/>
            <w:gridSpan w:val="2"/>
          </w:tcPr>
          <w:p w14:paraId="5358CBB1" w14:textId="77777777" w:rsidR="00801304" w:rsidRPr="00F02BC6" w:rsidRDefault="00801304" w:rsidP="00495804">
            <w:pPr>
              <w:rPr>
                <w:color w:val="000000"/>
                <w:sz w:val="20"/>
                <w:szCs w:val="20"/>
                <w:lang w:val="en-US"/>
              </w:rPr>
            </w:pPr>
          </w:p>
          <w:p w14:paraId="108B19E6" w14:textId="77777777" w:rsidR="00801304" w:rsidRPr="00F02BC6" w:rsidRDefault="00801304" w:rsidP="00495804">
            <w:pPr>
              <w:rPr>
                <w:color w:val="000000"/>
                <w:sz w:val="20"/>
                <w:szCs w:val="20"/>
                <w:lang w:val="en-US"/>
              </w:rPr>
            </w:pPr>
            <w:r w:rsidRPr="00F02BC6">
              <w:rPr>
                <w:color w:val="000000"/>
                <w:sz w:val="20"/>
                <w:szCs w:val="20"/>
                <w:lang w:val="en-US"/>
              </w:rPr>
              <w:t>---</w:t>
            </w:r>
          </w:p>
        </w:tc>
      </w:tr>
      <w:tr w:rsidR="00801304" w:rsidRPr="00F02BC6" w14:paraId="43FC000D" w14:textId="77777777" w:rsidTr="005F62B6">
        <w:tc>
          <w:tcPr>
            <w:tcW w:w="2219" w:type="dxa"/>
            <w:tcBorders>
              <w:top w:val="single" w:sz="4" w:space="0" w:color="auto"/>
              <w:bottom w:val="single" w:sz="4" w:space="0" w:color="auto"/>
            </w:tcBorders>
          </w:tcPr>
          <w:p w14:paraId="51A89FCB" w14:textId="77777777" w:rsidR="00801304" w:rsidRPr="00F02BC6" w:rsidRDefault="00801304" w:rsidP="00495804">
            <w:pPr>
              <w:rPr>
                <w:b/>
                <w:color w:val="000000"/>
                <w:sz w:val="20"/>
                <w:szCs w:val="20"/>
                <w:lang w:val="en-US"/>
              </w:rPr>
            </w:pPr>
            <w:r w:rsidRPr="00F02BC6">
              <w:rPr>
                <w:b/>
                <w:color w:val="000000"/>
                <w:sz w:val="20"/>
                <w:szCs w:val="20"/>
                <w:lang w:val="en-US"/>
              </w:rPr>
              <w:t>Author</w:t>
            </w:r>
          </w:p>
        </w:tc>
        <w:tc>
          <w:tcPr>
            <w:tcW w:w="1984" w:type="dxa"/>
            <w:tcBorders>
              <w:top w:val="single" w:sz="4" w:space="0" w:color="auto"/>
              <w:bottom w:val="single" w:sz="4" w:space="0" w:color="auto"/>
            </w:tcBorders>
          </w:tcPr>
          <w:p w14:paraId="4D07091C" w14:textId="77777777" w:rsidR="00801304" w:rsidRPr="00F02BC6" w:rsidRDefault="00801304" w:rsidP="00495804">
            <w:pPr>
              <w:rPr>
                <w:b/>
                <w:color w:val="000000"/>
                <w:sz w:val="20"/>
                <w:szCs w:val="20"/>
                <w:lang w:val="en-US"/>
              </w:rPr>
            </w:pPr>
          </w:p>
        </w:tc>
        <w:tc>
          <w:tcPr>
            <w:tcW w:w="1843" w:type="dxa"/>
            <w:tcBorders>
              <w:top w:val="single" w:sz="4" w:space="0" w:color="auto"/>
              <w:bottom w:val="single" w:sz="4" w:space="0" w:color="auto"/>
            </w:tcBorders>
          </w:tcPr>
          <w:p w14:paraId="21F55343" w14:textId="77777777" w:rsidR="00801304" w:rsidRPr="00F02BC6" w:rsidRDefault="00801304" w:rsidP="00495804">
            <w:pPr>
              <w:rPr>
                <w:b/>
                <w:color w:val="000000"/>
                <w:sz w:val="20"/>
                <w:szCs w:val="20"/>
                <w:lang w:val="en-US"/>
              </w:rPr>
            </w:pPr>
            <w:r w:rsidRPr="00F02BC6">
              <w:rPr>
                <w:b/>
                <w:color w:val="000000"/>
                <w:sz w:val="20"/>
                <w:szCs w:val="20"/>
                <w:lang w:val="en-US"/>
              </w:rPr>
              <w:t>Mean Medication Adherence Rate± Standard deviation</w:t>
            </w:r>
          </w:p>
        </w:tc>
        <w:tc>
          <w:tcPr>
            <w:tcW w:w="2127" w:type="dxa"/>
            <w:tcBorders>
              <w:top w:val="single" w:sz="4" w:space="0" w:color="auto"/>
              <w:bottom w:val="single" w:sz="4" w:space="0" w:color="auto"/>
            </w:tcBorders>
          </w:tcPr>
          <w:p w14:paraId="5B87EDE1" w14:textId="77777777" w:rsidR="00801304" w:rsidRPr="00F02BC6" w:rsidRDefault="00801304" w:rsidP="00495804">
            <w:pPr>
              <w:rPr>
                <w:b/>
                <w:color w:val="000000"/>
                <w:sz w:val="20"/>
                <w:szCs w:val="20"/>
                <w:lang w:val="en-US"/>
              </w:rPr>
            </w:pPr>
            <w:r w:rsidRPr="00F02BC6">
              <w:rPr>
                <w:b/>
                <w:color w:val="000000"/>
                <w:sz w:val="20"/>
                <w:szCs w:val="20"/>
                <w:lang w:val="en-US"/>
              </w:rPr>
              <w:t>Medication Adherence rate Threshold</w:t>
            </w:r>
          </w:p>
        </w:tc>
        <w:tc>
          <w:tcPr>
            <w:tcW w:w="2976" w:type="dxa"/>
            <w:tcBorders>
              <w:top w:val="single" w:sz="4" w:space="0" w:color="auto"/>
              <w:bottom w:val="single" w:sz="4" w:space="0" w:color="auto"/>
            </w:tcBorders>
          </w:tcPr>
          <w:p w14:paraId="08BDC7F4" w14:textId="77777777" w:rsidR="00801304" w:rsidRPr="00F02BC6" w:rsidRDefault="00801304" w:rsidP="00495804">
            <w:pPr>
              <w:rPr>
                <w:b/>
                <w:color w:val="000000"/>
                <w:sz w:val="20"/>
                <w:szCs w:val="20"/>
                <w:lang w:val="en-US"/>
              </w:rPr>
            </w:pPr>
            <w:r w:rsidRPr="00F02BC6">
              <w:rPr>
                <w:b/>
                <w:color w:val="000000"/>
                <w:sz w:val="20"/>
                <w:szCs w:val="20"/>
                <w:lang w:val="en-US"/>
              </w:rPr>
              <w:t>Probability to reach the targeted clinical outcome with Medication Adherence Threshold (Odds ratios [OR], Hazards ratios [HR] and Confidence Interval [CI])</w:t>
            </w:r>
          </w:p>
        </w:tc>
        <w:tc>
          <w:tcPr>
            <w:tcW w:w="2693" w:type="dxa"/>
            <w:tcBorders>
              <w:top w:val="single" w:sz="4" w:space="0" w:color="auto"/>
              <w:bottom w:val="single" w:sz="4" w:space="0" w:color="auto"/>
            </w:tcBorders>
          </w:tcPr>
          <w:p w14:paraId="73AC8EBD" w14:textId="77777777" w:rsidR="00801304" w:rsidRPr="00F02BC6" w:rsidRDefault="00801304" w:rsidP="00495804">
            <w:pPr>
              <w:rPr>
                <w:b/>
                <w:color w:val="000000"/>
                <w:sz w:val="20"/>
                <w:szCs w:val="20"/>
                <w:lang w:val="en-US"/>
              </w:rPr>
            </w:pPr>
            <w:r w:rsidRPr="00F02BC6">
              <w:rPr>
                <w:b/>
                <w:color w:val="000000"/>
                <w:sz w:val="20"/>
                <w:szCs w:val="20"/>
                <w:lang w:val="en-US"/>
              </w:rPr>
              <w:t>Methods of Threshold Determination</w:t>
            </w:r>
          </w:p>
        </w:tc>
        <w:tc>
          <w:tcPr>
            <w:tcW w:w="1559" w:type="dxa"/>
            <w:gridSpan w:val="2"/>
            <w:tcBorders>
              <w:top w:val="single" w:sz="4" w:space="0" w:color="auto"/>
              <w:bottom w:val="single" w:sz="4" w:space="0" w:color="auto"/>
            </w:tcBorders>
          </w:tcPr>
          <w:p w14:paraId="3DECE438" w14:textId="77777777" w:rsidR="00801304" w:rsidRPr="00F02BC6" w:rsidRDefault="00801304" w:rsidP="00495804">
            <w:pPr>
              <w:rPr>
                <w:b/>
                <w:color w:val="000000"/>
                <w:sz w:val="20"/>
                <w:szCs w:val="20"/>
                <w:lang w:val="en-US"/>
              </w:rPr>
            </w:pPr>
            <w:r w:rsidRPr="00F02BC6">
              <w:rPr>
                <w:b/>
                <w:color w:val="000000"/>
                <w:sz w:val="20"/>
                <w:szCs w:val="20"/>
                <w:lang w:val="en-US"/>
              </w:rPr>
              <w:t>Nonadherence Prevalence</w:t>
            </w:r>
          </w:p>
        </w:tc>
      </w:tr>
      <w:tr w:rsidR="00801304" w:rsidRPr="00F02BC6" w14:paraId="1C13B190" w14:textId="77777777" w:rsidTr="005F62B6">
        <w:tc>
          <w:tcPr>
            <w:tcW w:w="2219" w:type="dxa"/>
            <w:tcBorders>
              <w:top w:val="single" w:sz="4" w:space="0" w:color="auto"/>
            </w:tcBorders>
          </w:tcPr>
          <w:p w14:paraId="359AC60B" w14:textId="77777777" w:rsidR="00801304" w:rsidRPr="00F02BC6" w:rsidRDefault="00801304" w:rsidP="00495804">
            <w:pPr>
              <w:rPr>
                <w:color w:val="000000"/>
                <w:sz w:val="20"/>
                <w:szCs w:val="20"/>
                <w:lang w:val="en-US"/>
              </w:rPr>
            </w:pPr>
            <w:proofErr w:type="spellStart"/>
            <w:r w:rsidRPr="00F02BC6">
              <w:rPr>
                <w:color w:val="000000"/>
                <w:sz w:val="20"/>
                <w:szCs w:val="20"/>
                <w:lang w:val="en-US"/>
              </w:rPr>
              <w:t>Papi</w:t>
            </w:r>
            <w:proofErr w:type="spellEnd"/>
            <w:r w:rsidRPr="00F02BC6">
              <w:rPr>
                <w:color w:val="000000"/>
                <w:sz w:val="20"/>
                <w:szCs w:val="20"/>
                <w:lang w:val="en-US"/>
              </w:rPr>
              <w:t xml:space="preserve"> et al</w:t>
            </w:r>
          </w:p>
          <w:p w14:paraId="0DAC6D3D" w14:textId="77777777" w:rsidR="00801304" w:rsidRPr="00F02BC6" w:rsidRDefault="00801304" w:rsidP="00495804">
            <w:pPr>
              <w:rPr>
                <w:color w:val="000000"/>
                <w:sz w:val="20"/>
                <w:szCs w:val="20"/>
                <w:vertAlign w:val="superscript"/>
                <w:lang w:val="en-US"/>
              </w:rPr>
            </w:pP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{"citationItems":[{"id":"ITEM-1","itemData":{"DOI":"10.1016/j.jaip.2018.03.008","ISSN":"22132198","PMID":"29627457","abstract":"Background: Patients with asthma and elevated blood eosinophils are at increased risk of severe exacerbations. Management of these patients should consider nonadherence to inhaled corticosteroid (ICS) therapy as a factor for increased exacerbation risk. Objective: The objective of this study was to investigate whether poor adherence to ICS therapy explains the occurrence of asthma exacerbations in patients with elevated blood eosinophil levels. Methods: This historical cohort study identified patients within the Optimum Patient Care Research Database, aged 18 years or more, at Global Initiative for Asthma step 3 or 4, with 2 or more ICS prescriptions during the year before the clinical review. Patient characteristics and adherence (based on prescription refills and patient self-report) for ICS therapy were analyzed for those with elevated (&gt;400 cells/μL) or normal (≤400 cells/μL) blood eosinophils. Results: We studied 7195 patients (66% female, mean age 60 years) with median eosinophil count of 200 cells/μL and found 81% to be not fully adherent to ICS therapy. A total of 1031 patients (14%) had elevated blood eosinophil counts (58% female, mean age 60 years), 83% of whom were not fully adherent to ICS. An increased proportion of adherent patients in the elevated blood eosinophil group had 2 or more exacerbations (14.0% vs 7.2%; P =.003) and uncontrolled asthma (73% vs 60.8%; P =.004) as compared with non–fully adherent patients. Conclusions: Approximately 1 in 7 patients had elevated eosinophils. Adherence to ICS therapy was not associated with decreased exacerbations for these patients. Additional therapy should be considered for these patients, such as biologics, which have been previously shown to improve control in severe uncontrolled eosinophilic asthma.","author":[{"dropping-particle":"","family":"Papi","given":"Alberto","non-dropping-particle":"","parse-names":false,"suffix":""},{"dropping-particle":"","family":"Ryan","given":"Dermot","non-dropping-particle":"","parse-names":false,"suffix":""},{"dropping-particle":"","family":"Soriano","given":"Joan B.","non-dropping-particle":"","parse-names":false,"suffix":""},{"dropping-particle":"","family":"Chrystyn","given":"Henry","non-dropping-particle":"","parse-names":false,"suffix":""},{"dropping-particle":"","family":"Bjermer","given":"Leif","non-dropping-particle":"","parse-names":false,"suffix":""},{"dropping-particle":"","family":"Rodríguez-Roisin","given":"Roberto","non-dropping-particle":"","parse-names":false,"suffix":""},{"dropping-particle":"","family":"Dolovich","given":"Myrna B.","non-dropping-particle":"","parse-names":false,"suffix":""},{"dropping-particle":"","family":"Harris","given":"Mark","non-dropping-particle":"","parse-names":false,"suffix":""},{"dropping-particle":"","family":"Wood","given":"Lucy","non-dropping-particle":"","parse-names":false,"suffix":""},{"dropping-particle":"","family":"Batsiou","given":"Maria","non-dropping-particle":"","parse-names":false,"suffix":""},{"dropping-particle":"","family":"Thornhill","given":"Susannah I.","non-dropping-particle":"","parse-names":false,"suffix":""},{"dropping-particle":"","family":"Price","given":"David B.","non-dropping-particle":"","parse-names":false,"suffix":""}],"container-title":"Journal of Allergy and Clinical Immunology: In Practice","id":"ITEM-1","issue":"6","issued":{"date-parts":[["2018"]]},"page":"1989-1998.e3","publisher":"Elsevier Inc","title":"Relationship of Inhaled Corticosteroid Adherence to Asthma Exacerbations in Patients with Moderate-to-Severe Asthma","type":"article-journal","volume":"6"},"uris":["http://www.mendeley.com/documents/?uuid=8d19c891-6813-41fd-860e-54bd5e725e5f"]}],"mendeley":{"formattedCitation":"(37)","plainTextFormattedCitation":"(37)","previouslyFormattedCitation":"(37)"},"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(37)</w:t>
            </w:r>
            <w:r w:rsidRPr="00F02BC6">
              <w:rPr>
                <w:color w:val="000000"/>
                <w:sz w:val="20"/>
                <w:szCs w:val="20"/>
                <w:vertAlign w:val="superscript"/>
                <w:lang w:val="en-US"/>
              </w:rPr>
              <w:fldChar w:fldCharType="end"/>
            </w:r>
          </w:p>
        </w:tc>
        <w:tc>
          <w:tcPr>
            <w:tcW w:w="1984" w:type="dxa"/>
            <w:tcBorders>
              <w:top w:val="single" w:sz="4" w:space="0" w:color="auto"/>
            </w:tcBorders>
          </w:tcPr>
          <w:p w14:paraId="2AE77D73" w14:textId="7EFE973E" w:rsidR="00801304" w:rsidRPr="00F02BC6" w:rsidRDefault="00AF6F82" w:rsidP="00495804">
            <w:pPr>
              <w:rPr>
                <w:color w:val="000000"/>
                <w:sz w:val="20"/>
                <w:szCs w:val="20"/>
                <w:lang w:val="en-US"/>
              </w:rPr>
            </w:pPr>
            <w:r w:rsidRPr="00F02BC6">
              <w:rPr>
                <w:color w:val="000000"/>
                <w:sz w:val="20"/>
                <w:szCs w:val="20"/>
                <w:lang w:val="en-US"/>
              </w:rPr>
              <w:t xml:space="preserve">Patients identified as asthma using Read codes indicating physician-diagnosed asthma. Records of prescribed medication was also added as a selection </w:t>
            </w:r>
            <w:r w:rsidR="00407034" w:rsidRPr="00F02BC6">
              <w:rPr>
                <w:color w:val="000000"/>
                <w:sz w:val="20"/>
                <w:szCs w:val="20"/>
                <w:lang w:val="en-US"/>
              </w:rPr>
              <w:t>criterion</w:t>
            </w:r>
            <w:r w:rsidRPr="00F02BC6">
              <w:rPr>
                <w:color w:val="000000"/>
                <w:sz w:val="20"/>
                <w:szCs w:val="20"/>
                <w:lang w:val="en-US"/>
              </w:rPr>
              <w:t>.</w:t>
            </w:r>
          </w:p>
        </w:tc>
        <w:tc>
          <w:tcPr>
            <w:tcW w:w="1843" w:type="dxa"/>
            <w:tcBorders>
              <w:top w:val="single" w:sz="4" w:space="0" w:color="auto"/>
            </w:tcBorders>
          </w:tcPr>
          <w:p w14:paraId="0DC478C6" w14:textId="77777777" w:rsidR="00801304" w:rsidRPr="00F02BC6" w:rsidRDefault="00801304" w:rsidP="00495804">
            <w:pPr>
              <w:rPr>
                <w:color w:val="000000"/>
                <w:sz w:val="20"/>
                <w:szCs w:val="20"/>
                <w:lang w:val="en-US"/>
              </w:rPr>
            </w:pPr>
            <w:r w:rsidRPr="00F02BC6">
              <w:rPr>
                <w:color w:val="000000"/>
                <w:sz w:val="20"/>
                <w:szCs w:val="20"/>
                <w:lang w:val="en-US"/>
              </w:rPr>
              <w:t xml:space="preserve"> </w:t>
            </w:r>
          </w:p>
        </w:tc>
        <w:tc>
          <w:tcPr>
            <w:tcW w:w="2127" w:type="dxa"/>
            <w:tcBorders>
              <w:top w:val="single" w:sz="4" w:space="0" w:color="auto"/>
            </w:tcBorders>
          </w:tcPr>
          <w:p w14:paraId="455A0F28" w14:textId="77777777" w:rsidR="00801304" w:rsidRPr="00F02BC6" w:rsidRDefault="00801304" w:rsidP="00495804">
            <w:pPr>
              <w:rPr>
                <w:color w:val="000000"/>
                <w:sz w:val="20"/>
                <w:szCs w:val="20"/>
                <w:lang w:val="en-US"/>
              </w:rPr>
            </w:pPr>
            <w:r w:rsidRPr="00F02BC6">
              <w:rPr>
                <w:color w:val="000000"/>
                <w:sz w:val="20"/>
                <w:szCs w:val="20"/>
                <w:lang w:val="en-US"/>
              </w:rPr>
              <w:t xml:space="preserve">MPR &gt;80% </w:t>
            </w:r>
          </w:p>
          <w:p w14:paraId="2B045975" w14:textId="77777777" w:rsidR="00801304" w:rsidRPr="00F02BC6" w:rsidRDefault="00801304" w:rsidP="00495804">
            <w:pPr>
              <w:rPr>
                <w:color w:val="000000"/>
                <w:sz w:val="20"/>
                <w:szCs w:val="20"/>
                <w:lang w:val="en-US"/>
              </w:rPr>
            </w:pPr>
            <w:r w:rsidRPr="00F02BC6">
              <w:rPr>
                <w:color w:val="000000"/>
                <w:sz w:val="20"/>
                <w:szCs w:val="20"/>
                <w:lang w:val="en-US"/>
              </w:rPr>
              <w:t>MPR ≤ 80%</w:t>
            </w:r>
          </w:p>
        </w:tc>
        <w:tc>
          <w:tcPr>
            <w:tcW w:w="2976" w:type="dxa"/>
            <w:tcBorders>
              <w:top w:val="single" w:sz="4" w:space="0" w:color="auto"/>
            </w:tcBorders>
          </w:tcPr>
          <w:p w14:paraId="60E8B4DE" w14:textId="77777777" w:rsidR="00801304" w:rsidRPr="00F02BC6" w:rsidRDefault="00801304" w:rsidP="00495804">
            <w:pPr>
              <w:rPr>
                <w:color w:val="000000"/>
                <w:sz w:val="20"/>
                <w:szCs w:val="20"/>
                <w:lang w:val="en-US"/>
              </w:rPr>
            </w:pPr>
            <w:r w:rsidRPr="00F02BC6">
              <w:rPr>
                <w:color w:val="000000"/>
                <w:sz w:val="20"/>
                <w:szCs w:val="20"/>
                <w:lang w:val="en-US"/>
              </w:rPr>
              <w:t xml:space="preserve">Patients with MPR &gt;80% </w:t>
            </w:r>
          </w:p>
          <w:p w14:paraId="5A6FA0E8" w14:textId="77777777" w:rsidR="00801304" w:rsidRPr="00F02BC6" w:rsidRDefault="00801304" w:rsidP="00495804">
            <w:pPr>
              <w:rPr>
                <w:color w:val="000000"/>
                <w:sz w:val="20"/>
                <w:szCs w:val="20"/>
                <w:lang w:val="en-US"/>
              </w:rPr>
            </w:pPr>
            <w:r w:rsidRPr="00F02BC6">
              <w:rPr>
                <w:color w:val="000000"/>
                <w:sz w:val="20"/>
                <w:szCs w:val="20"/>
                <w:lang w:val="en-US"/>
              </w:rPr>
              <w:t xml:space="preserve">in the elevated blood eosinophil group had 2 or more asthma exacerbations (14.0% vs 7.2%; </w:t>
            </w:r>
            <w:r w:rsidRPr="00F02BC6">
              <w:rPr>
                <w:i/>
                <w:color w:val="000000"/>
                <w:sz w:val="20"/>
                <w:szCs w:val="20"/>
                <w:lang w:val="en-US"/>
              </w:rPr>
              <w:t>p</w:t>
            </w:r>
            <w:r w:rsidRPr="00F02BC6">
              <w:rPr>
                <w:color w:val="000000"/>
                <w:sz w:val="20"/>
                <w:szCs w:val="20"/>
                <w:lang w:val="en-US"/>
              </w:rPr>
              <w:t xml:space="preserve"> = 0.003) and uncontrolled asthma (73% vs 60.8%; </w:t>
            </w:r>
            <w:r w:rsidRPr="00F02BC6">
              <w:rPr>
                <w:i/>
                <w:color w:val="000000"/>
                <w:sz w:val="20"/>
                <w:szCs w:val="20"/>
                <w:lang w:val="en-US"/>
              </w:rPr>
              <w:t>p</w:t>
            </w:r>
            <w:r w:rsidRPr="00F02BC6">
              <w:rPr>
                <w:color w:val="000000"/>
                <w:sz w:val="20"/>
                <w:szCs w:val="20"/>
                <w:lang w:val="en-US"/>
              </w:rPr>
              <w:t xml:space="preserve"> = 0.004) compared to those with MPR ≤ 80%</w:t>
            </w:r>
          </w:p>
        </w:tc>
        <w:tc>
          <w:tcPr>
            <w:tcW w:w="2693" w:type="dxa"/>
            <w:tcBorders>
              <w:top w:val="single" w:sz="4" w:space="0" w:color="auto"/>
            </w:tcBorders>
          </w:tcPr>
          <w:p w14:paraId="077CD294" w14:textId="77777777" w:rsidR="00801304" w:rsidRPr="00F02BC6" w:rsidRDefault="00801304" w:rsidP="00495804">
            <w:pPr>
              <w:rPr>
                <w:color w:val="000000"/>
                <w:sz w:val="20"/>
                <w:szCs w:val="20"/>
                <w:lang w:val="en-US"/>
              </w:rPr>
            </w:pPr>
            <w:r w:rsidRPr="00F02BC6">
              <w:rPr>
                <w:color w:val="000000"/>
                <w:sz w:val="20"/>
                <w:szCs w:val="20"/>
                <w:lang w:val="en-US"/>
              </w:rPr>
              <w:t>Multinomial and</w:t>
            </w:r>
          </w:p>
          <w:p w14:paraId="5AA739A0" w14:textId="77777777" w:rsidR="00801304" w:rsidRPr="00F02BC6" w:rsidRDefault="00801304" w:rsidP="00495804">
            <w:pPr>
              <w:rPr>
                <w:color w:val="000000"/>
                <w:sz w:val="20"/>
                <w:szCs w:val="20"/>
                <w:lang w:val="en-US"/>
              </w:rPr>
            </w:pPr>
            <w:r w:rsidRPr="00F02BC6">
              <w:rPr>
                <w:color w:val="000000"/>
                <w:sz w:val="20"/>
                <w:szCs w:val="20"/>
                <w:lang w:val="en-US"/>
              </w:rPr>
              <w:t>binomial logistic regression analysis</w:t>
            </w:r>
          </w:p>
        </w:tc>
        <w:tc>
          <w:tcPr>
            <w:tcW w:w="1559" w:type="dxa"/>
            <w:gridSpan w:val="2"/>
            <w:tcBorders>
              <w:top w:val="single" w:sz="4" w:space="0" w:color="auto"/>
            </w:tcBorders>
          </w:tcPr>
          <w:p w14:paraId="5C5AA25D" w14:textId="77777777" w:rsidR="00801304" w:rsidRPr="00F02BC6" w:rsidRDefault="00801304" w:rsidP="00495804">
            <w:pPr>
              <w:rPr>
                <w:color w:val="000000"/>
                <w:sz w:val="20"/>
                <w:szCs w:val="20"/>
                <w:lang w:val="en-US"/>
              </w:rPr>
            </w:pPr>
            <w:r w:rsidRPr="00F02BC6">
              <w:rPr>
                <w:color w:val="000000"/>
                <w:sz w:val="20"/>
                <w:szCs w:val="20"/>
                <w:lang w:val="en-US"/>
              </w:rPr>
              <w:t>80.65%</w:t>
            </w:r>
          </w:p>
        </w:tc>
      </w:tr>
      <w:tr w:rsidR="00407034" w:rsidRPr="00F02BC6" w14:paraId="1624D652" w14:textId="77777777" w:rsidTr="005F62B6">
        <w:tc>
          <w:tcPr>
            <w:tcW w:w="2219" w:type="dxa"/>
          </w:tcPr>
          <w:p w14:paraId="663651FE" w14:textId="77777777" w:rsidR="00407034" w:rsidRPr="00F02BC6" w:rsidRDefault="00407034" w:rsidP="00495804">
            <w:pPr>
              <w:rPr>
                <w:color w:val="000000"/>
                <w:sz w:val="20"/>
                <w:szCs w:val="20"/>
                <w:lang w:val="en-US"/>
              </w:rPr>
            </w:pPr>
          </w:p>
        </w:tc>
        <w:tc>
          <w:tcPr>
            <w:tcW w:w="1984" w:type="dxa"/>
          </w:tcPr>
          <w:p w14:paraId="4CF47456" w14:textId="77777777" w:rsidR="00407034" w:rsidRPr="00F02BC6" w:rsidRDefault="00407034" w:rsidP="00495804">
            <w:pPr>
              <w:rPr>
                <w:color w:val="000000"/>
                <w:sz w:val="20"/>
                <w:szCs w:val="20"/>
                <w:lang w:val="en-US"/>
              </w:rPr>
            </w:pPr>
          </w:p>
        </w:tc>
        <w:tc>
          <w:tcPr>
            <w:tcW w:w="1843" w:type="dxa"/>
          </w:tcPr>
          <w:p w14:paraId="591FD2C5" w14:textId="77777777" w:rsidR="00407034" w:rsidRPr="00F02BC6" w:rsidRDefault="00407034" w:rsidP="00495804">
            <w:pPr>
              <w:rPr>
                <w:color w:val="000000"/>
                <w:sz w:val="20"/>
                <w:szCs w:val="20"/>
                <w:lang w:val="en-US"/>
              </w:rPr>
            </w:pPr>
          </w:p>
        </w:tc>
        <w:tc>
          <w:tcPr>
            <w:tcW w:w="2127" w:type="dxa"/>
          </w:tcPr>
          <w:p w14:paraId="34E5AD01" w14:textId="77777777" w:rsidR="00407034" w:rsidRPr="00F02BC6" w:rsidRDefault="00407034" w:rsidP="00495804">
            <w:pPr>
              <w:rPr>
                <w:color w:val="000000"/>
                <w:sz w:val="20"/>
                <w:szCs w:val="20"/>
                <w:lang w:val="en-US"/>
              </w:rPr>
            </w:pPr>
          </w:p>
        </w:tc>
        <w:tc>
          <w:tcPr>
            <w:tcW w:w="2976" w:type="dxa"/>
          </w:tcPr>
          <w:p w14:paraId="6A2AC63E" w14:textId="77777777" w:rsidR="00407034" w:rsidRPr="00F02BC6" w:rsidRDefault="00407034" w:rsidP="00495804">
            <w:pPr>
              <w:rPr>
                <w:color w:val="000000"/>
                <w:sz w:val="20"/>
                <w:szCs w:val="20"/>
                <w:lang w:val="en-US"/>
              </w:rPr>
            </w:pPr>
          </w:p>
        </w:tc>
        <w:tc>
          <w:tcPr>
            <w:tcW w:w="2693" w:type="dxa"/>
          </w:tcPr>
          <w:p w14:paraId="06043249" w14:textId="77777777" w:rsidR="00407034" w:rsidRPr="00F02BC6" w:rsidRDefault="00407034" w:rsidP="00495804">
            <w:pPr>
              <w:rPr>
                <w:color w:val="000000"/>
                <w:sz w:val="20"/>
                <w:szCs w:val="20"/>
                <w:lang w:val="en-US"/>
              </w:rPr>
            </w:pPr>
          </w:p>
        </w:tc>
        <w:tc>
          <w:tcPr>
            <w:tcW w:w="1559" w:type="dxa"/>
            <w:gridSpan w:val="2"/>
          </w:tcPr>
          <w:p w14:paraId="6A09D45D" w14:textId="77777777" w:rsidR="00407034" w:rsidRPr="00F02BC6" w:rsidRDefault="00407034" w:rsidP="00495804">
            <w:pPr>
              <w:rPr>
                <w:color w:val="000000"/>
                <w:sz w:val="20"/>
                <w:szCs w:val="20"/>
                <w:lang w:val="en-US"/>
              </w:rPr>
            </w:pPr>
          </w:p>
        </w:tc>
      </w:tr>
      <w:tr w:rsidR="00407034" w:rsidRPr="00F02BC6" w14:paraId="418A533B" w14:textId="77777777" w:rsidTr="005F62B6">
        <w:tc>
          <w:tcPr>
            <w:tcW w:w="2219" w:type="dxa"/>
          </w:tcPr>
          <w:p w14:paraId="2BD9A320" w14:textId="77777777" w:rsidR="00407034" w:rsidRPr="00F02BC6" w:rsidRDefault="00407034" w:rsidP="00495804">
            <w:pPr>
              <w:rPr>
                <w:color w:val="000000"/>
                <w:sz w:val="20"/>
                <w:szCs w:val="20"/>
                <w:lang w:val="en-US"/>
              </w:rPr>
            </w:pPr>
          </w:p>
        </w:tc>
        <w:tc>
          <w:tcPr>
            <w:tcW w:w="1984" w:type="dxa"/>
          </w:tcPr>
          <w:p w14:paraId="5753C6CF" w14:textId="77777777" w:rsidR="00407034" w:rsidRPr="00F02BC6" w:rsidRDefault="00407034" w:rsidP="00495804">
            <w:pPr>
              <w:rPr>
                <w:color w:val="000000"/>
                <w:sz w:val="20"/>
                <w:szCs w:val="20"/>
                <w:lang w:val="en-US"/>
              </w:rPr>
            </w:pPr>
          </w:p>
        </w:tc>
        <w:tc>
          <w:tcPr>
            <w:tcW w:w="1843" w:type="dxa"/>
          </w:tcPr>
          <w:p w14:paraId="43FED847" w14:textId="77777777" w:rsidR="00407034" w:rsidRPr="00F02BC6" w:rsidRDefault="00407034" w:rsidP="00495804">
            <w:pPr>
              <w:rPr>
                <w:color w:val="000000"/>
                <w:sz w:val="20"/>
                <w:szCs w:val="20"/>
                <w:lang w:val="en-US"/>
              </w:rPr>
            </w:pPr>
          </w:p>
        </w:tc>
        <w:tc>
          <w:tcPr>
            <w:tcW w:w="2127" w:type="dxa"/>
          </w:tcPr>
          <w:p w14:paraId="22BBF6E8" w14:textId="77777777" w:rsidR="00407034" w:rsidRPr="00F02BC6" w:rsidRDefault="00407034" w:rsidP="00495804">
            <w:pPr>
              <w:rPr>
                <w:color w:val="000000"/>
                <w:sz w:val="20"/>
                <w:szCs w:val="20"/>
                <w:lang w:val="en-US"/>
              </w:rPr>
            </w:pPr>
          </w:p>
        </w:tc>
        <w:tc>
          <w:tcPr>
            <w:tcW w:w="2976" w:type="dxa"/>
          </w:tcPr>
          <w:p w14:paraId="1FFBF754" w14:textId="77777777" w:rsidR="00407034" w:rsidRPr="00F02BC6" w:rsidRDefault="00407034" w:rsidP="00495804">
            <w:pPr>
              <w:rPr>
                <w:color w:val="000000"/>
                <w:sz w:val="20"/>
                <w:szCs w:val="20"/>
                <w:lang w:val="en-US"/>
              </w:rPr>
            </w:pPr>
          </w:p>
        </w:tc>
        <w:tc>
          <w:tcPr>
            <w:tcW w:w="2693" w:type="dxa"/>
          </w:tcPr>
          <w:p w14:paraId="204C0B36" w14:textId="77777777" w:rsidR="00407034" w:rsidRPr="00F02BC6" w:rsidRDefault="00407034" w:rsidP="00495804">
            <w:pPr>
              <w:rPr>
                <w:color w:val="000000"/>
                <w:sz w:val="20"/>
                <w:szCs w:val="20"/>
                <w:lang w:val="en-US"/>
              </w:rPr>
            </w:pPr>
          </w:p>
        </w:tc>
        <w:tc>
          <w:tcPr>
            <w:tcW w:w="1559" w:type="dxa"/>
            <w:gridSpan w:val="2"/>
          </w:tcPr>
          <w:p w14:paraId="2056EB37" w14:textId="77777777" w:rsidR="00407034" w:rsidRPr="00F02BC6" w:rsidRDefault="00407034" w:rsidP="00495804">
            <w:pPr>
              <w:rPr>
                <w:color w:val="000000"/>
                <w:sz w:val="20"/>
                <w:szCs w:val="20"/>
                <w:lang w:val="en-US"/>
              </w:rPr>
            </w:pPr>
          </w:p>
        </w:tc>
      </w:tr>
      <w:tr w:rsidR="00801304" w:rsidRPr="00F02BC6" w14:paraId="010FA19A" w14:textId="77777777" w:rsidTr="005F62B6">
        <w:tc>
          <w:tcPr>
            <w:tcW w:w="2219" w:type="dxa"/>
          </w:tcPr>
          <w:p w14:paraId="3A8FAABE" w14:textId="77777777" w:rsidR="00801304" w:rsidRPr="00F02BC6" w:rsidRDefault="00801304" w:rsidP="00495804">
            <w:pPr>
              <w:rPr>
                <w:color w:val="000000"/>
                <w:sz w:val="20"/>
                <w:szCs w:val="20"/>
                <w:lang w:val="en-US"/>
              </w:rPr>
            </w:pPr>
            <w:proofErr w:type="spellStart"/>
            <w:r w:rsidRPr="00F02BC6">
              <w:rPr>
                <w:color w:val="000000"/>
                <w:sz w:val="20"/>
                <w:szCs w:val="20"/>
                <w:lang w:val="en-US"/>
              </w:rPr>
              <w:t>Sicras-Mainar</w:t>
            </w:r>
            <w:proofErr w:type="spellEnd"/>
            <w:r w:rsidRPr="00F02BC6">
              <w:rPr>
                <w:color w:val="000000"/>
                <w:sz w:val="20"/>
                <w:szCs w:val="20"/>
                <w:lang w:val="en-US"/>
              </w:rPr>
              <w:t xml:space="preserve"> et al</w:t>
            </w:r>
            <w:r w:rsidRPr="00F02BC6">
              <w:rPr>
                <w:color w:val="000000"/>
                <w:sz w:val="20"/>
                <w:szCs w:val="20"/>
                <w:vertAlign w:val="superscript"/>
                <w:lang w:val="en-US"/>
              </w:rPr>
              <w:t xml:space="preserve">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author":[{"dropping-particle":"","family":"Sicras-Mainar","given":"A","non-dropping-particle":"","parse-names":false,"suffix":""},{"dropping-particle":"","family":"Huerta","given":"A","non-dropping-particle":"","parse-names":false,"suffix":""},{"dropping-particle":"","family":"Sánchez","given":"D","non-dropping-particle":"","parse-names":false,"suffix":""},{"dropping-particle":"","family":"Navarro-Artieda","given":"R","non-dropping-particle":"","parse-names":false,"suffix":""}],"container-title":"Semergen","id":"ITEM-1","issue":"1","issued":{"date-parts":[["2018"]]},"page":"13-22","title":"Use of resources and costs associated with non-adherence to inhaled corticosteroid treatment in asthma","type":"article-journal","volume":"44"},"uris":["http://www.mendeley.com/documents/?uuid=e1d76827-fe4f-4250-8141-31abdf72ac64"]}],"mendeley":{"formattedCitation":"(38)","plainTextFormattedCitation":"(38)","previouslyFormattedCitation":"(38)"},"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(38)</w:t>
            </w:r>
            <w:r w:rsidRPr="00F02BC6">
              <w:rPr>
                <w:color w:val="000000"/>
                <w:sz w:val="20"/>
                <w:szCs w:val="20"/>
                <w:vertAlign w:val="superscript"/>
                <w:lang w:val="en-US"/>
              </w:rPr>
              <w:fldChar w:fldCharType="end"/>
            </w:r>
          </w:p>
        </w:tc>
        <w:tc>
          <w:tcPr>
            <w:tcW w:w="1984" w:type="dxa"/>
          </w:tcPr>
          <w:p w14:paraId="3496152A" w14:textId="0600BCC8" w:rsidR="00801304" w:rsidRPr="00F02BC6" w:rsidRDefault="00407034" w:rsidP="00495804">
            <w:pPr>
              <w:rPr>
                <w:color w:val="000000"/>
                <w:sz w:val="20"/>
                <w:szCs w:val="20"/>
                <w:lang w:val="en-US"/>
              </w:rPr>
            </w:pPr>
            <w:r w:rsidRPr="00F02BC6">
              <w:rPr>
                <w:color w:val="000000"/>
                <w:sz w:val="20"/>
                <w:szCs w:val="20"/>
                <w:lang w:val="en-US"/>
              </w:rPr>
              <w:t>Based on ICD codes and asthma medications</w:t>
            </w:r>
          </w:p>
        </w:tc>
        <w:tc>
          <w:tcPr>
            <w:tcW w:w="1843" w:type="dxa"/>
          </w:tcPr>
          <w:p w14:paraId="7CB6B370" w14:textId="77777777" w:rsidR="00801304" w:rsidRPr="00F02BC6" w:rsidRDefault="00801304" w:rsidP="00495804">
            <w:pPr>
              <w:rPr>
                <w:color w:val="000000"/>
                <w:sz w:val="20"/>
                <w:szCs w:val="20"/>
                <w:lang w:val="en-US"/>
              </w:rPr>
            </w:pPr>
            <w:r w:rsidRPr="00F02BC6">
              <w:rPr>
                <w:color w:val="000000"/>
                <w:sz w:val="20"/>
                <w:szCs w:val="20"/>
                <w:lang w:val="en-US"/>
              </w:rPr>
              <w:t>----</w:t>
            </w:r>
          </w:p>
        </w:tc>
        <w:tc>
          <w:tcPr>
            <w:tcW w:w="2127" w:type="dxa"/>
          </w:tcPr>
          <w:p w14:paraId="080EBEF6" w14:textId="77777777" w:rsidR="00801304" w:rsidRPr="00F02BC6" w:rsidRDefault="00801304" w:rsidP="00495804">
            <w:pPr>
              <w:rPr>
                <w:color w:val="000000"/>
                <w:sz w:val="20"/>
                <w:szCs w:val="20"/>
                <w:lang w:val="en-US"/>
              </w:rPr>
            </w:pPr>
            <w:r w:rsidRPr="00F02BC6">
              <w:rPr>
                <w:color w:val="000000"/>
                <w:sz w:val="20"/>
                <w:szCs w:val="20"/>
                <w:lang w:val="en-US"/>
              </w:rPr>
              <w:t>MPR ≥ 80%</w:t>
            </w:r>
          </w:p>
          <w:p w14:paraId="38C08CCE" w14:textId="77777777" w:rsidR="00801304" w:rsidRPr="00F02BC6" w:rsidRDefault="00801304" w:rsidP="00495804">
            <w:pPr>
              <w:rPr>
                <w:color w:val="000000"/>
                <w:sz w:val="20"/>
                <w:szCs w:val="20"/>
                <w:lang w:val="en-US"/>
              </w:rPr>
            </w:pPr>
            <w:r w:rsidRPr="00F02BC6">
              <w:rPr>
                <w:color w:val="000000"/>
                <w:sz w:val="20"/>
                <w:szCs w:val="20"/>
                <w:lang w:val="en-US"/>
              </w:rPr>
              <w:t>MPR &lt; 80%</w:t>
            </w:r>
          </w:p>
        </w:tc>
        <w:tc>
          <w:tcPr>
            <w:tcW w:w="2976" w:type="dxa"/>
          </w:tcPr>
          <w:p w14:paraId="4DE67F78" w14:textId="77777777" w:rsidR="00801304" w:rsidRPr="00F02BC6" w:rsidRDefault="00801304" w:rsidP="00495804">
            <w:pPr>
              <w:rPr>
                <w:color w:val="000000"/>
                <w:sz w:val="20"/>
                <w:szCs w:val="20"/>
                <w:lang w:val="en-US"/>
              </w:rPr>
            </w:pPr>
            <w:r w:rsidRPr="00F02BC6">
              <w:rPr>
                <w:color w:val="000000"/>
                <w:sz w:val="20"/>
                <w:szCs w:val="20"/>
                <w:lang w:val="en-US"/>
              </w:rPr>
              <w:t>---</w:t>
            </w:r>
          </w:p>
        </w:tc>
        <w:tc>
          <w:tcPr>
            <w:tcW w:w="2693" w:type="dxa"/>
          </w:tcPr>
          <w:p w14:paraId="1EB5071F" w14:textId="77777777" w:rsidR="00801304" w:rsidRPr="00F02BC6" w:rsidRDefault="00801304" w:rsidP="00495804">
            <w:pPr>
              <w:rPr>
                <w:color w:val="000000"/>
                <w:sz w:val="20"/>
                <w:szCs w:val="20"/>
                <w:lang w:val="en-US"/>
              </w:rPr>
            </w:pPr>
            <w:r w:rsidRPr="00F02BC6">
              <w:rPr>
                <w:color w:val="000000"/>
                <w:sz w:val="20"/>
                <w:szCs w:val="20"/>
                <w:lang w:val="en-US"/>
              </w:rPr>
              <w:t>---</w:t>
            </w:r>
          </w:p>
        </w:tc>
        <w:tc>
          <w:tcPr>
            <w:tcW w:w="1559" w:type="dxa"/>
            <w:gridSpan w:val="2"/>
          </w:tcPr>
          <w:p w14:paraId="21DEF2A6" w14:textId="77777777" w:rsidR="00801304" w:rsidRPr="00F02BC6" w:rsidRDefault="00801304" w:rsidP="00495804">
            <w:pPr>
              <w:rPr>
                <w:color w:val="000000"/>
                <w:sz w:val="20"/>
                <w:szCs w:val="20"/>
                <w:lang w:val="en-US"/>
              </w:rPr>
            </w:pPr>
            <w:r w:rsidRPr="00F02BC6">
              <w:rPr>
                <w:color w:val="000000"/>
                <w:sz w:val="20"/>
                <w:szCs w:val="20"/>
                <w:lang w:val="en-US"/>
              </w:rPr>
              <w:t>---</w:t>
            </w:r>
          </w:p>
        </w:tc>
      </w:tr>
      <w:tr w:rsidR="0001627A" w:rsidRPr="00F02BC6" w14:paraId="2FC3FA0A" w14:textId="77777777" w:rsidTr="005F62B6">
        <w:tc>
          <w:tcPr>
            <w:tcW w:w="2219" w:type="dxa"/>
          </w:tcPr>
          <w:p w14:paraId="305FC2B7" w14:textId="77777777" w:rsidR="0001627A" w:rsidRPr="00F02BC6" w:rsidRDefault="0001627A" w:rsidP="00495804">
            <w:pPr>
              <w:rPr>
                <w:color w:val="000000"/>
                <w:lang w:val="en-US"/>
              </w:rPr>
            </w:pPr>
          </w:p>
        </w:tc>
        <w:tc>
          <w:tcPr>
            <w:tcW w:w="1984" w:type="dxa"/>
          </w:tcPr>
          <w:p w14:paraId="64BDA605" w14:textId="77777777" w:rsidR="0001627A" w:rsidRPr="00F02BC6" w:rsidRDefault="0001627A" w:rsidP="00495804">
            <w:pPr>
              <w:rPr>
                <w:color w:val="000000"/>
                <w:sz w:val="20"/>
                <w:szCs w:val="20"/>
                <w:lang w:val="en-US"/>
              </w:rPr>
            </w:pPr>
          </w:p>
        </w:tc>
        <w:tc>
          <w:tcPr>
            <w:tcW w:w="1843" w:type="dxa"/>
          </w:tcPr>
          <w:p w14:paraId="5A96E8DA" w14:textId="77777777" w:rsidR="0001627A" w:rsidRPr="00F02BC6" w:rsidRDefault="0001627A" w:rsidP="00495804">
            <w:pPr>
              <w:rPr>
                <w:color w:val="000000"/>
                <w:sz w:val="20"/>
                <w:szCs w:val="20"/>
                <w:lang w:val="en-US"/>
              </w:rPr>
            </w:pPr>
          </w:p>
        </w:tc>
        <w:tc>
          <w:tcPr>
            <w:tcW w:w="2127" w:type="dxa"/>
          </w:tcPr>
          <w:p w14:paraId="6A6FE7A2" w14:textId="77777777" w:rsidR="0001627A" w:rsidRPr="00F02BC6" w:rsidRDefault="0001627A" w:rsidP="00495804">
            <w:pPr>
              <w:rPr>
                <w:color w:val="000000"/>
                <w:sz w:val="20"/>
                <w:szCs w:val="20"/>
                <w:lang w:val="en-US"/>
              </w:rPr>
            </w:pPr>
          </w:p>
        </w:tc>
        <w:tc>
          <w:tcPr>
            <w:tcW w:w="2976" w:type="dxa"/>
          </w:tcPr>
          <w:p w14:paraId="62161607" w14:textId="77777777" w:rsidR="0001627A" w:rsidRPr="00F02BC6" w:rsidRDefault="0001627A" w:rsidP="00495804">
            <w:pPr>
              <w:rPr>
                <w:color w:val="000000"/>
                <w:sz w:val="20"/>
                <w:szCs w:val="20"/>
                <w:lang w:val="en-US"/>
              </w:rPr>
            </w:pPr>
          </w:p>
        </w:tc>
        <w:tc>
          <w:tcPr>
            <w:tcW w:w="2693" w:type="dxa"/>
          </w:tcPr>
          <w:p w14:paraId="04580521" w14:textId="77777777" w:rsidR="0001627A" w:rsidRPr="00F02BC6" w:rsidRDefault="0001627A" w:rsidP="00495804">
            <w:pPr>
              <w:rPr>
                <w:color w:val="000000"/>
                <w:sz w:val="20"/>
                <w:szCs w:val="20"/>
                <w:lang w:val="en-US"/>
              </w:rPr>
            </w:pPr>
          </w:p>
        </w:tc>
        <w:tc>
          <w:tcPr>
            <w:tcW w:w="1559" w:type="dxa"/>
            <w:gridSpan w:val="2"/>
          </w:tcPr>
          <w:p w14:paraId="3FC97CC2" w14:textId="77777777" w:rsidR="0001627A" w:rsidRPr="00F02BC6" w:rsidRDefault="0001627A" w:rsidP="00495804">
            <w:pPr>
              <w:rPr>
                <w:color w:val="000000"/>
                <w:sz w:val="20"/>
                <w:szCs w:val="20"/>
                <w:lang w:val="en-US"/>
              </w:rPr>
            </w:pPr>
          </w:p>
        </w:tc>
      </w:tr>
      <w:tr w:rsidR="00801304" w:rsidRPr="00F02BC6" w14:paraId="7F12F9B6" w14:textId="77777777" w:rsidTr="005F62B6">
        <w:tc>
          <w:tcPr>
            <w:tcW w:w="2219" w:type="dxa"/>
          </w:tcPr>
          <w:p w14:paraId="4FB73582" w14:textId="77777777" w:rsidR="00801304" w:rsidRPr="00F02BC6" w:rsidRDefault="00FF2854" w:rsidP="00495804">
            <w:pPr>
              <w:rPr>
                <w:color w:val="000000"/>
                <w:sz w:val="20"/>
                <w:szCs w:val="20"/>
                <w:lang w:val="en-US"/>
              </w:rPr>
            </w:pPr>
            <w:hyperlink r:id="rId13" w:anchor="!" w:history="1">
              <w:proofErr w:type="spellStart"/>
              <w:r w:rsidR="00801304" w:rsidRPr="00F02BC6">
                <w:rPr>
                  <w:color w:val="000000"/>
                  <w:sz w:val="20"/>
                  <w:szCs w:val="20"/>
                  <w:lang w:val="en-US"/>
                </w:rPr>
                <w:t>Souverein</w:t>
              </w:r>
              <w:proofErr w:type="spellEnd"/>
            </w:hyperlink>
            <w:r w:rsidR="00801304" w:rsidRPr="00F02BC6">
              <w:rPr>
                <w:color w:val="000000"/>
                <w:sz w:val="20"/>
                <w:szCs w:val="20"/>
                <w:lang w:val="en-US"/>
              </w:rPr>
              <w:t xml:space="preserve"> et al </w:t>
            </w:r>
            <w:r w:rsidR="00801304" w:rsidRPr="00F02BC6">
              <w:rPr>
                <w:color w:val="000000"/>
                <w:sz w:val="20"/>
                <w:szCs w:val="20"/>
                <w:vertAlign w:val="superscript"/>
                <w:lang w:val="en-US"/>
              </w:rPr>
              <w:fldChar w:fldCharType="begin" w:fldLock="1"/>
            </w:r>
            <w:r w:rsidR="00801304" w:rsidRPr="00F02BC6">
              <w:rPr>
                <w:color w:val="000000"/>
                <w:sz w:val="20"/>
                <w:szCs w:val="20"/>
                <w:vertAlign w:val="superscript"/>
                <w:lang w:val="en-US"/>
              </w:rPr>
              <w:instrText>ADDIN CSL_CITATION {"citationItems":[{"id":"ITEM-1","itemData":{"DOI":"10.1016/j.jaip.2016.09.022","ISSN":"22132198","PMID":"27815064","abstract":"Background Electronic prescribing records can enable exploration of medication adherence, but analysis decisions may influence estimates and require alignment to new consensus-based definitions. Objective To compare different computations of inhaled corticosteroid (ICS) implementation in a primary care asthma population initiating ICS therapy when assessed within episodes of persistent use, and examine longitudinal variation in implementation. Methods A historical cohort study was conducted on UK's Optimum Patient Care Research Database. Eligible patients had physician-diagnosed asthma, initiated ICS therapy, and had 3 or more years of continuous registration. ICS treatment episodes were constructed on the basis of 3 definitions, permitting 30-, 90-, and 182-day gaps between prescriptions. Implementation was estimated using 2 continuous medication availability (CMA I and II) definitions to explore effects of carryover of previous prescriptions in 4 observation windows: 6, 8, 12, and 24 months. Impact of methodology was assessed by descriptive statistics, linear mixed models, and measures of agreement. Results A total of 13,922 eligible patients (mean age, 39.9 years; 48.7% men) were identified. For CMA I, permitting a 90-day gap, mean ICS implementation for the 2-year period was 89.3% (±16.0%; range, 14.4%-100%). Sensitivity analyses with 30- and 182-day gaps resulted in increased (97.0% ± 7.2%) and decreased (81.1% ± 21.6%) estimates. CMA II produced estimates with varying concordance (0.69-0.87). Substantial variance was found between and within patients (intraclass coefficient, 0.30-0.36). Conclusions Different analysis choices resulted in substantial variation in implementation estimates, highlighting the need for transparent and clinically relevant methododology. Distinguishing between (non)persistence and implementation is important in clinical practice, and may require different interventions in routine consultations.","author":[{"dropping-particle":"","family":"Souverein","given":"Patrick C.","non-dropping-particle":"","parse-names":false,"suffix":""},{"dropping-particle":"","family":"Koster","given":"Ellen S.","non-dropping-particle":"","parse-names":false,"suffix":""},{"dropping-particle":"","family":"Colice","given":"Gene","non-dropping-particle":"","parse-names":false,"suffix":""},{"dropping-particle":"","family":"Ganse","given":"Eric","non-dropping-particle":"van","parse-names":false,"suffix":""},{"dropping-particle":"","family":"Chisholm","given":"Alison","non-dropping-particle":"","parse-names":false,"suffix":""},{"dropping-particle":"","family":"Price","given":"David","non-dropping-particle":"","parse-names":false,"suffix":""},{"dropping-particle":"","family":"Dima","given":"Alexandra L.","non-dropping-particle":"","parse-names":false,"suffix":""}],"container-title":"Journal of Allergy and Clinical Immunology: In Practice","id":"ITEM-1","issue":"2","issued":{"date-parts":[["2017"]]},"page":"448-456.e2","publisher":"Elsevier Inc","title":"Inhaled Corticosteroid Adherence Patterns in a Longitudinal Asthma Cohort","type":"article-journal","volume":"5"},"uris":["http://www.mendeley.com/documents/?uuid=6388f985-611e-4fb2-a1f1-6cb0972a3df9"]}],"mendeley":{"formattedCitation":"(39)","plainTextFormattedCitation":"(39)","previouslyFormattedCitation":"(39)"},"properties":{"noteIndex":0},"schema":"https://github.com/citation-style-language/schema/raw/master/csl-citation.json"}</w:instrText>
            </w:r>
            <w:r w:rsidR="00801304" w:rsidRPr="00F02BC6">
              <w:rPr>
                <w:color w:val="000000"/>
                <w:sz w:val="20"/>
                <w:szCs w:val="20"/>
                <w:vertAlign w:val="superscript"/>
                <w:lang w:val="en-US"/>
              </w:rPr>
              <w:fldChar w:fldCharType="separate"/>
            </w:r>
            <w:r w:rsidR="00801304" w:rsidRPr="00F02BC6">
              <w:rPr>
                <w:color w:val="000000"/>
                <w:sz w:val="20"/>
                <w:szCs w:val="20"/>
                <w:lang w:val="en-US"/>
              </w:rPr>
              <w:t>(39)</w:t>
            </w:r>
            <w:r w:rsidR="00801304" w:rsidRPr="00F02BC6">
              <w:rPr>
                <w:color w:val="000000"/>
                <w:sz w:val="20"/>
                <w:szCs w:val="20"/>
                <w:vertAlign w:val="superscript"/>
                <w:lang w:val="en-US"/>
              </w:rPr>
              <w:fldChar w:fldCharType="end"/>
            </w:r>
          </w:p>
        </w:tc>
        <w:tc>
          <w:tcPr>
            <w:tcW w:w="1984" w:type="dxa"/>
          </w:tcPr>
          <w:p w14:paraId="428CAEA5" w14:textId="7B6C7B77" w:rsidR="00801304" w:rsidRPr="00F02BC6" w:rsidRDefault="0001627A" w:rsidP="00495804">
            <w:pPr>
              <w:rPr>
                <w:color w:val="000000"/>
                <w:sz w:val="20"/>
                <w:szCs w:val="20"/>
                <w:lang w:val="en-US"/>
              </w:rPr>
            </w:pPr>
            <w:r w:rsidRPr="00F02BC6">
              <w:rPr>
                <w:color w:val="000000"/>
                <w:sz w:val="20"/>
                <w:szCs w:val="20"/>
                <w:lang w:val="en-US"/>
              </w:rPr>
              <w:t>Patients who had received one or more ICS prescription and had recorded physician diagnosis of asthma.</w:t>
            </w:r>
          </w:p>
        </w:tc>
        <w:tc>
          <w:tcPr>
            <w:tcW w:w="1843" w:type="dxa"/>
          </w:tcPr>
          <w:p w14:paraId="2A14BCE5" w14:textId="77777777" w:rsidR="00801304" w:rsidRPr="00F02BC6" w:rsidRDefault="00801304" w:rsidP="00495804">
            <w:pPr>
              <w:rPr>
                <w:color w:val="000000"/>
                <w:sz w:val="20"/>
                <w:szCs w:val="20"/>
                <w:lang w:val="en-US"/>
              </w:rPr>
            </w:pPr>
            <w:r w:rsidRPr="00F02BC6">
              <w:rPr>
                <w:color w:val="000000"/>
                <w:sz w:val="20"/>
                <w:szCs w:val="20"/>
                <w:lang w:val="en-US"/>
              </w:rPr>
              <w:t>60% ± 0.31% and 35.26%</w:t>
            </w:r>
          </w:p>
        </w:tc>
        <w:tc>
          <w:tcPr>
            <w:tcW w:w="2127" w:type="dxa"/>
          </w:tcPr>
          <w:p w14:paraId="789F6592" w14:textId="77777777" w:rsidR="00801304" w:rsidRPr="00F02BC6" w:rsidRDefault="00801304" w:rsidP="00495804">
            <w:pPr>
              <w:rPr>
                <w:color w:val="000000"/>
                <w:sz w:val="20"/>
                <w:szCs w:val="20"/>
                <w:lang w:val="en-US"/>
              </w:rPr>
            </w:pPr>
            <w:r w:rsidRPr="00F02BC6">
              <w:rPr>
                <w:color w:val="000000"/>
                <w:sz w:val="20"/>
                <w:szCs w:val="20"/>
                <w:lang w:val="en-US"/>
              </w:rPr>
              <w:t>CMA (I&amp;II) ≥ 80%</w:t>
            </w:r>
          </w:p>
          <w:p w14:paraId="16087DB7" w14:textId="77777777" w:rsidR="00801304" w:rsidRPr="00F02BC6" w:rsidRDefault="00801304" w:rsidP="00495804">
            <w:pPr>
              <w:rPr>
                <w:color w:val="000000"/>
                <w:sz w:val="20"/>
                <w:szCs w:val="20"/>
                <w:lang w:val="en-US"/>
              </w:rPr>
            </w:pPr>
            <w:r w:rsidRPr="00F02BC6">
              <w:rPr>
                <w:color w:val="000000"/>
                <w:sz w:val="20"/>
                <w:szCs w:val="20"/>
                <w:lang w:val="en-US"/>
              </w:rPr>
              <w:t>CMA &lt; 80%</w:t>
            </w:r>
          </w:p>
          <w:p w14:paraId="5ECB89B4" w14:textId="77777777" w:rsidR="00801304" w:rsidRPr="00F02BC6" w:rsidRDefault="00801304" w:rsidP="00495804">
            <w:pPr>
              <w:rPr>
                <w:color w:val="000000"/>
                <w:sz w:val="20"/>
                <w:szCs w:val="20"/>
                <w:lang w:val="en-US"/>
              </w:rPr>
            </w:pPr>
          </w:p>
        </w:tc>
        <w:tc>
          <w:tcPr>
            <w:tcW w:w="2976" w:type="dxa"/>
          </w:tcPr>
          <w:p w14:paraId="416EAF62" w14:textId="77777777" w:rsidR="00801304" w:rsidRPr="00F02BC6" w:rsidRDefault="00801304" w:rsidP="00495804">
            <w:pPr>
              <w:rPr>
                <w:color w:val="000000"/>
                <w:sz w:val="20"/>
                <w:szCs w:val="20"/>
                <w:lang w:val="en-US"/>
              </w:rPr>
            </w:pPr>
            <w:r w:rsidRPr="00F02BC6">
              <w:rPr>
                <w:color w:val="000000"/>
                <w:sz w:val="20"/>
                <w:szCs w:val="20"/>
                <w:lang w:val="en-US"/>
              </w:rPr>
              <w:t>Medication adherence (persistence and implementation)</w:t>
            </w:r>
          </w:p>
        </w:tc>
        <w:tc>
          <w:tcPr>
            <w:tcW w:w="2693" w:type="dxa"/>
          </w:tcPr>
          <w:p w14:paraId="4E4B1925" w14:textId="77777777" w:rsidR="00801304" w:rsidRPr="00F02BC6" w:rsidRDefault="00801304" w:rsidP="00495804">
            <w:pPr>
              <w:rPr>
                <w:color w:val="000000"/>
                <w:sz w:val="20"/>
                <w:szCs w:val="20"/>
                <w:lang w:val="en-US"/>
              </w:rPr>
            </w:pPr>
            <w:r w:rsidRPr="00F02BC6">
              <w:rPr>
                <w:color w:val="000000"/>
                <w:sz w:val="20"/>
                <w:szCs w:val="20"/>
                <w:lang w:val="en-US"/>
              </w:rPr>
              <w:t>Chi-square tests</w:t>
            </w:r>
          </w:p>
          <w:p w14:paraId="3210726A" w14:textId="77777777" w:rsidR="00801304" w:rsidRPr="00F02BC6" w:rsidRDefault="00801304" w:rsidP="00495804">
            <w:pPr>
              <w:rPr>
                <w:color w:val="000000"/>
                <w:sz w:val="20"/>
                <w:szCs w:val="20"/>
                <w:lang w:val="en-US"/>
              </w:rPr>
            </w:pPr>
            <w:r w:rsidRPr="00F02BC6">
              <w:rPr>
                <w:color w:val="000000"/>
                <w:sz w:val="20"/>
                <w:szCs w:val="20"/>
                <w:lang w:val="en-US"/>
              </w:rPr>
              <w:t xml:space="preserve">Independent </w:t>
            </w:r>
            <w:r w:rsidRPr="00F02BC6">
              <w:rPr>
                <w:i/>
                <w:color w:val="000000"/>
                <w:sz w:val="20"/>
                <w:szCs w:val="20"/>
                <w:lang w:val="en-US"/>
              </w:rPr>
              <w:t>t</w:t>
            </w:r>
            <w:r w:rsidRPr="00F02BC6">
              <w:rPr>
                <w:color w:val="000000"/>
                <w:sz w:val="20"/>
                <w:szCs w:val="20"/>
                <w:lang w:val="en-US"/>
              </w:rPr>
              <w:t xml:space="preserve"> tests</w:t>
            </w:r>
          </w:p>
          <w:p w14:paraId="3C021B68" w14:textId="77777777" w:rsidR="00801304" w:rsidRPr="00F02BC6" w:rsidRDefault="00801304" w:rsidP="00495804">
            <w:pPr>
              <w:rPr>
                <w:color w:val="000000"/>
                <w:sz w:val="20"/>
                <w:szCs w:val="20"/>
                <w:lang w:val="en-US"/>
              </w:rPr>
            </w:pPr>
            <w:r w:rsidRPr="00F02BC6">
              <w:rPr>
                <w:color w:val="000000"/>
                <w:sz w:val="20"/>
                <w:szCs w:val="20"/>
                <w:lang w:val="en-US"/>
              </w:rPr>
              <w:t xml:space="preserve">Mann Whitney </w:t>
            </w:r>
            <w:r w:rsidRPr="00F02BC6">
              <w:rPr>
                <w:i/>
                <w:color w:val="000000"/>
                <w:sz w:val="20"/>
                <w:szCs w:val="20"/>
                <w:lang w:val="en-US"/>
              </w:rPr>
              <w:t>U</w:t>
            </w:r>
            <w:r w:rsidRPr="00F02BC6">
              <w:rPr>
                <w:color w:val="000000"/>
                <w:sz w:val="20"/>
                <w:szCs w:val="20"/>
                <w:lang w:val="en-US"/>
              </w:rPr>
              <w:t xml:space="preserve"> tests</w:t>
            </w:r>
          </w:p>
        </w:tc>
        <w:tc>
          <w:tcPr>
            <w:tcW w:w="1559" w:type="dxa"/>
            <w:gridSpan w:val="2"/>
          </w:tcPr>
          <w:p w14:paraId="37E248E3" w14:textId="77777777" w:rsidR="00801304" w:rsidRPr="00F02BC6" w:rsidRDefault="00801304" w:rsidP="00495804">
            <w:pPr>
              <w:rPr>
                <w:color w:val="000000"/>
                <w:sz w:val="20"/>
                <w:szCs w:val="20"/>
                <w:lang w:val="en-US"/>
              </w:rPr>
            </w:pPr>
            <w:r w:rsidRPr="00F02BC6">
              <w:rPr>
                <w:color w:val="000000"/>
                <w:sz w:val="20"/>
                <w:szCs w:val="20"/>
                <w:lang w:val="en-US"/>
              </w:rPr>
              <w:t>64.74%</w:t>
            </w:r>
          </w:p>
        </w:tc>
      </w:tr>
      <w:tr w:rsidR="00801304" w:rsidRPr="00F02BC6" w14:paraId="02A43DC2" w14:textId="77777777" w:rsidTr="005F62B6">
        <w:tc>
          <w:tcPr>
            <w:tcW w:w="2219" w:type="dxa"/>
            <w:tcBorders>
              <w:top w:val="single" w:sz="4" w:space="0" w:color="auto"/>
              <w:bottom w:val="single" w:sz="4" w:space="0" w:color="auto"/>
            </w:tcBorders>
          </w:tcPr>
          <w:p w14:paraId="1602C5BD" w14:textId="77777777" w:rsidR="00801304" w:rsidRPr="00F02BC6" w:rsidRDefault="00801304" w:rsidP="00495804">
            <w:pPr>
              <w:rPr>
                <w:b/>
                <w:color w:val="000000"/>
                <w:sz w:val="20"/>
                <w:szCs w:val="20"/>
                <w:lang w:val="en-US"/>
              </w:rPr>
            </w:pPr>
            <w:r w:rsidRPr="00F02BC6">
              <w:rPr>
                <w:b/>
                <w:color w:val="000000"/>
                <w:sz w:val="20"/>
                <w:szCs w:val="20"/>
                <w:lang w:val="en-US"/>
              </w:rPr>
              <w:t>Author</w:t>
            </w:r>
          </w:p>
        </w:tc>
        <w:tc>
          <w:tcPr>
            <w:tcW w:w="1984" w:type="dxa"/>
            <w:tcBorders>
              <w:top w:val="single" w:sz="4" w:space="0" w:color="auto"/>
              <w:bottom w:val="single" w:sz="4" w:space="0" w:color="auto"/>
            </w:tcBorders>
          </w:tcPr>
          <w:p w14:paraId="036898A3" w14:textId="77777777" w:rsidR="00801304" w:rsidRPr="00F02BC6" w:rsidRDefault="00801304" w:rsidP="00495804">
            <w:pPr>
              <w:rPr>
                <w:b/>
                <w:color w:val="000000"/>
                <w:sz w:val="20"/>
                <w:szCs w:val="20"/>
                <w:lang w:val="en-US"/>
              </w:rPr>
            </w:pPr>
          </w:p>
        </w:tc>
        <w:tc>
          <w:tcPr>
            <w:tcW w:w="1843" w:type="dxa"/>
            <w:tcBorders>
              <w:top w:val="single" w:sz="4" w:space="0" w:color="auto"/>
              <w:bottom w:val="single" w:sz="4" w:space="0" w:color="auto"/>
            </w:tcBorders>
          </w:tcPr>
          <w:p w14:paraId="5EB468CC" w14:textId="77777777" w:rsidR="00801304" w:rsidRPr="00F02BC6" w:rsidRDefault="00801304" w:rsidP="00495804">
            <w:pPr>
              <w:rPr>
                <w:b/>
                <w:color w:val="000000"/>
                <w:sz w:val="20"/>
                <w:szCs w:val="20"/>
                <w:lang w:val="en-US"/>
              </w:rPr>
            </w:pPr>
            <w:r w:rsidRPr="00F02BC6">
              <w:rPr>
                <w:b/>
                <w:color w:val="000000"/>
                <w:sz w:val="20"/>
                <w:szCs w:val="20"/>
                <w:lang w:val="en-US"/>
              </w:rPr>
              <w:t>Mean Medication Adherence Rate± Standard deviation</w:t>
            </w:r>
          </w:p>
        </w:tc>
        <w:tc>
          <w:tcPr>
            <w:tcW w:w="2127" w:type="dxa"/>
            <w:tcBorders>
              <w:top w:val="single" w:sz="4" w:space="0" w:color="auto"/>
              <w:bottom w:val="single" w:sz="4" w:space="0" w:color="auto"/>
            </w:tcBorders>
          </w:tcPr>
          <w:p w14:paraId="4A25542B" w14:textId="77777777" w:rsidR="00801304" w:rsidRPr="00F02BC6" w:rsidRDefault="00801304" w:rsidP="00495804">
            <w:pPr>
              <w:rPr>
                <w:b/>
                <w:color w:val="000000"/>
                <w:sz w:val="20"/>
                <w:szCs w:val="20"/>
                <w:lang w:val="en-US"/>
              </w:rPr>
            </w:pPr>
            <w:r w:rsidRPr="00F02BC6">
              <w:rPr>
                <w:b/>
                <w:color w:val="000000"/>
                <w:sz w:val="20"/>
                <w:szCs w:val="20"/>
                <w:lang w:val="en-US"/>
              </w:rPr>
              <w:t>Medication Adherence rate Threshold</w:t>
            </w:r>
          </w:p>
        </w:tc>
        <w:tc>
          <w:tcPr>
            <w:tcW w:w="2976" w:type="dxa"/>
            <w:tcBorders>
              <w:top w:val="single" w:sz="4" w:space="0" w:color="auto"/>
              <w:bottom w:val="single" w:sz="4" w:space="0" w:color="auto"/>
            </w:tcBorders>
          </w:tcPr>
          <w:p w14:paraId="151ACB58" w14:textId="77777777" w:rsidR="00801304" w:rsidRPr="00F02BC6" w:rsidRDefault="00801304" w:rsidP="00495804">
            <w:pPr>
              <w:rPr>
                <w:b/>
                <w:color w:val="000000"/>
                <w:sz w:val="20"/>
                <w:szCs w:val="20"/>
                <w:lang w:val="en-US"/>
              </w:rPr>
            </w:pPr>
            <w:r w:rsidRPr="00F02BC6">
              <w:rPr>
                <w:b/>
                <w:color w:val="000000"/>
                <w:sz w:val="20"/>
                <w:szCs w:val="20"/>
                <w:lang w:val="en-US"/>
              </w:rPr>
              <w:t>Probability to reach the targeted clinical outcome with Medication Adherence Threshold (Odds ratios [OR], Hazards ratios [HR] and Confidence Interval [CI])</w:t>
            </w:r>
          </w:p>
        </w:tc>
        <w:tc>
          <w:tcPr>
            <w:tcW w:w="2693" w:type="dxa"/>
            <w:tcBorders>
              <w:top w:val="single" w:sz="4" w:space="0" w:color="auto"/>
              <w:bottom w:val="single" w:sz="4" w:space="0" w:color="auto"/>
            </w:tcBorders>
          </w:tcPr>
          <w:p w14:paraId="3FF79AA7" w14:textId="77777777" w:rsidR="00801304" w:rsidRPr="00F02BC6" w:rsidRDefault="00801304" w:rsidP="00495804">
            <w:pPr>
              <w:rPr>
                <w:b/>
                <w:color w:val="000000"/>
                <w:sz w:val="20"/>
                <w:szCs w:val="20"/>
                <w:lang w:val="en-US"/>
              </w:rPr>
            </w:pPr>
            <w:r w:rsidRPr="00F02BC6">
              <w:rPr>
                <w:b/>
                <w:color w:val="000000"/>
                <w:sz w:val="20"/>
                <w:szCs w:val="20"/>
                <w:lang w:val="en-US"/>
              </w:rPr>
              <w:t>Methods of Threshold Determination</w:t>
            </w:r>
          </w:p>
        </w:tc>
        <w:tc>
          <w:tcPr>
            <w:tcW w:w="1559" w:type="dxa"/>
            <w:gridSpan w:val="2"/>
            <w:tcBorders>
              <w:top w:val="single" w:sz="4" w:space="0" w:color="auto"/>
              <w:bottom w:val="single" w:sz="4" w:space="0" w:color="auto"/>
            </w:tcBorders>
          </w:tcPr>
          <w:p w14:paraId="18F4CE8A" w14:textId="77777777" w:rsidR="00801304" w:rsidRPr="00F02BC6" w:rsidRDefault="00801304" w:rsidP="00495804">
            <w:pPr>
              <w:rPr>
                <w:b/>
                <w:color w:val="000000"/>
                <w:sz w:val="20"/>
                <w:szCs w:val="20"/>
                <w:lang w:val="en-US"/>
              </w:rPr>
            </w:pPr>
            <w:r w:rsidRPr="00F02BC6">
              <w:rPr>
                <w:b/>
                <w:color w:val="000000"/>
                <w:sz w:val="20"/>
                <w:szCs w:val="20"/>
                <w:lang w:val="en-US"/>
              </w:rPr>
              <w:t>Nonadherence Prevalence</w:t>
            </w:r>
          </w:p>
        </w:tc>
      </w:tr>
      <w:tr w:rsidR="00801304" w:rsidRPr="00F02BC6" w14:paraId="7308ED01" w14:textId="77777777" w:rsidTr="005F62B6">
        <w:tc>
          <w:tcPr>
            <w:tcW w:w="2219" w:type="dxa"/>
            <w:tcBorders>
              <w:top w:val="single" w:sz="4" w:space="0" w:color="auto"/>
            </w:tcBorders>
          </w:tcPr>
          <w:p w14:paraId="71E1E2BC" w14:textId="77777777" w:rsidR="00801304" w:rsidRPr="00F02BC6" w:rsidRDefault="00801304" w:rsidP="00495804">
            <w:pPr>
              <w:rPr>
                <w:color w:val="000000"/>
                <w:sz w:val="20"/>
                <w:szCs w:val="20"/>
                <w:lang w:val="en-US"/>
              </w:rPr>
            </w:pPr>
            <w:proofErr w:type="spellStart"/>
            <w:r w:rsidRPr="00F02BC6">
              <w:rPr>
                <w:color w:val="000000"/>
                <w:sz w:val="20"/>
                <w:szCs w:val="20"/>
                <w:lang w:val="en-US"/>
              </w:rPr>
              <w:t>Standford</w:t>
            </w:r>
            <w:proofErr w:type="spellEnd"/>
            <w:r w:rsidRPr="00F02BC6">
              <w:rPr>
                <w:color w:val="000000"/>
                <w:sz w:val="20"/>
                <w:szCs w:val="20"/>
                <w:lang w:val="en-US"/>
              </w:rPr>
              <w:t xml:space="preserve"> et al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{"citationItems":[{"id":"ITEM-1","itemData":{"DOI":"10.1016/j.jaip.2018.12.021","ISSN":"22132198","abstract":"Background: Although efficacy and safety of fluticasone furoate/vilanterol (FF/VI) and budesonide/formoterol (BUD/F) have been demonstrated in clinical studies, real-world comparisons of utilization have not been performed. Objective: To compare similar patients with asthma initiating FF/VI or BUD/F on measures of adherence, persistence, and the asthma medication ratio (AMR). Methods: This was a retrospective cohort study of commercial and Medicare Advantage with Part D enrollees initiating FF/VI or BUD/F for asthma. Adult patients (≥18 years) with at least 15-month (12-month preindex and 3-month postindex) continuous enrollment and 1 or more asthma diagnosis code were eligible for the study. Patients with a history of fixed-dose inhaled corticosteroid/long-acting β-agonist and other respiratory disorders (chronic obstructive pulmonary disease, cystic fibrosis, acute respiratory failure) in the baseline period were excluded. Propensity-score matching was used to balance cohorts on baseline characteristics. Logistic regression and Cox-proportional hazard models were used to assess differences. Results: A total of 9951 patients met all criteria. After propensity-score matching, 1725 patients were matched in each cohort. Subjects who initiated FF/VI had a significantly higher mean proportion of days covered (P &lt; .001), had 86% greater odds of having a proportion of days covered value of greater than or equal to 0.80 (adjusted odds ratio, 1.86; 95% CI, 1.51-2.30), 26% lower risk of discontinuation (adjusted hazard ratio, 0.74; 95% CI, 0.69-0.79), and 36% greater odds of an AMR of greater than or equal to 0.50 (adjusted odds ratio, 1.36; 95% CI, 1.23-1.50) compared with BUD/F. Conclusions: Adherence and treatment persistence were low in both cohorts; however, patients initiating once-daily FF/VI were more likely to be adherent, have an AMR of greater than or equal to 0.5, and were less likely to discontinue therapy compared with patients initiating twice-daily BUD/F (GlaxoSmithKline Study HO1617302/206482).","author":[{"dropping-particle":"","family":"Stanford","given":"Richard H.","non-dropping-particle":"","parse-names":false,"suffix":""},{"dropping-particle":"","family":"Averell","given":"Carlyne","non-dropping-particle":"","parse-names":false,"suffix":""},{"dropping-particle":"","family":"Parker","given":"Emily D.","non-dropping-particle":"","parse-names":false,"suffix":""},{"dropping-particle":"","family":"Blauer-Peterson","given":"Cori","non-dropping-particle":"","parse-names":false,"suffix":""},{"dropping-particle":"","family":"Reinsch","given":"Tyler K.","non-dropping-particle":"","parse-names":false,"suffix":""},{"dropping-particle":"","family":"Buikema","given":"Ami R.","non-dropping-particle":"","parse-names":false,"suffix":""}],"container-title":"Journal of Allergy and Clinical Immunology: In Practice","id":"ITEM-1","issue":"5","issued":{"date-parts":[["2019"]]},"page":"1488-1496.e7","publisher":"Elsevier Inc","title":"Assessment of Adherence and Asthma Medication Ratio for a Once-Daily and Twice-Daily Inhaled Corticosteroid/Long-Acting β-Agonist for Asthma","type":"article-journal","volume":"7"},"uris":["http://www.mendeley.com/documents/?uuid=bbb929af-5057-4e70-962a-1abd8e274446"]}],"mendeley":{"formattedCitation":"(21)","plainTextFormattedCitation":"(21)","previouslyFormattedCitation":"(21)"},"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(21)</w:t>
            </w:r>
            <w:r w:rsidRPr="00F02BC6">
              <w:rPr>
                <w:color w:val="000000"/>
                <w:sz w:val="20"/>
                <w:szCs w:val="20"/>
                <w:vertAlign w:val="superscript"/>
                <w:lang w:val="en-US"/>
              </w:rPr>
              <w:fldChar w:fldCharType="end"/>
            </w:r>
          </w:p>
        </w:tc>
        <w:tc>
          <w:tcPr>
            <w:tcW w:w="1984" w:type="dxa"/>
            <w:tcBorders>
              <w:top w:val="single" w:sz="4" w:space="0" w:color="auto"/>
            </w:tcBorders>
          </w:tcPr>
          <w:p w14:paraId="01C44D66" w14:textId="614BFB19" w:rsidR="00801304" w:rsidRPr="00F02BC6" w:rsidRDefault="004B1009" w:rsidP="00495804">
            <w:pPr>
              <w:rPr>
                <w:color w:val="000000"/>
                <w:sz w:val="20"/>
                <w:szCs w:val="20"/>
                <w:lang w:val="en-US"/>
              </w:rPr>
            </w:pPr>
            <w:r w:rsidRPr="00F02BC6">
              <w:rPr>
                <w:color w:val="000000"/>
                <w:sz w:val="20"/>
                <w:szCs w:val="20"/>
                <w:lang w:val="en-US"/>
              </w:rPr>
              <w:t>Patients with prescription of asthma medications, 18 years and older with diagnosis of asthma</w:t>
            </w:r>
          </w:p>
        </w:tc>
        <w:tc>
          <w:tcPr>
            <w:tcW w:w="1843" w:type="dxa"/>
            <w:tcBorders>
              <w:top w:val="single" w:sz="4" w:space="0" w:color="auto"/>
            </w:tcBorders>
          </w:tcPr>
          <w:p w14:paraId="62D9F946" w14:textId="77777777" w:rsidR="00801304" w:rsidRPr="00F02BC6" w:rsidRDefault="00801304" w:rsidP="00495804">
            <w:pPr>
              <w:rPr>
                <w:color w:val="000000"/>
                <w:sz w:val="20"/>
                <w:szCs w:val="20"/>
                <w:lang w:val="en-US"/>
              </w:rPr>
            </w:pPr>
            <w:r w:rsidRPr="00F02BC6">
              <w:rPr>
                <w:color w:val="000000"/>
                <w:sz w:val="20"/>
                <w:szCs w:val="20"/>
                <w:lang w:val="en-US"/>
              </w:rPr>
              <w:t>----</w:t>
            </w:r>
          </w:p>
          <w:p w14:paraId="5F3CED9D" w14:textId="77777777" w:rsidR="00801304" w:rsidRPr="00F02BC6" w:rsidRDefault="00801304" w:rsidP="00495804">
            <w:pPr>
              <w:rPr>
                <w:color w:val="000000"/>
                <w:sz w:val="20"/>
                <w:szCs w:val="20"/>
                <w:lang w:val="en-US"/>
              </w:rPr>
            </w:pPr>
          </w:p>
        </w:tc>
        <w:tc>
          <w:tcPr>
            <w:tcW w:w="2127" w:type="dxa"/>
            <w:tcBorders>
              <w:top w:val="single" w:sz="4" w:space="0" w:color="auto"/>
            </w:tcBorders>
          </w:tcPr>
          <w:p w14:paraId="3F748231" w14:textId="77777777" w:rsidR="00801304" w:rsidRPr="00F02BC6" w:rsidRDefault="00801304" w:rsidP="00495804">
            <w:pPr>
              <w:rPr>
                <w:color w:val="000000"/>
                <w:sz w:val="20"/>
                <w:szCs w:val="20"/>
                <w:lang w:val="en-US"/>
              </w:rPr>
            </w:pPr>
            <w:r w:rsidRPr="00F02BC6">
              <w:rPr>
                <w:color w:val="000000"/>
                <w:sz w:val="20"/>
                <w:szCs w:val="20"/>
                <w:lang w:val="en-US"/>
              </w:rPr>
              <w:t>PDC ≥ 80%</w:t>
            </w:r>
          </w:p>
          <w:p w14:paraId="73B369B0" w14:textId="77777777" w:rsidR="00801304" w:rsidRPr="00F02BC6" w:rsidRDefault="00801304" w:rsidP="00495804">
            <w:pPr>
              <w:rPr>
                <w:color w:val="000000"/>
                <w:sz w:val="20"/>
                <w:szCs w:val="20"/>
                <w:lang w:val="en-US"/>
              </w:rPr>
            </w:pPr>
            <w:r w:rsidRPr="00F02BC6">
              <w:rPr>
                <w:color w:val="000000"/>
                <w:sz w:val="20"/>
                <w:szCs w:val="20"/>
                <w:lang w:val="en-US"/>
              </w:rPr>
              <w:t>PDC &lt; 80%</w:t>
            </w:r>
          </w:p>
          <w:p w14:paraId="44EA879D" w14:textId="77777777" w:rsidR="00801304" w:rsidRPr="00F02BC6" w:rsidRDefault="00801304" w:rsidP="00495804">
            <w:pPr>
              <w:rPr>
                <w:color w:val="000000"/>
                <w:sz w:val="20"/>
                <w:szCs w:val="20"/>
                <w:lang w:val="en-US"/>
              </w:rPr>
            </w:pPr>
          </w:p>
          <w:p w14:paraId="7461637B" w14:textId="77777777" w:rsidR="00801304" w:rsidRPr="00F02BC6" w:rsidRDefault="00801304" w:rsidP="00495804">
            <w:pPr>
              <w:rPr>
                <w:color w:val="000000"/>
                <w:sz w:val="20"/>
                <w:szCs w:val="20"/>
                <w:lang w:val="en-US"/>
              </w:rPr>
            </w:pPr>
            <w:r w:rsidRPr="00F02BC6">
              <w:rPr>
                <w:color w:val="000000"/>
                <w:sz w:val="20"/>
                <w:szCs w:val="20"/>
                <w:lang w:val="en-US"/>
              </w:rPr>
              <w:t>AMR ≥ 50%</w:t>
            </w:r>
          </w:p>
          <w:p w14:paraId="57325088" w14:textId="77777777" w:rsidR="00801304" w:rsidRPr="00F02BC6" w:rsidRDefault="00801304" w:rsidP="00495804">
            <w:pPr>
              <w:rPr>
                <w:color w:val="000000"/>
                <w:sz w:val="20"/>
                <w:szCs w:val="20"/>
                <w:lang w:val="en-US"/>
              </w:rPr>
            </w:pPr>
            <w:r w:rsidRPr="00F02BC6">
              <w:rPr>
                <w:color w:val="000000"/>
                <w:sz w:val="20"/>
                <w:szCs w:val="20"/>
                <w:lang w:val="en-US"/>
              </w:rPr>
              <w:t>AMR &lt; 50%</w:t>
            </w:r>
          </w:p>
          <w:p w14:paraId="40484C25" w14:textId="77777777" w:rsidR="00801304" w:rsidRPr="00F02BC6" w:rsidRDefault="00801304" w:rsidP="00495804">
            <w:pPr>
              <w:rPr>
                <w:color w:val="000000"/>
                <w:sz w:val="20"/>
                <w:szCs w:val="20"/>
                <w:lang w:val="en-US"/>
              </w:rPr>
            </w:pPr>
          </w:p>
          <w:p w14:paraId="309E0002" w14:textId="77777777" w:rsidR="00801304" w:rsidRPr="00F02BC6" w:rsidRDefault="00801304" w:rsidP="00495804">
            <w:pPr>
              <w:rPr>
                <w:color w:val="000000"/>
                <w:sz w:val="20"/>
                <w:szCs w:val="20"/>
                <w:lang w:val="en-US"/>
              </w:rPr>
            </w:pPr>
          </w:p>
        </w:tc>
        <w:tc>
          <w:tcPr>
            <w:tcW w:w="2976" w:type="dxa"/>
            <w:tcBorders>
              <w:top w:val="single" w:sz="4" w:space="0" w:color="auto"/>
            </w:tcBorders>
          </w:tcPr>
          <w:p w14:paraId="38731B07" w14:textId="77777777" w:rsidR="00801304" w:rsidRPr="00F02BC6" w:rsidRDefault="00801304" w:rsidP="00495804">
            <w:pPr>
              <w:rPr>
                <w:color w:val="000000"/>
                <w:sz w:val="20"/>
                <w:szCs w:val="20"/>
                <w:lang w:val="en-US"/>
              </w:rPr>
            </w:pPr>
            <w:r w:rsidRPr="00F02BC6">
              <w:rPr>
                <w:color w:val="000000"/>
                <w:sz w:val="20"/>
                <w:szCs w:val="20"/>
                <w:lang w:val="en-US"/>
              </w:rPr>
              <w:t>Patients initiating treatment with FF/VI had 72% greater odds (</w:t>
            </w:r>
            <w:proofErr w:type="gramStart"/>
            <w:r w:rsidRPr="00F02BC6">
              <w:rPr>
                <w:color w:val="000000"/>
                <w:sz w:val="20"/>
                <w:szCs w:val="20"/>
                <w:lang w:val="en-US"/>
              </w:rPr>
              <w:t>OR;</w:t>
            </w:r>
            <w:proofErr w:type="gramEnd"/>
            <w:r w:rsidRPr="00F02BC6">
              <w:rPr>
                <w:color w:val="000000"/>
                <w:sz w:val="20"/>
                <w:szCs w:val="20"/>
                <w:lang w:val="en-US"/>
              </w:rPr>
              <w:t xml:space="preserve"> 1.72; 95% CI, 1.48-2.00;</w:t>
            </w:r>
          </w:p>
          <w:p w14:paraId="32E0AE44" w14:textId="77777777" w:rsidR="00801304" w:rsidRPr="00F02BC6" w:rsidRDefault="00801304" w:rsidP="00495804">
            <w:pPr>
              <w:rPr>
                <w:color w:val="000000"/>
                <w:sz w:val="20"/>
                <w:szCs w:val="20"/>
                <w:lang w:val="en-US"/>
              </w:rPr>
            </w:pPr>
            <w:r w:rsidRPr="00F02BC6">
              <w:rPr>
                <w:color w:val="000000"/>
                <w:sz w:val="20"/>
                <w:szCs w:val="20"/>
                <w:lang w:val="en-US"/>
              </w:rPr>
              <w:t>P &lt; .001) of achieving a PDC ≥ 0.5 and 86% greater odds of achieving a PDC ≥ 0.8 (</w:t>
            </w:r>
            <w:proofErr w:type="gramStart"/>
            <w:r w:rsidRPr="00F02BC6">
              <w:rPr>
                <w:color w:val="000000"/>
                <w:sz w:val="20"/>
                <w:szCs w:val="20"/>
                <w:lang w:val="en-US"/>
              </w:rPr>
              <w:t>OR;</w:t>
            </w:r>
            <w:proofErr w:type="gramEnd"/>
            <w:r w:rsidRPr="00F02BC6">
              <w:rPr>
                <w:color w:val="000000"/>
                <w:sz w:val="20"/>
                <w:szCs w:val="20"/>
                <w:lang w:val="en-US"/>
              </w:rPr>
              <w:t xml:space="preserve"> 1.86; 95% CI, 1.51-2.30; P &lt; .001) compared with those on BUD/F</w:t>
            </w:r>
          </w:p>
          <w:p w14:paraId="708A2E8F" w14:textId="77777777" w:rsidR="00801304" w:rsidRPr="00F02BC6" w:rsidRDefault="00801304" w:rsidP="00495804">
            <w:pPr>
              <w:rPr>
                <w:color w:val="000000"/>
                <w:sz w:val="20"/>
                <w:szCs w:val="20"/>
                <w:lang w:val="en-US"/>
              </w:rPr>
            </w:pPr>
            <w:r w:rsidRPr="00F02BC6">
              <w:rPr>
                <w:color w:val="000000"/>
                <w:sz w:val="20"/>
                <w:szCs w:val="20"/>
                <w:lang w:val="en-US"/>
              </w:rPr>
              <w:t xml:space="preserve">Patients initiating treatment with FF/VI had 26% lower risk of discontinuation (HR; </w:t>
            </w:r>
            <w:proofErr w:type="gramStart"/>
            <w:r w:rsidRPr="00F02BC6">
              <w:rPr>
                <w:color w:val="000000"/>
                <w:sz w:val="20"/>
                <w:szCs w:val="20"/>
                <w:lang w:val="en-US"/>
              </w:rPr>
              <w:t>0.74;</w:t>
            </w:r>
            <w:proofErr w:type="gramEnd"/>
          </w:p>
          <w:p w14:paraId="00290536" w14:textId="77777777" w:rsidR="00801304" w:rsidRPr="00F02BC6" w:rsidRDefault="00801304" w:rsidP="00495804">
            <w:pPr>
              <w:rPr>
                <w:color w:val="000000"/>
                <w:sz w:val="20"/>
                <w:szCs w:val="20"/>
                <w:lang w:val="en-US"/>
              </w:rPr>
            </w:pPr>
            <w:r w:rsidRPr="00F02BC6">
              <w:rPr>
                <w:color w:val="000000"/>
                <w:sz w:val="20"/>
                <w:szCs w:val="20"/>
                <w:lang w:val="en-US"/>
              </w:rPr>
              <w:t>95% CI, 0.69-0.79), and 36% greater odds of an AMR ≥0.50 (</w:t>
            </w:r>
            <w:proofErr w:type="gramStart"/>
            <w:r w:rsidRPr="00F02BC6">
              <w:rPr>
                <w:color w:val="000000"/>
                <w:sz w:val="20"/>
                <w:szCs w:val="20"/>
                <w:lang w:val="en-US"/>
              </w:rPr>
              <w:t>OR;</w:t>
            </w:r>
            <w:proofErr w:type="gramEnd"/>
            <w:r w:rsidRPr="00F02BC6">
              <w:rPr>
                <w:color w:val="000000"/>
                <w:sz w:val="20"/>
                <w:szCs w:val="20"/>
                <w:lang w:val="en-US"/>
              </w:rPr>
              <w:t xml:space="preserve"> 1.36; 95% CI, 1.23-1.50) compared with BUD/F.</w:t>
            </w:r>
          </w:p>
          <w:p w14:paraId="40B99367" w14:textId="77777777" w:rsidR="00801304" w:rsidRPr="00F02BC6" w:rsidRDefault="00801304" w:rsidP="00495804">
            <w:pPr>
              <w:rPr>
                <w:color w:val="000000"/>
                <w:sz w:val="20"/>
                <w:szCs w:val="20"/>
                <w:lang w:val="en-US"/>
              </w:rPr>
            </w:pPr>
          </w:p>
        </w:tc>
        <w:tc>
          <w:tcPr>
            <w:tcW w:w="2693" w:type="dxa"/>
            <w:tcBorders>
              <w:top w:val="single" w:sz="4" w:space="0" w:color="auto"/>
            </w:tcBorders>
          </w:tcPr>
          <w:p w14:paraId="2A58A565" w14:textId="77777777" w:rsidR="00801304" w:rsidRPr="00F02BC6" w:rsidRDefault="00801304" w:rsidP="00495804">
            <w:pPr>
              <w:rPr>
                <w:color w:val="000000"/>
                <w:sz w:val="20"/>
                <w:szCs w:val="20"/>
                <w:lang w:val="en-US"/>
              </w:rPr>
            </w:pPr>
            <w:r w:rsidRPr="00F02BC6">
              <w:rPr>
                <w:color w:val="000000"/>
                <w:sz w:val="20"/>
                <w:szCs w:val="20"/>
                <w:lang w:val="en-US"/>
              </w:rPr>
              <w:t>Propensity-score matching, logistic regression and Cox-proportional hazard models</w:t>
            </w:r>
          </w:p>
        </w:tc>
        <w:tc>
          <w:tcPr>
            <w:tcW w:w="1559" w:type="dxa"/>
            <w:gridSpan w:val="2"/>
            <w:tcBorders>
              <w:top w:val="single" w:sz="4" w:space="0" w:color="auto"/>
            </w:tcBorders>
          </w:tcPr>
          <w:p w14:paraId="25CDE6CA" w14:textId="77777777" w:rsidR="00801304" w:rsidRPr="00F02BC6" w:rsidRDefault="00801304" w:rsidP="00495804">
            <w:pPr>
              <w:rPr>
                <w:color w:val="000000"/>
                <w:sz w:val="20"/>
                <w:szCs w:val="20"/>
                <w:lang w:val="en-US"/>
              </w:rPr>
            </w:pPr>
            <w:r w:rsidRPr="00F02BC6">
              <w:rPr>
                <w:color w:val="000000"/>
                <w:sz w:val="20"/>
                <w:szCs w:val="20"/>
                <w:lang w:val="en-US"/>
              </w:rPr>
              <w:t>67.55% (estimated by PDC ≥50%)</w:t>
            </w:r>
          </w:p>
          <w:p w14:paraId="671B97B7" w14:textId="77777777" w:rsidR="00801304" w:rsidRPr="00F02BC6" w:rsidRDefault="00801304" w:rsidP="00495804">
            <w:pPr>
              <w:rPr>
                <w:color w:val="000000"/>
                <w:sz w:val="20"/>
                <w:szCs w:val="20"/>
                <w:lang w:val="en-US"/>
              </w:rPr>
            </w:pPr>
            <w:r w:rsidRPr="00F02BC6">
              <w:rPr>
                <w:color w:val="000000"/>
                <w:sz w:val="20"/>
                <w:szCs w:val="20"/>
                <w:lang w:val="en-US"/>
              </w:rPr>
              <w:t>88.23% (estimated by PDC ≥80%)</w:t>
            </w:r>
          </w:p>
          <w:p w14:paraId="28983A7F" w14:textId="77777777" w:rsidR="00801304" w:rsidRPr="00F02BC6" w:rsidRDefault="00801304" w:rsidP="00495804">
            <w:pPr>
              <w:rPr>
                <w:color w:val="000000"/>
                <w:sz w:val="20"/>
                <w:szCs w:val="20"/>
                <w:lang w:val="en-US"/>
              </w:rPr>
            </w:pPr>
            <w:r w:rsidRPr="00F02BC6">
              <w:rPr>
                <w:color w:val="000000"/>
                <w:sz w:val="20"/>
                <w:szCs w:val="20"/>
                <w:lang w:val="en-US"/>
              </w:rPr>
              <w:t xml:space="preserve">34.55% (estimated by AMR ≥50%) </w:t>
            </w:r>
          </w:p>
        </w:tc>
      </w:tr>
      <w:tr w:rsidR="00801304" w:rsidRPr="00F02BC6" w14:paraId="1479FE75" w14:textId="77777777" w:rsidTr="005F62B6">
        <w:tc>
          <w:tcPr>
            <w:tcW w:w="2219" w:type="dxa"/>
          </w:tcPr>
          <w:p w14:paraId="38793B85" w14:textId="77777777" w:rsidR="00801304" w:rsidRPr="00F02BC6" w:rsidRDefault="00801304" w:rsidP="00495804">
            <w:pPr>
              <w:rPr>
                <w:color w:val="000000"/>
                <w:sz w:val="20"/>
                <w:szCs w:val="20"/>
                <w:lang w:val="en-US"/>
              </w:rPr>
            </w:pPr>
            <w:r w:rsidRPr="00F02BC6">
              <w:rPr>
                <w:color w:val="000000"/>
                <w:sz w:val="20"/>
                <w:szCs w:val="20"/>
                <w:lang w:val="en-US"/>
              </w:rPr>
              <w:t>Stern et al</w:t>
            </w:r>
            <w:r w:rsidRPr="00F02BC6">
              <w:rPr>
                <w:color w:val="000000"/>
                <w:sz w:val="20"/>
                <w:szCs w:val="20"/>
                <w:vertAlign w:val="superscript"/>
                <w:lang w:val="en-US"/>
              </w:rPr>
              <w:t xml:space="preserve">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{"citationItems":[{"id":"ITEM-1","itemData":{"DOI":"10.1016/S1081-1206(10)60808-3","ISSN":"10811206","abstract":"Background: Compliance with asthma medications probably results in improved outcomes, but few studies have examined this relationship. Objective: To examine the association between medication compliance and exacerbation in asthmatic patients. Methods: Retrospective analysis of a managed care database. The 97,743 participants (aged 6-99 years; mean age, 32.8 years) had asthma and prescriptions for controller medications. Compliance with the index medication (the first controller medication prescribed) was measured using 2 methods: medication possession ratio (MPR), calculated for 365 days after the index date, and number of prescriptions for each index medication. Exacerbation was defined as 1 or more emergency department visits or hospitalizations within 1 year of the index date. Multivariate models were used to determine the odds of exacerbation based on relative compliance for each definition of compliance. Results: Based on the median MPR, more-compliant patients were less likely to experience exacerbation than less-compliant patients (odds ratio, 0.94; 95% confidence interval, 0.91-0.97; P &lt; .001). Using the 75th percentile MPR, risk of exacerbation was even smaller (odds ratio, 0.89; 95% confidence interval, 0.86-0.92; P &lt; .001). All the cutoff points for compliance (≥2 through ≥6 prescriptions) demonstrated significantly less exacerbations in more-compliant vs less-compliant patients after adjusting for covariates. As the criteria for compliance became more stringent, more-compliant patients became increasingly less likely to have an exacerbation vs less-compliant patients. Conclusion: More-compliant asthmatic patients were significantly less likely to experience exacerbation than less-compliant asthmatic patients. These findings demonstrate the importance of improving medication compliance among asthmatic patients to impact outcomes. Ann Allergy Asthma Immunol. 2006;97:402-408.","author":[{"dropping-particle":"","family":"Stern","given":"Lee","non-dropping-particle":"","parse-names":false,"suffix":""},{"dropping-particle":"","family":"Berman","given":"Jeff","non-dropping-particle":"","parse-names":false,"suffix":""},{"dropping-particle":"","family":"Lumry","given":"William","non-dropping-particle":"","parse-names":false,"suffix":""},{"dropping-particle":"","family":"Katz","given":"Laura","non-dropping-particle":"","parse-names":false,"suffix":""},{"dropping-particle":"","family":"Wang","given":"Lujing","non-dropping-particle":"","parse-names":false,"suffix":""},{"dropping-particle":"","family":"Rosenblatt","given":"Lisa","non-dropping-particle":"","parse-names":false,"suffix":""},{"dropping-particle":"","family":"Doyle","given":"John J.","non-dropping-particle":"","parse-names":false,"suffix":""}],"container-title":"Annals of Allergy, Asthma and Immunology","id":"ITEM-1","issue":"3","issued":{"date-parts":[["2006"]]},"page":"402-408","publisher":"American College of Allergy, Asthma &amp; Immunology","title":"Medication compliance and disease exacerbation in patients with asthma: A retrospective study of managed care data","type":"article-journal","volume":"97"},"uris":["http://www.mendeley.com/documents/?uuid=1ac10356-b92b-4945-a439-505c15bcbf6f"]}],"mendeley":{"formattedCitation":"(40)","plainTextFormattedCitation":"(40)","previouslyFormattedCitation":"(40)"},"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(40)</w:t>
            </w:r>
            <w:r w:rsidRPr="00F02BC6">
              <w:rPr>
                <w:color w:val="000000"/>
                <w:sz w:val="20"/>
                <w:szCs w:val="20"/>
                <w:vertAlign w:val="superscript"/>
                <w:lang w:val="en-US"/>
              </w:rPr>
              <w:fldChar w:fldCharType="end"/>
            </w:r>
          </w:p>
        </w:tc>
        <w:tc>
          <w:tcPr>
            <w:tcW w:w="1984" w:type="dxa"/>
          </w:tcPr>
          <w:p w14:paraId="1DED3669" w14:textId="6B0619F4" w:rsidR="00801304" w:rsidRPr="00F02BC6" w:rsidRDefault="007F5915" w:rsidP="00495804">
            <w:pPr>
              <w:rPr>
                <w:color w:val="000000"/>
                <w:sz w:val="20"/>
                <w:szCs w:val="20"/>
                <w:lang w:val="en-US"/>
              </w:rPr>
            </w:pPr>
            <w:r w:rsidRPr="00F02BC6">
              <w:rPr>
                <w:color w:val="000000"/>
                <w:sz w:val="20"/>
                <w:szCs w:val="20"/>
                <w:lang w:val="en-US"/>
              </w:rPr>
              <w:t>Patients identified with asthma diagnosis (ICD-</w:t>
            </w:r>
            <w:r w:rsidR="00F4111C" w:rsidRPr="00F02BC6">
              <w:rPr>
                <w:color w:val="000000"/>
                <w:sz w:val="20"/>
                <w:szCs w:val="20"/>
                <w:lang w:val="en-US"/>
              </w:rPr>
              <w:t>9: 493.xx and with at least one prescription of asthma medication</w:t>
            </w:r>
          </w:p>
        </w:tc>
        <w:tc>
          <w:tcPr>
            <w:tcW w:w="1843" w:type="dxa"/>
          </w:tcPr>
          <w:p w14:paraId="304D0C7F" w14:textId="77777777" w:rsidR="00801304" w:rsidRPr="00F02BC6" w:rsidRDefault="00801304" w:rsidP="00495804">
            <w:pPr>
              <w:rPr>
                <w:color w:val="000000"/>
                <w:sz w:val="20"/>
                <w:szCs w:val="20"/>
                <w:lang w:val="en-US"/>
              </w:rPr>
            </w:pPr>
            <w:r w:rsidRPr="00F02BC6">
              <w:rPr>
                <w:color w:val="000000"/>
                <w:sz w:val="20"/>
                <w:szCs w:val="20"/>
                <w:lang w:val="en-US"/>
              </w:rPr>
              <w:t>MPR 0.24 ±0.25</w:t>
            </w:r>
          </w:p>
          <w:p w14:paraId="16E54060" w14:textId="77777777" w:rsidR="00801304" w:rsidRPr="00F02BC6" w:rsidRDefault="00801304" w:rsidP="00495804">
            <w:pPr>
              <w:rPr>
                <w:color w:val="000000"/>
                <w:sz w:val="20"/>
                <w:szCs w:val="20"/>
                <w:lang w:val="en-US"/>
              </w:rPr>
            </w:pPr>
          </w:p>
        </w:tc>
        <w:tc>
          <w:tcPr>
            <w:tcW w:w="2127" w:type="dxa"/>
          </w:tcPr>
          <w:p w14:paraId="73E36D5A" w14:textId="77777777" w:rsidR="00801304" w:rsidRPr="00F02BC6" w:rsidRDefault="00801304" w:rsidP="00495804">
            <w:pPr>
              <w:rPr>
                <w:color w:val="000000"/>
                <w:sz w:val="20"/>
                <w:szCs w:val="20"/>
                <w:lang w:val="en-US"/>
              </w:rPr>
            </w:pPr>
            <w:r w:rsidRPr="00F02BC6">
              <w:rPr>
                <w:color w:val="000000"/>
                <w:sz w:val="20"/>
                <w:szCs w:val="20"/>
                <w:lang w:val="en-US"/>
              </w:rPr>
              <w:t>&lt; Median cut off point ≥ Median cut off point</w:t>
            </w:r>
          </w:p>
          <w:p w14:paraId="76E704A9" w14:textId="77777777" w:rsidR="00801304" w:rsidRPr="00F02BC6" w:rsidRDefault="00801304" w:rsidP="00495804">
            <w:pPr>
              <w:rPr>
                <w:color w:val="000000"/>
                <w:sz w:val="20"/>
                <w:szCs w:val="20"/>
                <w:lang w:val="en-US"/>
              </w:rPr>
            </w:pPr>
            <w:r w:rsidRPr="00F02BC6">
              <w:rPr>
                <w:color w:val="000000"/>
                <w:sz w:val="20"/>
                <w:szCs w:val="20"/>
                <w:lang w:val="en-US"/>
              </w:rPr>
              <w:t>≥ 75% cut off point</w:t>
            </w:r>
          </w:p>
          <w:p w14:paraId="17AAC80D" w14:textId="77777777" w:rsidR="00801304" w:rsidRPr="00F02BC6" w:rsidRDefault="00801304" w:rsidP="00495804">
            <w:pPr>
              <w:rPr>
                <w:color w:val="000000"/>
                <w:sz w:val="20"/>
                <w:szCs w:val="20"/>
                <w:lang w:val="en-US"/>
              </w:rPr>
            </w:pPr>
            <w:r w:rsidRPr="00F02BC6">
              <w:rPr>
                <w:color w:val="000000"/>
                <w:sz w:val="20"/>
                <w:szCs w:val="20"/>
                <w:lang w:val="en-US"/>
              </w:rPr>
              <w:t>&lt; 75% cut off point</w:t>
            </w:r>
          </w:p>
        </w:tc>
        <w:tc>
          <w:tcPr>
            <w:tcW w:w="2976" w:type="dxa"/>
          </w:tcPr>
          <w:p w14:paraId="0DC9498E" w14:textId="77777777" w:rsidR="00801304" w:rsidRPr="00F02BC6" w:rsidRDefault="00801304" w:rsidP="00495804">
            <w:pPr>
              <w:rPr>
                <w:color w:val="000000"/>
                <w:sz w:val="20"/>
                <w:szCs w:val="20"/>
                <w:lang w:val="en-US"/>
              </w:rPr>
            </w:pPr>
            <w:r w:rsidRPr="00F02BC6">
              <w:rPr>
                <w:b/>
                <w:color w:val="000000"/>
                <w:sz w:val="20"/>
                <w:szCs w:val="20"/>
                <w:u w:val="single"/>
                <w:lang w:val="en-US"/>
              </w:rPr>
              <w:t>Median MPR:</w:t>
            </w:r>
            <w:r w:rsidRPr="00F02BC6">
              <w:rPr>
                <w:color w:val="000000"/>
                <w:sz w:val="20"/>
                <w:szCs w:val="20"/>
                <w:lang w:val="en-US"/>
              </w:rPr>
              <w:t xml:space="preserve"> Compliant vs less complaint patients (</w:t>
            </w:r>
            <w:proofErr w:type="gramStart"/>
            <w:r w:rsidRPr="00F02BC6">
              <w:rPr>
                <w:color w:val="000000"/>
                <w:sz w:val="20"/>
                <w:szCs w:val="20"/>
                <w:lang w:val="en-US"/>
              </w:rPr>
              <w:t>OR;</w:t>
            </w:r>
            <w:proofErr w:type="gramEnd"/>
            <w:r w:rsidRPr="00F02BC6">
              <w:rPr>
                <w:color w:val="000000"/>
                <w:sz w:val="20"/>
                <w:szCs w:val="20"/>
                <w:lang w:val="en-US"/>
              </w:rPr>
              <w:t xml:space="preserve"> 0.94; 95% CI, 0.91– 0.97; </w:t>
            </w:r>
            <w:r w:rsidRPr="00F02BC6">
              <w:rPr>
                <w:i/>
                <w:iCs/>
                <w:color w:val="000000"/>
                <w:sz w:val="20"/>
                <w:szCs w:val="20"/>
                <w:lang w:val="en-US"/>
              </w:rPr>
              <w:t>p=</w:t>
            </w:r>
            <w:r w:rsidRPr="00F02BC6">
              <w:rPr>
                <w:color w:val="000000"/>
                <w:sz w:val="20"/>
                <w:szCs w:val="20"/>
                <w:lang w:val="en-US"/>
              </w:rPr>
              <w:t xml:space="preserve">0.001) for risk of exacerbation. </w:t>
            </w:r>
          </w:p>
          <w:p w14:paraId="7E179437" w14:textId="77777777" w:rsidR="00801304" w:rsidRPr="00F02BC6" w:rsidRDefault="00801304" w:rsidP="00495804">
            <w:pPr>
              <w:rPr>
                <w:color w:val="000000"/>
                <w:sz w:val="20"/>
                <w:szCs w:val="20"/>
                <w:lang w:val="en-US"/>
              </w:rPr>
            </w:pPr>
            <w:r w:rsidRPr="00F02BC6">
              <w:rPr>
                <w:b/>
                <w:color w:val="000000"/>
                <w:sz w:val="20"/>
                <w:szCs w:val="20"/>
                <w:u w:val="single"/>
                <w:lang w:val="en-US"/>
              </w:rPr>
              <w:t>75% MPR cut off:</w:t>
            </w:r>
            <w:r w:rsidRPr="00F02BC6">
              <w:rPr>
                <w:color w:val="000000"/>
                <w:sz w:val="20"/>
                <w:szCs w:val="20"/>
                <w:lang w:val="en-US"/>
              </w:rPr>
              <w:t xml:space="preserve"> Risk of exacerbation was further reduced (OR, 0.89; 95% CI, 0.86–0.92; 20.0% vs 21.8%; </w:t>
            </w:r>
            <w:r w:rsidRPr="00F02BC6">
              <w:rPr>
                <w:i/>
                <w:color w:val="000000"/>
                <w:sz w:val="20"/>
                <w:szCs w:val="20"/>
                <w:lang w:val="en-US"/>
              </w:rPr>
              <w:t>p</w:t>
            </w:r>
            <w:r w:rsidRPr="00F02BC6">
              <w:rPr>
                <w:i/>
                <w:iCs/>
                <w:color w:val="000000"/>
                <w:sz w:val="20"/>
                <w:szCs w:val="20"/>
                <w:lang w:val="en-US"/>
              </w:rPr>
              <w:t xml:space="preserve">= </w:t>
            </w:r>
            <w:r w:rsidRPr="00F02BC6">
              <w:rPr>
                <w:color w:val="000000"/>
                <w:sz w:val="20"/>
                <w:szCs w:val="20"/>
                <w:lang w:val="en-US"/>
              </w:rPr>
              <w:t>0.001)</w:t>
            </w:r>
          </w:p>
          <w:p w14:paraId="699DF4B2" w14:textId="77777777" w:rsidR="00801304" w:rsidRPr="00F02BC6" w:rsidRDefault="00801304" w:rsidP="00495804">
            <w:pPr>
              <w:rPr>
                <w:color w:val="000000"/>
                <w:sz w:val="20"/>
                <w:szCs w:val="20"/>
                <w:lang w:val="en-US"/>
              </w:rPr>
            </w:pPr>
            <w:r w:rsidRPr="00F02BC6">
              <w:rPr>
                <w:b/>
                <w:color w:val="000000"/>
                <w:sz w:val="20"/>
                <w:szCs w:val="20"/>
                <w:u w:val="single"/>
                <w:lang w:val="en-US"/>
              </w:rPr>
              <w:t>All cut offs:</w:t>
            </w:r>
            <w:r w:rsidRPr="00F02BC6">
              <w:rPr>
                <w:color w:val="000000"/>
                <w:sz w:val="20"/>
                <w:szCs w:val="20"/>
                <w:lang w:val="en-US"/>
              </w:rPr>
              <w:t xml:space="preserve"> Compliance showed significantly less exacerbations in compliant vs non-compliant</w:t>
            </w:r>
          </w:p>
          <w:p w14:paraId="6BC12E19" w14:textId="77777777" w:rsidR="00801304" w:rsidRPr="00F02BC6" w:rsidRDefault="00801304" w:rsidP="00495804">
            <w:pPr>
              <w:rPr>
                <w:color w:val="000000"/>
                <w:sz w:val="20"/>
                <w:szCs w:val="20"/>
                <w:lang w:val="en-US"/>
              </w:rPr>
            </w:pPr>
          </w:p>
        </w:tc>
        <w:tc>
          <w:tcPr>
            <w:tcW w:w="2693" w:type="dxa"/>
          </w:tcPr>
          <w:p w14:paraId="6D126253" w14:textId="77777777" w:rsidR="00801304" w:rsidRPr="00F02BC6" w:rsidRDefault="00801304" w:rsidP="00495804">
            <w:pPr>
              <w:rPr>
                <w:color w:val="000000"/>
                <w:sz w:val="20"/>
                <w:szCs w:val="20"/>
                <w:lang w:val="en-US"/>
              </w:rPr>
            </w:pPr>
            <w:r w:rsidRPr="00F02BC6">
              <w:rPr>
                <w:color w:val="000000"/>
                <w:sz w:val="20"/>
                <w:szCs w:val="20"/>
                <w:lang w:val="en-US"/>
              </w:rPr>
              <w:t>Multivariate logistic regression analysis</w:t>
            </w:r>
          </w:p>
        </w:tc>
        <w:tc>
          <w:tcPr>
            <w:tcW w:w="1559" w:type="dxa"/>
            <w:gridSpan w:val="2"/>
          </w:tcPr>
          <w:p w14:paraId="7553040F" w14:textId="77777777" w:rsidR="00801304" w:rsidRPr="00F02BC6" w:rsidRDefault="00801304" w:rsidP="00495804">
            <w:pPr>
              <w:rPr>
                <w:color w:val="000000"/>
                <w:sz w:val="20"/>
                <w:szCs w:val="20"/>
                <w:lang w:val="en-US"/>
              </w:rPr>
            </w:pPr>
            <w:r w:rsidRPr="00F02BC6">
              <w:rPr>
                <w:color w:val="000000"/>
                <w:sz w:val="20"/>
                <w:szCs w:val="20"/>
                <w:lang w:val="en-US"/>
              </w:rPr>
              <w:t>49.1% (using median cut off point)</w:t>
            </w:r>
          </w:p>
          <w:p w14:paraId="0CCFA1AC" w14:textId="77777777" w:rsidR="00801304" w:rsidRPr="00F02BC6" w:rsidRDefault="00801304" w:rsidP="00495804">
            <w:pPr>
              <w:rPr>
                <w:color w:val="000000"/>
                <w:sz w:val="20"/>
                <w:szCs w:val="20"/>
                <w:lang w:val="en-US"/>
              </w:rPr>
            </w:pPr>
            <w:r w:rsidRPr="00F02BC6">
              <w:rPr>
                <w:color w:val="000000"/>
                <w:sz w:val="20"/>
                <w:szCs w:val="20"/>
                <w:lang w:val="en-US"/>
              </w:rPr>
              <w:t>74.9% (using median cut off point)</w:t>
            </w:r>
          </w:p>
        </w:tc>
      </w:tr>
      <w:tr w:rsidR="00801304" w:rsidRPr="00F02BC6" w14:paraId="02D250FD" w14:textId="77777777" w:rsidTr="005F62B6">
        <w:tc>
          <w:tcPr>
            <w:tcW w:w="2219" w:type="dxa"/>
          </w:tcPr>
          <w:p w14:paraId="2723801C" w14:textId="77777777" w:rsidR="00801304" w:rsidRPr="00F02BC6" w:rsidRDefault="00801304" w:rsidP="00495804">
            <w:pPr>
              <w:rPr>
                <w:color w:val="000000"/>
                <w:sz w:val="20"/>
                <w:szCs w:val="20"/>
                <w:lang w:val="en-US"/>
              </w:rPr>
            </w:pPr>
            <w:proofErr w:type="spellStart"/>
            <w:r w:rsidRPr="00F02BC6">
              <w:rPr>
                <w:color w:val="000000"/>
                <w:sz w:val="20"/>
                <w:szCs w:val="20"/>
                <w:lang w:val="en-US"/>
              </w:rPr>
              <w:t>Svedsater</w:t>
            </w:r>
            <w:proofErr w:type="spellEnd"/>
            <w:r w:rsidRPr="00F02BC6">
              <w:rPr>
                <w:color w:val="000000"/>
                <w:sz w:val="20"/>
                <w:szCs w:val="20"/>
                <w:lang w:val="en-US"/>
              </w:rPr>
              <w:t xml:space="preserve"> et al</w:t>
            </w:r>
            <w:r w:rsidRPr="00F02BC6">
              <w:rPr>
                <w:color w:val="000000"/>
                <w:sz w:val="20"/>
                <w:szCs w:val="20"/>
                <w:vertAlign w:val="superscript"/>
                <w:lang w:val="en-US"/>
              </w:rPr>
              <w:t xml:space="preserve">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10.1300/J123v52n03_16","ISSN":"0361526X","author":[{"dropping-particle":"","family":"Svedsater","given":"H","non-dropping-particle":"","parse-names":false,"suffix":""},{"dropping-particle":"","family":"Parimi","given":"M","non-dropping-particle":"","parse-names":false,"suffix":""},{"dropping-particle":"","family":"Ann","given":"Q","non-dropping-particle":"","parse-names":false,"suffix":""},{"dropping-particle":"","family":"Gray","given":"CM","non-dropping-particle":"","parse-names":false,"suffix":""},{"dropping-particle":"","family":"Nixon","given":"M","non-dropping-particle":"","parse-names":false,"suffix":""},{"dropping-particle":"","family":"Boxall","given":"N","non-dropping-particle":"","parse-names":false,"suffix":""}],"container-title":"Thorax-2019-BTSabstracts2019.372","id":"ITEM-1","issue":"Suppl 2","issued":{"date-parts":[["2019"]]},"page":"A1-A262","title":"A retrospective database study of persistence abd adherence in patients with asthma in the UK (UK-THIN): Fluticasone furoate/Vilanterol (FF/ VI) versus Beclometasone Dipropionate/Formoterol (BDP/FM)","type":"paper-conference","volume":"74"},"uris":["http://www.mendeley.com/documents/?uuid=e2c23895-c37c-4870-b11f-fe014a1ac10c"]}],"mendeley":{"formattedCitation":"(42)","plainTextFormattedCitation":"(42)","previouslyFormattedCitation":"(42)"},"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(42)</w:t>
            </w:r>
            <w:r w:rsidRPr="00F02BC6">
              <w:rPr>
                <w:color w:val="000000"/>
                <w:sz w:val="20"/>
                <w:szCs w:val="20"/>
                <w:vertAlign w:val="superscript"/>
                <w:lang w:val="en-US"/>
              </w:rPr>
              <w:fldChar w:fldCharType="end"/>
            </w:r>
          </w:p>
        </w:tc>
        <w:tc>
          <w:tcPr>
            <w:tcW w:w="1984" w:type="dxa"/>
          </w:tcPr>
          <w:p w14:paraId="17F66F17" w14:textId="1F10EC68" w:rsidR="00801304" w:rsidRPr="00F02BC6" w:rsidRDefault="00C64D8C" w:rsidP="00495804">
            <w:pPr>
              <w:rPr>
                <w:color w:val="000000"/>
                <w:sz w:val="20"/>
                <w:szCs w:val="20"/>
                <w:lang w:val="en-US"/>
              </w:rPr>
            </w:pPr>
            <w:r w:rsidRPr="00F02BC6">
              <w:rPr>
                <w:color w:val="000000"/>
                <w:sz w:val="20"/>
                <w:szCs w:val="20"/>
                <w:lang w:val="en-US"/>
              </w:rPr>
              <w:t>Patients with records of prescription of any ICS/LABA with physician diagnosis of asthma using ICD codes.</w:t>
            </w:r>
          </w:p>
        </w:tc>
        <w:tc>
          <w:tcPr>
            <w:tcW w:w="1843" w:type="dxa"/>
          </w:tcPr>
          <w:p w14:paraId="641092AE" w14:textId="77777777" w:rsidR="00801304" w:rsidRPr="00F02BC6" w:rsidRDefault="00801304" w:rsidP="00495804">
            <w:pPr>
              <w:rPr>
                <w:color w:val="000000"/>
                <w:sz w:val="20"/>
                <w:szCs w:val="20"/>
                <w:lang w:val="en-US"/>
              </w:rPr>
            </w:pPr>
            <w:r w:rsidRPr="00F02BC6">
              <w:rPr>
                <w:color w:val="000000"/>
                <w:sz w:val="20"/>
                <w:szCs w:val="20"/>
                <w:lang w:val="en-US"/>
              </w:rPr>
              <w:t>----</w:t>
            </w:r>
          </w:p>
        </w:tc>
        <w:tc>
          <w:tcPr>
            <w:tcW w:w="2127" w:type="dxa"/>
          </w:tcPr>
          <w:p w14:paraId="6AD8086E" w14:textId="77777777" w:rsidR="00801304" w:rsidRPr="00F02BC6" w:rsidRDefault="00801304" w:rsidP="00495804">
            <w:pPr>
              <w:rPr>
                <w:color w:val="000000"/>
                <w:sz w:val="20"/>
                <w:szCs w:val="20"/>
                <w:lang w:val="en-US"/>
              </w:rPr>
            </w:pPr>
            <w:r w:rsidRPr="00F02BC6">
              <w:rPr>
                <w:color w:val="000000"/>
                <w:sz w:val="20"/>
                <w:szCs w:val="20"/>
                <w:lang w:val="en-US"/>
              </w:rPr>
              <w:t>PDC ≥50%</w:t>
            </w:r>
          </w:p>
          <w:p w14:paraId="7CC86163" w14:textId="77777777" w:rsidR="00801304" w:rsidRPr="00F02BC6" w:rsidRDefault="00801304" w:rsidP="00495804">
            <w:pPr>
              <w:rPr>
                <w:color w:val="000000"/>
                <w:sz w:val="20"/>
                <w:szCs w:val="20"/>
                <w:lang w:val="en-US"/>
              </w:rPr>
            </w:pPr>
            <w:r w:rsidRPr="00F02BC6">
              <w:rPr>
                <w:color w:val="000000"/>
                <w:sz w:val="20"/>
                <w:szCs w:val="20"/>
                <w:lang w:val="en-US"/>
              </w:rPr>
              <w:t>PDC ≥ 80%</w:t>
            </w:r>
          </w:p>
        </w:tc>
        <w:tc>
          <w:tcPr>
            <w:tcW w:w="2976" w:type="dxa"/>
          </w:tcPr>
          <w:p w14:paraId="2E4D15DE" w14:textId="77777777" w:rsidR="00801304" w:rsidRPr="00F02BC6" w:rsidRDefault="00801304" w:rsidP="00495804">
            <w:pPr>
              <w:rPr>
                <w:color w:val="000000"/>
                <w:sz w:val="20"/>
                <w:szCs w:val="20"/>
                <w:lang w:val="en-US"/>
              </w:rPr>
            </w:pPr>
            <w:r w:rsidRPr="00F02BC6">
              <w:rPr>
                <w:color w:val="000000"/>
                <w:sz w:val="20"/>
                <w:szCs w:val="20"/>
                <w:lang w:val="en-US"/>
              </w:rPr>
              <w:t>Medication Adherence by PDC</w:t>
            </w:r>
          </w:p>
          <w:p w14:paraId="5E4CA5B6" w14:textId="77777777" w:rsidR="00801304" w:rsidRPr="00F02BC6" w:rsidRDefault="00801304" w:rsidP="00495804">
            <w:pPr>
              <w:rPr>
                <w:color w:val="000000"/>
                <w:sz w:val="20"/>
                <w:szCs w:val="20"/>
                <w:lang w:val="en-US"/>
              </w:rPr>
            </w:pPr>
            <w:r w:rsidRPr="00F02BC6">
              <w:rPr>
                <w:color w:val="000000"/>
                <w:sz w:val="20"/>
                <w:szCs w:val="20"/>
                <w:lang w:val="en-US"/>
              </w:rPr>
              <w:t>Persistence of ICS/LABAs</w:t>
            </w:r>
          </w:p>
          <w:p w14:paraId="3D7E1C92" w14:textId="77777777" w:rsidR="00801304" w:rsidRPr="00F02BC6" w:rsidRDefault="00801304" w:rsidP="00495804">
            <w:pPr>
              <w:rPr>
                <w:color w:val="000000"/>
                <w:sz w:val="20"/>
                <w:szCs w:val="20"/>
                <w:lang w:val="en-US"/>
              </w:rPr>
            </w:pPr>
            <w:r w:rsidRPr="00F02BC6">
              <w:rPr>
                <w:color w:val="000000"/>
                <w:sz w:val="20"/>
                <w:szCs w:val="20"/>
                <w:lang w:val="en-US"/>
              </w:rPr>
              <w:t>Median PDC was 89.2</w:t>
            </w:r>
          </w:p>
          <w:p w14:paraId="2A1AE4A2" w14:textId="77777777" w:rsidR="00801304" w:rsidRPr="00F02BC6" w:rsidRDefault="00801304" w:rsidP="00495804">
            <w:pPr>
              <w:rPr>
                <w:color w:val="000000"/>
                <w:sz w:val="20"/>
                <w:szCs w:val="20"/>
                <w:lang w:val="en-US"/>
              </w:rPr>
            </w:pPr>
            <w:r w:rsidRPr="00F02BC6">
              <w:rPr>
                <w:color w:val="000000"/>
                <w:sz w:val="20"/>
                <w:szCs w:val="20"/>
                <w:lang w:val="en-US"/>
              </w:rPr>
              <w:t>(61.6–100.0) for FF/VI and 75.9</w:t>
            </w:r>
          </w:p>
          <w:p w14:paraId="64C1DB4A" w14:textId="77777777" w:rsidR="00801304" w:rsidRPr="00F02BC6" w:rsidRDefault="00801304" w:rsidP="00495804">
            <w:pPr>
              <w:rPr>
                <w:color w:val="000000"/>
                <w:sz w:val="20"/>
                <w:szCs w:val="20"/>
                <w:lang w:val="en-US"/>
              </w:rPr>
            </w:pPr>
            <w:r w:rsidRPr="00F02BC6">
              <w:rPr>
                <w:color w:val="000000"/>
                <w:sz w:val="20"/>
                <w:szCs w:val="20"/>
                <w:lang w:val="en-US"/>
              </w:rPr>
              <w:t>(50.5–98.0) for BDP/FM (p&lt;0.0001), with significantly higher odds of achieving _50% and _80% PDC for FF/VI versus</w:t>
            </w:r>
          </w:p>
          <w:p w14:paraId="7C0687D0" w14:textId="77777777" w:rsidR="00801304" w:rsidRPr="00F02BC6" w:rsidRDefault="00801304" w:rsidP="00495804">
            <w:pPr>
              <w:rPr>
                <w:color w:val="000000"/>
                <w:sz w:val="20"/>
                <w:szCs w:val="20"/>
                <w:lang w:val="en-US"/>
              </w:rPr>
            </w:pPr>
            <w:r w:rsidRPr="00F02BC6">
              <w:rPr>
                <w:color w:val="000000"/>
                <w:sz w:val="20"/>
                <w:szCs w:val="20"/>
                <w:lang w:val="en-US"/>
              </w:rPr>
              <w:t>BDP/FM (747/893 [83.7%] vs 2600/3433 [75.7%]; odds</w:t>
            </w:r>
          </w:p>
          <w:p w14:paraId="21951FEA" w14:textId="77777777" w:rsidR="00801304" w:rsidRPr="00F02BC6" w:rsidRDefault="00801304" w:rsidP="00495804">
            <w:pPr>
              <w:rPr>
                <w:color w:val="000000"/>
                <w:sz w:val="20"/>
                <w:szCs w:val="20"/>
                <w:lang w:val="en-US"/>
              </w:rPr>
            </w:pPr>
            <w:r w:rsidRPr="00F02BC6">
              <w:rPr>
                <w:color w:val="000000"/>
                <w:sz w:val="20"/>
                <w:szCs w:val="20"/>
                <w:lang w:val="en-US"/>
              </w:rPr>
              <w:t>ratio=1.50; 95% CI 1.23–1.83; p&lt;0.001 and 526/893</w:t>
            </w:r>
          </w:p>
          <w:p w14:paraId="70F61677" w14:textId="77777777" w:rsidR="00801304" w:rsidRPr="00F02BC6" w:rsidRDefault="00801304" w:rsidP="00495804">
            <w:pPr>
              <w:rPr>
                <w:color w:val="000000"/>
                <w:sz w:val="20"/>
                <w:szCs w:val="20"/>
                <w:lang w:val="en-US"/>
              </w:rPr>
            </w:pPr>
            <w:r w:rsidRPr="00F02BC6">
              <w:rPr>
                <w:color w:val="000000"/>
                <w:sz w:val="20"/>
                <w:szCs w:val="20"/>
                <w:lang w:val="en-US"/>
              </w:rPr>
              <w:t>[58.9%] vs 1571/3433 [45.8%]; odds ratio=1.57; 95% CI</w:t>
            </w:r>
          </w:p>
          <w:p w14:paraId="2BC8D7DB" w14:textId="77777777" w:rsidR="00801304" w:rsidRPr="00F02BC6" w:rsidRDefault="00801304" w:rsidP="00495804">
            <w:pPr>
              <w:rPr>
                <w:color w:val="000000"/>
                <w:sz w:val="20"/>
                <w:szCs w:val="20"/>
                <w:lang w:val="en-US"/>
              </w:rPr>
            </w:pPr>
            <w:r w:rsidRPr="00F02BC6">
              <w:rPr>
                <w:color w:val="000000"/>
                <w:sz w:val="20"/>
                <w:szCs w:val="20"/>
                <w:lang w:val="en-US"/>
              </w:rPr>
              <w:t>1.35–1.83; p&lt;0.001, respectively; per-protocol analyses)</w:t>
            </w:r>
          </w:p>
          <w:p w14:paraId="530DB384" w14:textId="77777777" w:rsidR="00801304" w:rsidRPr="00F02BC6" w:rsidRDefault="00801304" w:rsidP="00495804">
            <w:pPr>
              <w:rPr>
                <w:color w:val="000000"/>
                <w:sz w:val="20"/>
                <w:szCs w:val="20"/>
                <w:lang w:val="en-US"/>
              </w:rPr>
            </w:pPr>
          </w:p>
          <w:p w14:paraId="4FACA951" w14:textId="77777777" w:rsidR="00801304" w:rsidRPr="00F02BC6" w:rsidRDefault="00801304" w:rsidP="00495804">
            <w:pPr>
              <w:rPr>
                <w:color w:val="000000"/>
                <w:sz w:val="20"/>
                <w:szCs w:val="20"/>
                <w:lang w:val="en-US"/>
              </w:rPr>
            </w:pPr>
          </w:p>
        </w:tc>
        <w:tc>
          <w:tcPr>
            <w:tcW w:w="2693" w:type="dxa"/>
          </w:tcPr>
          <w:p w14:paraId="2DE86484" w14:textId="77777777" w:rsidR="00801304" w:rsidRPr="00F02BC6" w:rsidRDefault="00801304" w:rsidP="00495804">
            <w:pPr>
              <w:rPr>
                <w:color w:val="000000"/>
                <w:sz w:val="20"/>
                <w:szCs w:val="20"/>
                <w:lang w:val="en-US"/>
              </w:rPr>
            </w:pPr>
            <w:r w:rsidRPr="00F02BC6">
              <w:rPr>
                <w:color w:val="000000"/>
                <w:sz w:val="20"/>
                <w:szCs w:val="20"/>
                <w:lang w:val="en-US"/>
              </w:rPr>
              <w:t>Multivariate logistic regression, Cox-proportional hazard models</w:t>
            </w:r>
          </w:p>
        </w:tc>
        <w:tc>
          <w:tcPr>
            <w:tcW w:w="1559" w:type="dxa"/>
            <w:gridSpan w:val="2"/>
          </w:tcPr>
          <w:p w14:paraId="4764D87F" w14:textId="77777777" w:rsidR="00801304" w:rsidRPr="00F02BC6" w:rsidRDefault="00801304" w:rsidP="00495804">
            <w:pPr>
              <w:rPr>
                <w:color w:val="000000"/>
                <w:sz w:val="20"/>
                <w:szCs w:val="20"/>
                <w:lang w:val="en-US"/>
              </w:rPr>
            </w:pPr>
          </w:p>
        </w:tc>
      </w:tr>
      <w:tr w:rsidR="00801304" w:rsidRPr="00F02BC6" w14:paraId="3A4F3858" w14:textId="77777777" w:rsidTr="005F62B6">
        <w:tc>
          <w:tcPr>
            <w:tcW w:w="2219" w:type="dxa"/>
          </w:tcPr>
          <w:p w14:paraId="5979AD03" w14:textId="77777777" w:rsidR="00801304" w:rsidRPr="00F02BC6" w:rsidRDefault="00801304" w:rsidP="00495804">
            <w:pPr>
              <w:rPr>
                <w:color w:val="000000"/>
                <w:sz w:val="20"/>
                <w:szCs w:val="20"/>
                <w:lang w:val="en-US"/>
              </w:rPr>
            </w:pPr>
            <w:r w:rsidRPr="00F02BC6">
              <w:rPr>
                <w:color w:val="000000"/>
                <w:sz w:val="20"/>
                <w:szCs w:val="20"/>
                <w:lang w:val="en-US"/>
              </w:rPr>
              <w:t xml:space="preserve">Taylor et al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{"citationItems":[{"id":"ITEM-1","itemData":{"DOI":"10.1007/s11096-013-9862-0","ISSN":"22107703","abstract":"Background: Poor adherence to inhaled corticosteroids (ICS) is known as the main cause for therapeutic failure in asthma treatment and associated morbidity. To improve adherence, targetted and effective interventions need to be developed ideally based on using longitudinal follow-up of a large study cohort to establish patterns and influences on adherence. Objective: To develop an annual measure of asthma patients' adherence to ICS using primary care prescribing data over consecutive annual intervals, and to statistically model ICS adherence controlling for a range of patient factors. Setting: A retrospective cohort study between 1997 and 2010 using United Kingdom general practice prescribing data on asthma patients aged between 12 and 65 years, without a diagnosis of chronic obstructive pulmonary disease. Method: Patient's ICS prescriptions are used to calculate the 'number of days prescribed during calendar year' divided by 'number of days in the interval' to form an annual prescription possession ratio (PPR) for each patient. Several definitions of PPR are considered and compared when calculating numerator and denominator. Adherence, measured by the preferred PPR, is then modelled to estimate the effect of asthma exacerbation, severity, control and other patient factors on adherence. Main outcome measure: PPR, being a proxy measure for adherence. Results: Annual PPR by all strategies gave a similar frequency profile. ICS were either overor under-prescribed for over half of the follow-up time. Adherence was lower in younger patients, those newer to the study timeframe, those with less severe asthma, those with good control, with lower previous adherence, and who had not previously experienced an exacerbation. Conclusion: The chosen PPR simulated clinical use of ICS most closely; including overlapping days, excess days passed to the next interval, considering gaps in the denominator, with censoring at 100%. The PPR is a useful measure for signalling or measuring adherence changes over time. The modelling results identified many characteristics which would indicate which asthma patients and at what points in their treatment cycle they would be at increased risk of low adherence. © The Author(s) 2013.","author":[{"dropping-particle":"","family":"Taylor","given":"Amelia","non-dropping-particle":"","parse-names":false,"suffix":""},{"dropping-particle":"","family":"Chen","given":"Li Chia","non-dropping-particle":"","parse-names":false,"suffix":""},{"dropping-particle":"","family":"Smith","given":"Murray D.","non-dropping-particle":"","parse-names":false,"suffix":""}],"container-title":"International Journal of Clinical Pharmacy","id":"ITEM-1","issue":"1","issued":{"date-parts":[["2014"]]},"page":"112-119","title":"Adherence to inhaled corticosteroids by asthmatic patients: Measurement and modelling","type":"article-journal","volume":"36"},"uris":["http://www.mendeley.com/documents/?uuid=df4d6548-2728-42e1-b336-88e4c5626164"]}],"mendeley":{"formattedCitation":"(41)","plainTextFormattedCitation":"(41)","previouslyFormattedCitation":"(41)"},"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(41)</w:t>
            </w:r>
            <w:r w:rsidRPr="00F02BC6">
              <w:rPr>
                <w:color w:val="000000"/>
                <w:sz w:val="20"/>
                <w:szCs w:val="20"/>
                <w:vertAlign w:val="superscript"/>
                <w:lang w:val="en-US"/>
              </w:rPr>
              <w:fldChar w:fldCharType="end"/>
            </w:r>
          </w:p>
        </w:tc>
        <w:tc>
          <w:tcPr>
            <w:tcW w:w="1984" w:type="dxa"/>
          </w:tcPr>
          <w:p w14:paraId="2BEF214A" w14:textId="5919114C" w:rsidR="00801304" w:rsidRPr="00F02BC6" w:rsidRDefault="006613E4" w:rsidP="00495804">
            <w:pPr>
              <w:rPr>
                <w:color w:val="000000"/>
                <w:sz w:val="20"/>
                <w:szCs w:val="20"/>
                <w:lang w:val="en-US"/>
              </w:rPr>
            </w:pPr>
            <w:r w:rsidRPr="00F02BC6">
              <w:rPr>
                <w:color w:val="000000"/>
                <w:sz w:val="20"/>
                <w:szCs w:val="20"/>
                <w:lang w:val="en-US"/>
              </w:rPr>
              <w:t>Patients with physician diagnosis of asthma in the database and with ICS prescription.</w:t>
            </w:r>
          </w:p>
        </w:tc>
        <w:tc>
          <w:tcPr>
            <w:tcW w:w="1843" w:type="dxa"/>
          </w:tcPr>
          <w:p w14:paraId="0FDCCC28" w14:textId="77777777" w:rsidR="00801304" w:rsidRPr="00F02BC6" w:rsidRDefault="00801304" w:rsidP="00495804">
            <w:pPr>
              <w:rPr>
                <w:color w:val="000000"/>
                <w:sz w:val="20"/>
                <w:szCs w:val="20"/>
                <w:lang w:val="en-US"/>
              </w:rPr>
            </w:pPr>
            <w:r w:rsidRPr="00F02BC6">
              <w:rPr>
                <w:color w:val="000000"/>
                <w:sz w:val="20"/>
                <w:szCs w:val="20"/>
                <w:lang w:val="en-US"/>
              </w:rPr>
              <w:t>----</w:t>
            </w:r>
          </w:p>
        </w:tc>
        <w:tc>
          <w:tcPr>
            <w:tcW w:w="2127" w:type="dxa"/>
          </w:tcPr>
          <w:p w14:paraId="2490DDD2" w14:textId="77777777" w:rsidR="00801304" w:rsidRPr="00F02BC6" w:rsidRDefault="00801304" w:rsidP="00495804">
            <w:pPr>
              <w:rPr>
                <w:color w:val="000000"/>
                <w:sz w:val="20"/>
                <w:szCs w:val="20"/>
                <w:lang w:val="en-US"/>
              </w:rPr>
            </w:pPr>
          </w:p>
          <w:p w14:paraId="649A791C" w14:textId="77777777" w:rsidR="00801304" w:rsidRPr="00F02BC6" w:rsidRDefault="00801304" w:rsidP="00495804">
            <w:pPr>
              <w:rPr>
                <w:color w:val="000000"/>
                <w:sz w:val="20"/>
                <w:szCs w:val="20"/>
                <w:lang w:val="en-US"/>
              </w:rPr>
            </w:pPr>
          </w:p>
          <w:p w14:paraId="15250D61" w14:textId="77777777" w:rsidR="00801304" w:rsidRPr="00F02BC6" w:rsidRDefault="00801304" w:rsidP="00495804">
            <w:pPr>
              <w:rPr>
                <w:color w:val="000000"/>
                <w:sz w:val="20"/>
                <w:szCs w:val="20"/>
                <w:lang w:val="en-US"/>
              </w:rPr>
            </w:pPr>
          </w:p>
          <w:p w14:paraId="497EEC6C" w14:textId="77777777" w:rsidR="00801304" w:rsidRPr="00F02BC6" w:rsidRDefault="00801304" w:rsidP="00495804">
            <w:pPr>
              <w:tabs>
                <w:tab w:val="left" w:pos="1312"/>
              </w:tabs>
              <w:rPr>
                <w:color w:val="000000"/>
                <w:sz w:val="20"/>
                <w:szCs w:val="20"/>
                <w:lang w:val="en-US"/>
              </w:rPr>
            </w:pPr>
            <w:r w:rsidRPr="00F02BC6">
              <w:rPr>
                <w:color w:val="000000"/>
                <w:sz w:val="20"/>
                <w:szCs w:val="20"/>
                <w:lang w:val="en-US"/>
              </w:rPr>
              <w:tab/>
            </w:r>
          </w:p>
        </w:tc>
        <w:tc>
          <w:tcPr>
            <w:tcW w:w="2976" w:type="dxa"/>
          </w:tcPr>
          <w:p w14:paraId="2540CF31" w14:textId="77777777" w:rsidR="00801304" w:rsidRPr="00F02BC6" w:rsidRDefault="00801304" w:rsidP="00495804">
            <w:pPr>
              <w:rPr>
                <w:color w:val="000000"/>
                <w:sz w:val="20"/>
                <w:szCs w:val="20"/>
                <w:lang w:val="en-US"/>
              </w:rPr>
            </w:pPr>
            <w:r w:rsidRPr="00F02BC6">
              <w:rPr>
                <w:color w:val="000000"/>
                <w:sz w:val="20"/>
                <w:szCs w:val="20"/>
                <w:lang w:val="en-US"/>
              </w:rPr>
              <w:t>Adherence to ICS measured by PPR</w:t>
            </w:r>
          </w:p>
        </w:tc>
        <w:tc>
          <w:tcPr>
            <w:tcW w:w="2693" w:type="dxa"/>
          </w:tcPr>
          <w:p w14:paraId="42594A1E" w14:textId="77777777" w:rsidR="00801304" w:rsidRPr="00F02BC6" w:rsidRDefault="00801304" w:rsidP="00495804">
            <w:pPr>
              <w:rPr>
                <w:color w:val="000000"/>
                <w:sz w:val="20"/>
                <w:szCs w:val="20"/>
                <w:lang w:val="en-US"/>
              </w:rPr>
            </w:pPr>
          </w:p>
        </w:tc>
        <w:tc>
          <w:tcPr>
            <w:tcW w:w="1559" w:type="dxa"/>
            <w:gridSpan w:val="2"/>
          </w:tcPr>
          <w:p w14:paraId="767D2707" w14:textId="77777777" w:rsidR="00801304" w:rsidRPr="00F02BC6" w:rsidRDefault="00801304" w:rsidP="00495804">
            <w:pPr>
              <w:rPr>
                <w:color w:val="000000"/>
                <w:sz w:val="20"/>
                <w:szCs w:val="20"/>
                <w:lang w:val="en-US"/>
              </w:rPr>
            </w:pPr>
          </w:p>
        </w:tc>
      </w:tr>
      <w:tr w:rsidR="00801304" w:rsidRPr="00F02BC6" w14:paraId="0143D6DB" w14:textId="77777777" w:rsidTr="005F62B6">
        <w:tc>
          <w:tcPr>
            <w:tcW w:w="2219" w:type="dxa"/>
            <w:tcBorders>
              <w:top w:val="single" w:sz="4" w:space="0" w:color="auto"/>
              <w:bottom w:val="single" w:sz="4" w:space="0" w:color="auto"/>
            </w:tcBorders>
          </w:tcPr>
          <w:p w14:paraId="0C316B1A" w14:textId="77777777" w:rsidR="00801304" w:rsidRPr="00F02BC6" w:rsidRDefault="00801304" w:rsidP="00495804">
            <w:pPr>
              <w:rPr>
                <w:b/>
                <w:color w:val="000000"/>
                <w:sz w:val="20"/>
                <w:szCs w:val="20"/>
                <w:lang w:val="en-US"/>
              </w:rPr>
            </w:pPr>
            <w:r w:rsidRPr="00F02BC6">
              <w:rPr>
                <w:b/>
                <w:color w:val="000000"/>
                <w:sz w:val="20"/>
                <w:szCs w:val="20"/>
                <w:lang w:val="en-US"/>
              </w:rPr>
              <w:t>Author</w:t>
            </w:r>
          </w:p>
        </w:tc>
        <w:tc>
          <w:tcPr>
            <w:tcW w:w="1984" w:type="dxa"/>
            <w:tcBorders>
              <w:top w:val="single" w:sz="4" w:space="0" w:color="auto"/>
              <w:bottom w:val="single" w:sz="4" w:space="0" w:color="auto"/>
            </w:tcBorders>
          </w:tcPr>
          <w:p w14:paraId="5EE683D5" w14:textId="77777777" w:rsidR="00801304" w:rsidRPr="00F02BC6" w:rsidRDefault="00801304" w:rsidP="00495804">
            <w:pPr>
              <w:rPr>
                <w:b/>
                <w:color w:val="000000"/>
                <w:sz w:val="20"/>
                <w:szCs w:val="20"/>
                <w:lang w:val="en-US"/>
              </w:rPr>
            </w:pPr>
          </w:p>
        </w:tc>
        <w:tc>
          <w:tcPr>
            <w:tcW w:w="1843" w:type="dxa"/>
            <w:tcBorders>
              <w:top w:val="single" w:sz="4" w:space="0" w:color="auto"/>
              <w:bottom w:val="single" w:sz="4" w:space="0" w:color="auto"/>
            </w:tcBorders>
          </w:tcPr>
          <w:p w14:paraId="4C5C75D8" w14:textId="77777777" w:rsidR="00801304" w:rsidRPr="00F02BC6" w:rsidRDefault="00801304" w:rsidP="00495804">
            <w:pPr>
              <w:rPr>
                <w:b/>
                <w:color w:val="000000"/>
                <w:sz w:val="20"/>
                <w:szCs w:val="20"/>
                <w:lang w:val="en-US"/>
              </w:rPr>
            </w:pPr>
            <w:r w:rsidRPr="00F02BC6">
              <w:rPr>
                <w:b/>
                <w:color w:val="000000"/>
                <w:sz w:val="20"/>
                <w:szCs w:val="20"/>
                <w:lang w:val="en-US"/>
              </w:rPr>
              <w:t>Mean Medication Adherence Rate± Standard deviation</w:t>
            </w:r>
          </w:p>
        </w:tc>
        <w:tc>
          <w:tcPr>
            <w:tcW w:w="2127" w:type="dxa"/>
            <w:tcBorders>
              <w:top w:val="single" w:sz="4" w:space="0" w:color="auto"/>
              <w:bottom w:val="single" w:sz="4" w:space="0" w:color="auto"/>
            </w:tcBorders>
          </w:tcPr>
          <w:p w14:paraId="1221B5CA" w14:textId="77777777" w:rsidR="00801304" w:rsidRPr="00F02BC6" w:rsidRDefault="00801304" w:rsidP="00495804">
            <w:pPr>
              <w:rPr>
                <w:b/>
                <w:color w:val="000000"/>
                <w:sz w:val="20"/>
                <w:szCs w:val="20"/>
                <w:lang w:val="en-US"/>
              </w:rPr>
            </w:pPr>
            <w:r w:rsidRPr="00F02BC6">
              <w:rPr>
                <w:b/>
                <w:color w:val="000000"/>
                <w:sz w:val="20"/>
                <w:szCs w:val="20"/>
                <w:lang w:val="en-US"/>
              </w:rPr>
              <w:t>Medication Adherence rate Threshold</w:t>
            </w:r>
          </w:p>
        </w:tc>
        <w:tc>
          <w:tcPr>
            <w:tcW w:w="2976" w:type="dxa"/>
            <w:tcBorders>
              <w:top w:val="single" w:sz="4" w:space="0" w:color="auto"/>
              <w:bottom w:val="single" w:sz="4" w:space="0" w:color="auto"/>
            </w:tcBorders>
          </w:tcPr>
          <w:p w14:paraId="3247C373" w14:textId="77777777" w:rsidR="00801304" w:rsidRPr="00F02BC6" w:rsidRDefault="00801304" w:rsidP="00495804">
            <w:pPr>
              <w:rPr>
                <w:b/>
                <w:color w:val="000000"/>
                <w:sz w:val="20"/>
                <w:szCs w:val="20"/>
                <w:lang w:val="en-US"/>
              </w:rPr>
            </w:pPr>
            <w:r w:rsidRPr="00F02BC6">
              <w:rPr>
                <w:b/>
                <w:color w:val="000000"/>
                <w:sz w:val="20"/>
                <w:szCs w:val="20"/>
                <w:lang w:val="en-US"/>
              </w:rPr>
              <w:t>Probability to reach the targeted clinical outcome with Medication Adherence Threshold (Odds ratios [OR], Hazards ratios [HR] and Confidence Interval [CI])</w:t>
            </w:r>
          </w:p>
        </w:tc>
        <w:tc>
          <w:tcPr>
            <w:tcW w:w="2693" w:type="dxa"/>
            <w:tcBorders>
              <w:top w:val="single" w:sz="4" w:space="0" w:color="auto"/>
              <w:bottom w:val="single" w:sz="4" w:space="0" w:color="auto"/>
            </w:tcBorders>
          </w:tcPr>
          <w:p w14:paraId="0621EE0B" w14:textId="77777777" w:rsidR="00801304" w:rsidRPr="00F02BC6" w:rsidRDefault="00801304" w:rsidP="00495804">
            <w:pPr>
              <w:rPr>
                <w:b/>
                <w:color w:val="000000"/>
                <w:sz w:val="20"/>
                <w:szCs w:val="20"/>
                <w:lang w:val="en-US"/>
              </w:rPr>
            </w:pPr>
            <w:r w:rsidRPr="00F02BC6">
              <w:rPr>
                <w:b/>
                <w:color w:val="000000"/>
                <w:sz w:val="20"/>
                <w:szCs w:val="20"/>
                <w:lang w:val="en-US"/>
              </w:rPr>
              <w:t>Methods of Threshold Determination</w:t>
            </w:r>
          </w:p>
        </w:tc>
        <w:tc>
          <w:tcPr>
            <w:tcW w:w="1559" w:type="dxa"/>
            <w:gridSpan w:val="2"/>
            <w:tcBorders>
              <w:top w:val="single" w:sz="4" w:space="0" w:color="auto"/>
              <w:bottom w:val="single" w:sz="4" w:space="0" w:color="auto"/>
            </w:tcBorders>
          </w:tcPr>
          <w:p w14:paraId="5EB5D89D" w14:textId="77777777" w:rsidR="00801304" w:rsidRPr="00F02BC6" w:rsidRDefault="00801304" w:rsidP="00495804">
            <w:pPr>
              <w:rPr>
                <w:b/>
                <w:color w:val="000000"/>
                <w:sz w:val="20"/>
                <w:szCs w:val="20"/>
                <w:lang w:val="en-US"/>
              </w:rPr>
            </w:pPr>
            <w:r w:rsidRPr="00F02BC6">
              <w:rPr>
                <w:b/>
                <w:color w:val="000000"/>
                <w:sz w:val="20"/>
                <w:szCs w:val="20"/>
                <w:lang w:val="en-US"/>
              </w:rPr>
              <w:t>Nonadherence Prevalence</w:t>
            </w:r>
          </w:p>
        </w:tc>
      </w:tr>
      <w:tr w:rsidR="00801304" w:rsidRPr="00F02BC6" w14:paraId="0D1965EB" w14:textId="77777777" w:rsidTr="005F62B6">
        <w:tc>
          <w:tcPr>
            <w:tcW w:w="2219" w:type="dxa"/>
          </w:tcPr>
          <w:p w14:paraId="22963E8A" w14:textId="77777777" w:rsidR="00801304" w:rsidRPr="00F02BC6" w:rsidRDefault="00801304" w:rsidP="00495804">
            <w:pPr>
              <w:rPr>
                <w:color w:val="000000"/>
                <w:sz w:val="20"/>
                <w:szCs w:val="20"/>
                <w:lang w:val="en-US"/>
              </w:rPr>
            </w:pPr>
            <w:r w:rsidRPr="00F02BC6">
              <w:rPr>
                <w:color w:val="000000"/>
                <w:sz w:val="20"/>
                <w:szCs w:val="20"/>
                <w:lang w:val="en-US"/>
              </w:rPr>
              <w:t>Vaidya et al</w:t>
            </w:r>
            <w:r w:rsidRPr="00F02BC6">
              <w:rPr>
                <w:color w:val="000000"/>
                <w:sz w:val="20"/>
                <w:szCs w:val="20"/>
                <w:vertAlign w:val="superscript"/>
                <w:lang w:val="en-US"/>
              </w:rPr>
              <w:t xml:space="preserve">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{"citationItems":[{"id":"ITEM-1","itemData":{"DOI":"10.1080/03007995.2019.1586221","ISSN":"14734877","abstract":"Purpose: The purpose of this study is to determine racial and ethnic disparities with the adherence to inhaled corticosteroids (ICSs) in adults with persistent asthma, and their association with healthcare expenditures. Methods: A retrospective, cross-sectional study using the Medical Expenditure Panel Survey (MEPS) 2013–2014 data included patients ≥18 years with persistent asthma. Median medication possession ratio (MPR) was used to dichotomize adherence levels. Multivariate regression analysis was conducted to ascertain the association between adherence and race/ethnicity. Total expenditures and association with adherence were analyzed using a generalized linear model with a log link function and gamma distribution. Unadjusted expenditures were compared after bootstrapping. Results: The average MPR of ICSs for the sample of 277 patients was 0.34. The average MPR level was 0.33 among whites, 0.37 among African-Americans and 0.35 among other minorities. The average MPR was 0.30 among Hispanics, and 0.35 among non-Hispanics. African-Americans were less likely to be adherent than whites (OR 0.95). Hispanics were less likely to be adherent (OR 0.4; CI 0.206–0.777). Higher adherence was associated with significantly higher total health expenditure than lower adherence ($19,223 vs. $12,840 respectively, p &lt;.0001). African-Americans had slightly higher total expenditure compared to whites; however, other minorities had significantly lower health expenditures compared to whites (p =.01). Non-Hispanics spent significantly less on healthcare compared to Hispanics (p =.04). Conclusions: Valuable insight into the economic cost of the disparities as they relate to persistent asthma provides further evidence of possible ethnic inequities that warrant addressing.","author":[{"dropping-particle":"","family":"Vaidya","given":"Varun","non-dropping-particle":"","parse-names":false,"suffix":""},{"dropping-particle":"","family":"Gabriel","given":"Meghan Hufstader","non-dropping-particle":"","parse-names":false,"suffix":""},{"dropping-particle":"","family":"Patel","given":"Pranav","non-dropping-particle":"","parse-names":false,"suffix":""},{"dropping-particle":"","family":"Gupte","given":"Renuka","non-dropping-particle":"","parse-names":false,"suffix":""},{"dropping-particle":"","family":"James","given":"Cameron","non-dropping-particle":"","parse-names":false,"suffix":""}],"container-title":"Current Medical Research and Opinion","id":"ITEM-1","issue":"8","issued":{"date-parts":[["2019"]]},"page":"1379-1385","publisher":"Taylor &amp; Francis","title":"The impact of racial and ethnic disparities in inhaled corticosteroid adherence on healthcare expenditures in adults with asthma","type":"article-journal","volume":"35"},"uris":["http://www.mendeley.com/documents/?uuid=79108e3b-a7b8-4951-84e0-0ae4e06a5566"]}],"mendeley":{"formattedCitation":"(57)","plainTextFormattedCitation":"(57)","previouslyFormattedCitation":"(57)"},"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(57)</w:t>
            </w:r>
            <w:r w:rsidRPr="00F02BC6">
              <w:rPr>
                <w:color w:val="000000"/>
                <w:sz w:val="20"/>
                <w:szCs w:val="20"/>
                <w:vertAlign w:val="superscript"/>
                <w:lang w:val="en-US"/>
              </w:rPr>
              <w:fldChar w:fldCharType="end"/>
            </w:r>
          </w:p>
        </w:tc>
        <w:tc>
          <w:tcPr>
            <w:tcW w:w="1984" w:type="dxa"/>
          </w:tcPr>
          <w:p w14:paraId="78EA09B3" w14:textId="5C7BF885" w:rsidR="00801304" w:rsidRPr="00F02BC6" w:rsidRDefault="006613E4" w:rsidP="00495804">
            <w:pPr>
              <w:rPr>
                <w:color w:val="000000"/>
                <w:sz w:val="20"/>
                <w:szCs w:val="20"/>
                <w:lang w:val="en-US"/>
              </w:rPr>
            </w:pPr>
            <w:r w:rsidRPr="00F02BC6">
              <w:rPr>
                <w:color w:val="000000"/>
                <w:sz w:val="20"/>
                <w:szCs w:val="20"/>
                <w:lang w:val="en-US"/>
              </w:rPr>
              <w:t>Patients identified using asthma diagnostic ICD-9 codes, and records of prescribed asthma medications</w:t>
            </w:r>
          </w:p>
        </w:tc>
        <w:tc>
          <w:tcPr>
            <w:tcW w:w="1843" w:type="dxa"/>
          </w:tcPr>
          <w:p w14:paraId="45830E00" w14:textId="77777777" w:rsidR="00801304" w:rsidRPr="00F02BC6" w:rsidRDefault="00801304" w:rsidP="00495804">
            <w:pPr>
              <w:rPr>
                <w:color w:val="000000"/>
                <w:sz w:val="20"/>
                <w:szCs w:val="20"/>
                <w:lang w:val="en-US"/>
              </w:rPr>
            </w:pPr>
            <w:r w:rsidRPr="00F02BC6">
              <w:rPr>
                <w:color w:val="000000"/>
                <w:sz w:val="20"/>
                <w:szCs w:val="20"/>
                <w:lang w:val="en-US"/>
              </w:rPr>
              <w:t>MPR 0.34</w:t>
            </w:r>
          </w:p>
        </w:tc>
        <w:tc>
          <w:tcPr>
            <w:tcW w:w="2127" w:type="dxa"/>
          </w:tcPr>
          <w:p w14:paraId="4FBD02DF" w14:textId="77777777" w:rsidR="00801304" w:rsidRPr="00F02BC6" w:rsidRDefault="00801304" w:rsidP="00495804">
            <w:pPr>
              <w:rPr>
                <w:color w:val="000000"/>
                <w:sz w:val="20"/>
                <w:szCs w:val="20"/>
                <w:lang w:val="en-US"/>
              </w:rPr>
            </w:pPr>
            <w:r w:rsidRPr="00F02BC6">
              <w:rPr>
                <w:color w:val="000000"/>
                <w:sz w:val="20"/>
                <w:szCs w:val="20"/>
                <w:lang w:val="en-US"/>
              </w:rPr>
              <w:t>Median MPR</w:t>
            </w:r>
          </w:p>
          <w:p w14:paraId="2123FBEE" w14:textId="77777777" w:rsidR="00801304" w:rsidRPr="00F02BC6" w:rsidRDefault="00801304" w:rsidP="00495804">
            <w:pPr>
              <w:rPr>
                <w:color w:val="000000"/>
                <w:sz w:val="20"/>
                <w:szCs w:val="20"/>
                <w:lang w:val="en-US"/>
              </w:rPr>
            </w:pPr>
            <w:r w:rsidRPr="00F02BC6">
              <w:rPr>
                <w:color w:val="000000"/>
                <w:sz w:val="20"/>
                <w:szCs w:val="20"/>
                <w:lang w:val="en-US"/>
              </w:rPr>
              <w:t>≥0.25</w:t>
            </w:r>
          </w:p>
          <w:p w14:paraId="7C84A7E8" w14:textId="77777777" w:rsidR="00801304" w:rsidRPr="00F02BC6" w:rsidRDefault="00801304" w:rsidP="00495804">
            <w:pPr>
              <w:rPr>
                <w:color w:val="000000"/>
                <w:sz w:val="20"/>
                <w:szCs w:val="20"/>
                <w:lang w:val="en-US"/>
              </w:rPr>
            </w:pPr>
            <w:r w:rsidRPr="00F02BC6">
              <w:rPr>
                <w:color w:val="000000"/>
                <w:sz w:val="20"/>
                <w:szCs w:val="20"/>
                <w:lang w:val="en-US"/>
              </w:rPr>
              <w:t>&lt;0.25</w:t>
            </w:r>
          </w:p>
        </w:tc>
        <w:tc>
          <w:tcPr>
            <w:tcW w:w="2976" w:type="dxa"/>
          </w:tcPr>
          <w:p w14:paraId="082A764E" w14:textId="77777777" w:rsidR="00801304" w:rsidRPr="00F02BC6" w:rsidRDefault="00801304" w:rsidP="00495804">
            <w:pPr>
              <w:rPr>
                <w:color w:val="000000"/>
                <w:sz w:val="20"/>
                <w:szCs w:val="20"/>
                <w:lang w:val="en-US"/>
              </w:rPr>
            </w:pPr>
            <w:r w:rsidRPr="00F02BC6">
              <w:rPr>
                <w:color w:val="000000"/>
                <w:sz w:val="20"/>
                <w:szCs w:val="20"/>
                <w:lang w:val="en-US"/>
              </w:rPr>
              <w:t>Higher adherence to ICS is associated with significantly higher total health expenditure than lower adherence ($19,223 vs. $12,840 p&lt;.0001)</w:t>
            </w:r>
          </w:p>
        </w:tc>
        <w:tc>
          <w:tcPr>
            <w:tcW w:w="2693" w:type="dxa"/>
          </w:tcPr>
          <w:p w14:paraId="60094E19" w14:textId="77777777" w:rsidR="00801304" w:rsidRPr="00F02BC6" w:rsidRDefault="00801304" w:rsidP="00495804">
            <w:pPr>
              <w:rPr>
                <w:color w:val="000000"/>
                <w:sz w:val="20"/>
                <w:szCs w:val="20"/>
                <w:lang w:val="en-US"/>
              </w:rPr>
            </w:pPr>
            <w:r w:rsidRPr="00F02BC6">
              <w:rPr>
                <w:color w:val="000000"/>
                <w:sz w:val="20"/>
                <w:szCs w:val="20"/>
                <w:lang w:val="en-US"/>
              </w:rPr>
              <w:t>Multivariate regression analysis (generalized linear model with a log link function and gamma distribution)</w:t>
            </w:r>
          </w:p>
          <w:p w14:paraId="60060506" w14:textId="77777777" w:rsidR="00801304" w:rsidRPr="00F02BC6" w:rsidRDefault="00801304" w:rsidP="00495804">
            <w:pPr>
              <w:rPr>
                <w:color w:val="000000"/>
                <w:sz w:val="20"/>
                <w:szCs w:val="20"/>
                <w:lang w:val="en-US"/>
              </w:rPr>
            </w:pPr>
          </w:p>
        </w:tc>
        <w:tc>
          <w:tcPr>
            <w:tcW w:w="1559" w:type="dxa"/>
            <w:gridSpan w:val="2"/>
          </w:tcPr>
          <w:p w14:paraId="61FB9F41" w14:textId="77777777" w:rsidR="00801304" w:rsidRPr="00F02BC6" w:rsidRDefault="00801304" w:rsidP="00495804">
            <w:pPr>
              <w:rPr>
                <w:color w:val="000000"/>
                <w:sz w:val="20"/>
                <w:szCs w:val="20"/>
                <w:lang w:val="en-US"/>
              </w:rPr>
            </w:pPr>
            <w:r w:rsidRPr="00F02BC6">
              <w:rPr>
                <w:color w:val="000000"/>
                <w:sz w:val="20"/>
                <w:szCs w:val="20"/>
                <w:lang w:val="en-US"/>
              </w:rPr>
              <w:t>---</w:t>
            </w:r>
          </w:p>
        </w:tc>
      </w:tr>
      <w:tr w:rsidR="006613E4" w:rsidRPr="00F02BC6" w14:paraId="462C431B" w14:textId="77777777" w:rsidTr="005F62B6">
        <w:tc>
          <w:tcPr>
            <w:tcW w:w="2219" w:type="dxa"/>
          </w:tcPr>
          <w:p w14:paraId="3834428C" w14:textId="77777777" w:rsidR="006613E4" w:rsidRPr="00F02BC6" w:rsidRDefault="006613E4" w:rsidP="00495804">
            <w:pPr>
              <w:rPr>
                <w:color w:val="000000"/>
                <w:sz w:val="20"/>
                <w:szCs w:val="20"/>
                <w:lang w:val="en-US"/>
              </w:rPr>
            </w:pPr>
          </w:p>
        </w:tc>
        <w:tc>
          <w:tcPr>
            <w:tcW w:w="1984" w:type="dxa"/>
          </w:tcPr>
          <w:p w14:paraId="47E9B513" w14:textId="77777777" w:rsidR="006613E4" w:rsidRPr="00F02BC6" w:rsidRDefault="006613E4" w:rsidP="00495804">
            <w:pPr>
              <w:rPr>
                <w:color w:val="000000"/>
                <w:sz w:val="20"/>
                <w:szCs w:val="20"/>
                <w:lang w:val="en-US"/>
              </w:rPr>
            </w:pPr>
          </w:p>
        </w:tc>
        <w:tc>
          <w:tcPr>
            <w:tcW w:w="1843" w:type="dxa"/>
          </w:tcPr>
          <w:p w14:paraId="6BD466ED" w14:textId="77777777" w:rsidR="006613E4" w:rsidRPr="00F02BC6" w:rsidRDefault="006613E4" w:rsidP="00495804">
            <w:pPr>
              <w:rPr>
                <w:color w:val="000000"/>
                <w:sz w:val="20"/>
                <w:szCs w:val="20"/>
                <w:lang w:val="en-US"/>
              </w:rPr>
            </w:pPr>
          </w:p>
        </w:tc>
        <w:tc>
          <w:tcPr>
            <w:tcW w:w="2127" w:type="dxa"/>
          </w:tcPr>
          <w:p w14:paraId="4E7D87CF" w14:textId="77777777" w:rsidR="006613E4" w:rsidRPr="00F02BC6" w:rsidRDefault="006613E4" w:rsidP="00495804">
            <w:pPr>
              <w:rPr>
                <w:color w:val="000000"/>
                <w:sz w:val="20"/>
                <w:szCs w:val="20"/>
                <w:lang w:val="en-US"/>
              </w:rPr>
            </w:pPr>
          </w:p>
        </w:tc>
        <w:tc>
          <w:tcPr>
            <w:tcW w:w="2976" w:type="dxa"/>
          </w:tcPr>
          <w:p w14:paraId="40CFF7D3" w14:textId="77777777" w:rsidR="006613E4" w:rsidRPr="00F02BC6" w:rsidRDefault="006613E4" w:rsidP="00495804">
            <w:pPr>
              <w:rPr>
                <w:color w:val="000000"/>
                <w:sz w:val="20"/>
                <w:szCs w:val="20"/>
                <w:lang w:val="en-US"/>
              </w:rPr>
            </w:pPr>
          </w:p>
        </w:tc>
        <w:tc>
          <w:tcPr>
            <w:tcW w:w="2693" w:type="dxa"/>
          </w:tcPr>
          <w:p w14:paraId="05633B83" w14:textId="77777777" w:rsidR="006613E4" w:rsidRPr="00F02BC6" w:rsidRDefault="006613E4" w:rsidP="00495804">
            <w:pPr>
              <w:rPr>
                <w:color w:val="000000"/>
                <w:sz w:val="20"/>
                <w:szCs w:val="20"/>
                <w:lang w:val="en-US"/>
              </w:rPr>
            </w:pPr>
          </w:p>
        </w:tc>
        <w:tc>
          <w:tcPr>
            <w:tcW w:w="1559" w:type="dxa"/>
            <w:gridSpan w:val="2"/>
          </w:tcPr>
          <w:p w14:paraId="4AEECC9B" w14:textId="77777777" w:rsidR="006613E4" w:rsidRPr="00F02BC6" w:rsidRDefault="006613E4" w:rsidP="00495804">
            <w:pPr>
              <w:rPr>
                <w:color w:val="000000"/>
                <w:sz w:val="20"/>
                <w:szCs w:val="20"/>
                <w:lang w:val="en-US"/>
              </w:rPr>
            </w:pPr>
          </w:p>
        </w:tc>
      </w:tr>
      <w:tr w:rsidR="00801304" w:rsidRPr="00F02BC6" w14:paraId="0B44CF5E" w14:textId="77777777" w:rsidTr="005F62B6">
        <w:tc>
          <w:tcPr>
            <w:tcW w:w="2219" w:type="dxa"/>
          </w:tcPr>
          <w:p w14:paraId="2267B207" w14:textId="77777777" w:rsidR="00801304" w:rsidRPr="00F02BC6" w:rsidRDefault="00801304" w:rsidP="00495804">
            <w:pPr>
              <w:rPr>
                <w:color w:val="000000"/>
                <w:sz w:val="20"/>
                <w:szCs w:val="20"/>
                <w:lang w:val="en-US"/>
              </w:rPr>
            </w:pPr>
            <w:r w:rsidRPr="00F02BC6">
              <w:rPr>
                <w:color w:val="000000"/>
                <w:sz w:val="20"/>
                <w:szCs w:val="20"/>
                <w:lang w:val="en-US"/>
              </w:rPr>
              <w:t>Vaidya et al</w:t>
            </w:r>
            <w:r w:rsidRPr="00F02BC6">
              <w:rPr>
                <w:color w:val="000000"/>
                <w:sz w:val="20"/>
                <w:szCs w:val="20"/>
                <w:vertAlign w:val="superscript"/>
                <w:lang w:val="en-US"/>
              </w:rPr>
              <w:t xml:space="preserve">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{"citationItems":[{"id":"ITEM-1","itemData":{"DOI":"10.1111/jphs.12035","ISSN":"17598893","abstract":"Introduction: Asthmatic patients are at risk for poor medication adherence when cost sharing keeps patients from accessing required controller medications. The risk for poor medication adherence would be even higher when asthmatic patients are in need of multiple controller drugs. This study aimed to quantify the effect of cost-sharing levels on medication adherence among asthmatic patients in the USA who were initiated on dual-controller therapies. Methods: This study was a retrospective cohort study. Using a large administrative commercial claims and encounters dataset (MarketScan), patients who were initiated on dual-controller therapy (inhaled corticosteroids and long-acting beta-2-agonist or inhaled corticosteroids and leukotriene receptor antagonist) during 1 July 2000 and 30 June 2001 were identified from pharmacy claims. For asthmatic patients aged 6-65 years, medication adherence (i.e., medication possession ratio) was measured in a 1-year follow-up period. Patients' average out-of-pocket expenses were determined for a month's supply and then stratified into the following four categories: US$0-15, US$16-30, US$31-45 and &gt;US$45. Logistic regression analysis was used to estimate odds ratio (OR) for medication adherence. Results: Altogether, 1447 patients met the study criteria. Of these patients, 898 (62.1%) were initiated on inhaled corticosteroids and long-acting beta-2-agonist, and 549 (37.9%) were initiated on inhaled corticosteroids and leukotriene receptor antagonist. The study showed significant association of cost-sharing levels and poor medication adherence. Compared with patients on US$0-15 cost-sharing level, patients on US$16-30 (OR=0.449, 95% confidence interval (CI)=0.312-0.616), US$31-45 (OR=0.246, 95% CI=0.168-0.358) and US$46 or higher (OR=0.131, 95% CI=0.084-0.206) levels all had lower odds of acceptable medication adherence. Conclusions: Cost sharing was associated with poor medication adherence among asthmatic patients who needed dual controllers. Healthcare providers and payers should take caution when asthmatic patients face increased levels of cost sharing to fill prescription for dual controllers. © 2013 Royal Pharmaceutical Society.","author":[{"dropping-particle":"","family":"Vaidya","given":"Varun","non-dropping-particle":"","parse-names":false,"suffix":""},{"dropping-particle":"","family":"Tak","given":"Sunghee","non-dropping-particle":"","parse-names":false,"suffix":""},{"dropping-particle":"","family":"Hong","given":"Song Hee","non-dropping-particle":"","parse-names":false,"suffix":""}],"container-title":"Journal of Pharmaceutical Health Services Research","id":"ITEM-1","issue":"4","issued":{"date-parts":[["2013"]]},"page":"227-233","title":"Impact of patient cost sharing on medication adherence among asthmatic patients on dual-controller therapy","type":"article-journal","volume":"4"},"uris":["http://www.mendeley.com/documents/?uuid=f0c02b22-71f0-4f4f-af5b-55db9fbd1858"]}],"mendeley":{"formattedCitation":"(43)","plainTextFormattedCitation":"(43)","previouslyFormattedCitation":"(43)"},"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(43)</w:t>
            </w:r>
            <w:r w:rsidRPr="00F02BC6">
              <w:rPr>
                <w:color w:val="000000"/>
                <w:sz w:val="20"/>
                <w:szCs w:val="20"/>
                <w:vertAlign w:val="superscript"/>
                <w:lang w:val="en-US"/>
              </w:rPr>
              <w:fldChar w:fldCharType="end"/>
            </w:r>
          </w:p>
        </w:tc>
        <w:tc>
          <w:tcPr>
            <w:tcW w:w="1984" w:type="dxa"/>
          </w:tcPr>
          <w:p w14:paraId="7F257F38" w14:textId="2B0F67CF" w:rsidR="00801304" w:rsidRPr="00F02BC6" w:rsidRDefault="006613E4" w:rsidP="00495804">
            <w:pPr>
              <w:rPr>
                <w:color w:val="000000"/>
                <w:sz w:val="20"/>
                <w:szCs w:val="20"/>
                <w:lang w:val="en-US"/>
              </w:rPr>
            </w:pPr>
            <w:r w:rsidRPr="00F02BC6">
              <w:rPr>
                <w:color w:val="000000"/>
                <w:sz w:val="20"/>
                <w:szCs w:val="20"/>
                <w:lang w:val="en-US"/>
              </w:rPr>
              <w:t>Cohort identified using ICD-9-CM codes to identify physician diagnosed asthma and having records of prescribed asthma medications.</w:t>
            </w:r>
          </w:p>
        </w:tc>
        <w:tc>
          <w:tcPr>
            <w:tcW w:w="1843" w:type="dxa"/>
          </w:tcPr>
          <w:p w14:paraId="5C8E8EE3" w14:textId="77777777" w:rsidR="00801304" w:rsidRPr="00F02BC6" w:rsidRDefault="00801304" w:rsidP="00495804">
            <w:pPr>
              <w:rPr>
                <w:color w:val="000000"/>
                <w:sz w:val="20"/>
                <w:szCs w:val="20"/>
                <w:lang w:val="en-US"/>
              </w:rPr>
            </w:pPr>
            <w:r w:rsidRPr="00F02BC6">
              <w:rPr>
                <w:color w:val="000000"/>
                <w:sz w:val="20"/>
                <w:szCs w:val="20"/>
                <w:lang w:val="en-US"/>
              </w:rPr>
              <w:t>MPR 0.45</w:t>
            </w:r>
          </w:p>
        </w:tc>
        <w:tc>
          <w:tcPr>
            <w:tcW w:w="2127" w:type="dxa"/>
          </w:tcPr>
          <w:p w14:paraId="640C8AEE" w14:textId="77777777" w:rsidR="00801304" w:rsidRPr="00F02BC6" w:rsidRDefault="00801304" w:rsidP="00495804">
            <w:pPr>
              <w:rPr>
                <w:color w:val="000000"/>
                <w:sz w:val="20"/>
                <w:szCs w:val="20"/>
                <w:lang w:val="en-US"/>
              </w:rPr>
            </w:pPr>
            <w:r w:rsidRPr="00F02BC6">
              <w:rPr>
                <w:color w:val="000000"/>
                <w:sz w:val="20"/>
                <w:szCs w:val="20"/>
                <w:lang w:val="en-US"/>
              </w:rPr>
              <w:t>Median MPR</w:t>
            </w:r>
          </w:p>
          <w:p w14:paraId="503ABEF3" w14:textId="77777777" w:rsidR="00801304" w:rsidRPr="00F02BC6" w:rsidRDefault="00801304" w:rsidP="00495804">
            <w:pPr>
              <w:rPr>
                <w:color w:val="000000"/>
                <w:sz w:val="20"/>
                <w:szCs w:val="20"/>
                <w:lang w:val="en-US"/>
              </w:rPr>
            </w:pPr>
            <w:r w:rsidRPr="00F02BC6">
              <w:rPr>
                <w:color w:val="000000"/>
                <w:sz w:val="20"/>
                <w:szCs w:val="20"/>
                <w:lang w:val="en-US"/>
              </w:rPr>
              <w:t>≥0.45</w:t>
            </w:r>
          </w:p>
          <w:p w14:paraId="78BC5F18" w14:textId="77777777" w:rsidR="00801304" w:rsidRPr="00F02BC6" w:rsidRDefault="00801304" w:rsidP="00495804">
            <w:pPr>
              <w:rPr>
                <w:color w:val="000000"/>
                <w:sz w:val="20"/>
                <w:szCs w:val="20"/>
                <w:lang w:val="en-US"/>
              </w:rPr>
            </w:pPr>
            <w:r w:rsidRPr="00F02BC6">
              <w:rPr>
                <w:color w:val="000000"/>
                <w:sz w:val="20"/>
                <w:szCs w:val="20"/>
                <w:lang w:val="en-US"/>
              </w:rPr>
              <w:t>&lt;0.45</w:t>
            </w:r>
          </w:p>
          <w:p w14:paraId="6D990E5B" w14:textId="77777777" w:rsidR="00801304" w:rsidRPr="00F02BC6" w:rsidRDefault="00801304" w:rsidP="00495804">
            <w:pPr>
              <w:rPr>
                <w:color w:val="000000"/>
                <w:sz w:val="20"/>
                <w:szCs w:val="20"/>
                <w:lang w:val="en-US"/>
              </w:rPr>
            </w:pPr>
          </w:p>
        </w:tc>
        <w:tc>
          <w:tcPr>
            <w:tcW w:w="2976" w:type="dxa"/>
          </w:tcPr>
          <w:p w14:paraId="23C8B5F7" w14:textId="77777777" w:rsidR="00801304" w:rsidRPr="00F02BC6" w:rsidRDefault="00801304" w:rsidP="00495804">
            <w:pPr>
              <w:rPr>
                <w:color w:val="000000"/>
                <w:sz w:val="20"/>
                <w:szCs w:val="20"/>
                <w:lang w:val="en-US"/>
              </w:rPr>
            </w:pPr>
            <w:r w:rsidRPr="00F02BC6">
              <w:rPr>
                <w:color w:val="000000"/>
                <w:sz w:val="20"/>
                <w:szCs w:val="20"/>
                <w:lang w:val="en-US"/>
              </w:rPr>
              <w:t>Compared with patients on US$0–15 cost-sharing level, patients on US$16–30 (</w:t>
            </w:r>
            <w:proofErr w:type="gramStart"/>
            <w:r w:rsidRPr="00F02BC6">
              <w:rPr>
                <w:color w:val="000000"/>
                <w:sz w:val="20"/>
                <w:szCs w:val="20"/>
                <w:lang w:val="en-US"/>
              </w:rPr>
              <w:t>OR;</w:t>
            </w:r>
            <w:proofErr w:type="gramEnd"/>
            <w:r w:rsidRPr="00F02BC6">
              <w:rPr>
                <w:color w:val="000000"/>
                <w:sz w:val="20"/>
                <w:szCs w:val="20"/>
                <w:lang w:val="en-US"/>
              </w:rPr>
              <w:t xml:space="preserve"> 0.449, 95% CI; 0.312–0.616), US$31–45 (OR; 0.246, 95% CI; 0.168–0.358) and US$46 or higher (OR; 0.131, 95% CI; 0.084–0.206) levels all had lower odds of acceptable medication adherence</w:t>
            </w:r>
          </w:p>
          <w:p w14:paraId="65F996C6" w14:textId="77777777" w:rsidR="00801304" w:rsidRPr="00F02BC6" w:rsidRDefault="00801304" w:rsidP="00495804">
            <w:pPr>
              <w:jc w:val="center"/>
              <w:rPr>
                <w:color w:val="000000"/>
                <w:sz w:val="20"/>
                <w:szCs w:val="20"/>
                <w:lang w:val="en-US"/>
              </w:rPr>
            </w:pPr>
          </w:p>
        </w:tc>
        <w:tc>
          <w:tcPr>
            <w:tcW w:w="2693" w:type="dxa"/>
          </w:tcPr>
          <w:p w14:paraId="331A2629" w14:textId="77777777" w:rsidR="00801304" w:rsidRPr="00F02BC6" w:rsidRDefault="00801304" w:rsidP="00495804">
            <w:pPr>
              <w:rPr>
                <w:color w:val="000000"/>
                <w:sz w:val="20"/>
                <w:szCs w:val="20"/>
                <w:lang w:val="en-US"/>
              </w:rPr>
            </w:pPr>
            <w:r w:rsidRPr="00F02BC6">
              <w:rPr>
                <w:color w:val="000000"/>
                <w:sz w:val="20"/>
                <w:szCs w:val="20"/>
                <w:lang w:val="en-US"/>
              </w:rPr>
              <w:t>Logistic regression analysis</w:t>
            </w:r>
          </w:p>
        </w:tc>
        <w:tc>
          <w:tcPr>
            <w:tcW w:w="1559" w:type="dxa"/>
            <w:gridSpan w:val="2"/>
          </w:tcPr>
          <w:p w14:paraId="0D36D2E2" w14:textId="77777777" w:rsidR="00801304" w:rsidRPr="00F02BC6" w:rsidRDefault="00801304" w:rsidP="00495804">
            <w:pPr>
              <w:rPr>
                <w:color w:val="000000"/>
                <w:sz w:val="20"/>
                <w:szCs w:val="20"/>
                <w:lang w:val="en-US"/>
              </w:rPr>
            </w:pPr>
            <w:r w:rsidRPr="00F02BC6">
              <w:rPr>
                <w:color w:val="000000"/>
                <w:sz w:val="20"/>
                <w:szCs w:val="20"/>
                <w:lang w:val="en-US"/>
              </w:rPr>
              <w:t>---</w:t>
            </w:r>
          </w:p>
        </w:tc>
      </w:tr>
      <w:tr w:rsidR="00801304" w:rsidRPr="00F02BC6" w14:paraId="4B31D559" w14:textId="77777777" w:rsidTr="005F62B6">
        <w:tc>
          <w:tcPr>
            <w:tcW w:w="2219" w:type="dxa"/>
            <w:tcBorders>
              <w:top w:val="single" w:sz="4" w:space="0" w:color="auto"/>
              <w:bottom w:val="single" w:sz="4" w:space="0" w:color="auto"/>
            </w:tcBorders>
          </w:tcPr>
          <w:p w14:paraId="69D40384" w14:textId="77777777" w:rsidR="00801304" w:rsidRPr="00F02BC6" w:rsidRDefault="00801304" w:rsidP="00495804">
            <w:pPr>
              <w:rPr>
                <w:b/>
                <w:color w:val="000000"/>
                <w:sz w:val="20"/>
                <w:szCs w:val="20"/>
                <w:lang w:val="en-US"/>
              </w:rPr>
            </w:pPr>
            <w:r w:rsidRPr="00F02BC6">
              <w:rPr>
                <w:b/>
                <w:color w:val="000000"/>
                <w:sz w:val="20"/>
                <w:szCs w:val="20"/>
                <w:lang w:val="en-US"/>
              </w:rPr>
              <w:t>Author</w:t>
            </w:r>
          </w:p>
        </w:tc>
        <w:tc>
          <w:tcPr>
            <w:tcW w:w="1984" w:type="dxa"/>
            <w:tcBorders>
              <w:top w:val="single" w:sz="4" w:space="0" w:color="auto"/>
              <w:bottom w:val="single" w:sz="4" w:space="0" w:color="auto"/>
            </w:tcBorders>
          </w:tcPr>
          <w:p w14:paraId="0597CBE7" w14:textId="77777777" w:rsidR="00801304" w:rsidRPr="00F02BC6" w:rsidRDefault="00801304" w:rsidP="00495804">
            <w:pPr>
              <w:rPr>
                <w:b/>
                <w:color w:val="000000"/>
                <w:sz w:val="20"/>
                <w:szCs w:val="20"/>
                <w:lang w:val="en-US"/>
              </w:rPr>
            </w:pPr>
          </w:p>
        </w:tc>
        <w:tc>
          <w:tcPr>
            <w:tcW w:w="1843" w:type="dxa"/>
            <w:tcBorders>
              <w:top w:val="single" w:sz="4" w:space="0" w:color="auto"/>
              <w:bottom w:val="single" w:sz="4" w:space="0" w:color="auto"/>
            </w:tcBorders>
          </w:tcPr>
          <w:p w14:paraId="2B761471" w14:textId="77777777" w:rsidR="00801304" w:rsidRPr="00F02BC6" w:rsidRDefault="00801304" w:rsidP="00495804">
            <w:pPr>
              <w:rPr>
                <w:b/>
                <w:color w:val="000000"/>
                <w:sz w:val="20"/>
                <w:szCs w:val="20"/>
                <w:lang w:val="en-US"/>
              </w:rPr>
            </w:pPr>
            <w:r w:rsidRPr="00F02BC6">
              <w:rPr>
                <w:b/>
                <w:color w:val="000000"/>
                <w:sz w:val="20"/>
                <w:szCs w:val="20"/>
                <w:lang w:val="en-US"/>
              </w:rPr>
              <w:t>Mean Medication Adherence Rate± Standard deviation</w:t>
            </w:r>
          </w:p>
        </w:tc>
        <w:tc>
          <w:tcPr>
            <w:tcW w:w="2127" w:type="dxa"/>
            <w:tcBorders>
              <w:top w:val="single" w:sz="4" w:space="0" w:color="auto"/>
              <w:bottom w:val="single" w:sz="4" w:space="0" w:color="auto"/>
            </w:tcBorders>
          </w:tcPr>
          <w:p w14:paraId="6BFAFD61" w14:textId="77777777" w:rsidR="00801304" w:rsidRPr="00F02BC6" w:rsidRDefault="00801304" w:rsidP="00495804">
            <w:pPr>
              <w:rPr>
                <w:b/>
                <w:color w:val="000000"/>
                <w:sz w:val="20"/>
                <w:szCs w:val="20"/>
                <w:lang w:val="en-US"/>
              </w:rPr>
            </w:pPr>
            <w:r w:rsidRPr="00F02BC6">
              <w:rPr>
                <w:b/>
                <w:color w:val="000000"/>
                <w:sz w:val="20"/>
                <w:szCs w:val="20"/>
                <w:lang w:val="en-US"/>
              </w:rPr>
              <w:t>Medication Adherence rate Threshold</w:t>
            </w:r>
          </w:p>
        </w:tc>
        <w:tc>
          <w:tcPr>
            <w:tcW w:w="2976" w:type="dxa"/>
            <w:tcBorders>
              <w:top w:val="single" w:sz="4" w:space="0" w:color="auto"/>
              <w:bottom w:val="single" w:sz="4" w:space="0" w:color="auto"/>
            </w:tcBorders>
          </w:tcPr>
          <w:p w14:paraId="16D75346" w14:textId="77777777" w:rsidR="00801304" w:rsidRPr="00F02BC6" w:rsidRDefault="00801304" w:rsidP="00495804">
            <w:pPr>
              <w:rPr>
                <w:b/>
                <w:color w:val="000000"/>
                <w:sz w:val="20"/>
                <w:szCs w:val="20"/>
                <w:lang w:val="en-US"/>
              </w:rPr>
            </w:pPr>
            <w:r w:rsidRPr="00F02BC6">
              <w:rPr>
                <w:b/>
                <w:color w:val="000000"/>
                <w:sz w:val="20"/>
                <w:szCs w:val="20"/>
                <w:lang w:val="en-US"/>
              </w:rPr>
              <w:t>Probability to reach the targeted clinical outcome with Medication Adherence Threshold (Odds ratios [OR], Hazards ratios [HR] and Confidence Interval [CI])</w:t>
            </w:r>
          </w:p>
        </w:tc>
        <w:tc>
          <w:tcPr>
            <w:tcW w:w="2693" w:type="dxa"/>
            <w:tcBorders>
              <w:top w:val="single" w:sz="4" w:space="0" w:color="auto"/>
              <w:bottom w:val="single" w:sz="4" w:space="0" w:color="auto"/>
            </w:tcBorders>
          </w:tcPr>
          <w:p w14:paraId="5DA26098" w14:textId="77777777" w:rsidR="00801304" w:rsidRPr="00F02BC6" w:rsidRDefault="00801304" w:rsidP="00495804">
            <w:pPr>
              <w:rPr>
                <w:b/>
                <w:color w:val="000000"/>
                <w:sz w:val="20"/>
                <w:szCs w:val="20"/>
                <w:lang w:val="en-US"/>
              </w:rPr>
            </w:pPr>
            <w:r w:rsidRPr="00F02BC6">
              <w:rPr>
                <w:b/>
                <w:color w:val="000000"/>
                <w:sz w:val="20"/>
                <w:szCs w:val="20"/>
                <w:lang w:val="en-US"/>
              </w:rPr>
              <w:t>Methods of Threshold Determination</w:t>
            </w:r>
          </w:p>
        </w:tc>
        <w:tc>
          <w:tcPr>
            <w:tcW w:w="1559" w:type="dxa"/>
            <w:gridSpan w:val="2"/>
            <w:tcBorders>
              <w:top w:val="single" w:sz="4" w:space="0" w:color="auto"/>
              <w:bottom w:val="single" w:sz="4" w:space="0" w:color="auto"/>
            </w:tcBorders>
          </w:tcPr>
          <w:p w14:paraId="3960A1F4" w14:textId="77777777" w:rsidR="00801304" w:rsidRPr="00F02BC6" w:rsidRDefault="00801304" w:rsidP="00495804">
            <w:pPr>
              <w:rPr>
                <w:b/>
                <w:color w:val="000000"/>
                <w:sz w:val="20"/>
                <w:szCs w:val="20"/>
                <w:lang w:val="en-US"/>
              </w:rPr>
            </w:pPr>
            <w:r w:rsidRPr="00F02BC6">
              <w:rPr>
                <w:b/>
                <w:color w:val="000000"/>
                <w:sz w:val="20"/>
                <w:szCs w:val="20"/>
                <w:lang w:val="en-US"/>
              </w:rPr>
              <w:t>Nonadherence Prevalence</w:t>
            </w:r>
          </w:p>
        </w:tc>
      </w:tr>
      <w:tr w:rsidR="00801304" w:rsidRPr="00F02BC6" w14:paraId="2612FAC2" w14:textId="77777777" w:rsidTr="005F62B6">
        <w:tc>
          <w:tcPr>
            <w:tcW w:w="2219" w:type="dxa"/>
            <w:tcBorders>
              <w:top w:val="single" w:sz="4" w:space="0" w:color="auto"/>
            </w:tcBorders>
          </w:tcPr>
          <w:p w14:paraId="51D28AA7" w14:textId="77777777" w:rsidR="00801304" w:rsidRPr="00F02BC6" w:rsidRDefault="00801304" w:rsidP="00495804">
            <w:pPr>
              <w:spacing w:before="240"/>
              <w:rPr>
                <w:color w:val="000000"/>
                <w:sz w:val="20"/>
                <w:szCs w:val="20"/>
                <w:lang w:val="en-US"/>
              </w:rPr>
            </w:pPr>
            <w:r w:rsidRPr="00F02BC6">
              <w:rPr>
                <w:color w:val="000000"/>
                <w:sz w:val="20"/>
                <w:szCs w:val="20"/>
                <w:lang w:val="en-US"/>
              </w:rPr>
              <w:t>Van Boven et al</w:t>
            </w:r>
            <w:r w:rsidRPr="00F02BC6">
              <w:rPr>
                <w:color w:val="000000"/>
                <w:sz w:val="20"/>
                <w:szCs w:val="20"/>
                <w:vertAlign w:val="superscript"/>
                <w:lang w:val="en-US"/>
              </w:rPr>
              <w:t xml:space="preserve">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{"citationItems":[{"id":"ITEM-1","itemData":{"DOI":"10.1016/j.jaip.2019.12.002","ISSN":"22132198","abstract":"Background: Global Initiative for Asthma step 5 therapies (GINA-5), other than inhaled corticosteroids and long-acting β-agonists in fixed dose combinations (ICS/LABA FDC), often entail more expensive (eg, monoclonal biologics) or less safe (eg, maintenance oral corticosteroids [OCS]) treatments. It is therefore important to assess poor inhaler adherence as a possible cause of suboptimal response to ICS/LABA FDC before additional GINA-5. Objective: To determine rates of, and time to, additional GINA-5 after first-year ICS/LABA FDC use, and their association with inhaler adherence. Methods: Patients initiating ICS/LABA FDC between 2013 and 2017 were identified from Australian national dispensing data. Group-based trajectory modeling was used to estimate medication adherence patterns. Multivariable Cox proportional hazards models were used to examine the association between adherence trajectories and GINA-5 addition during 2-year follow-up. Results: In total, 3062 new ICS/LABA FDC users were identified, of whom 120 (3.9%) received additional GINA-5 (OCS: 89; long-acting muscarinic antagonists: 39; biologics: &lt;3). Mean time to commencing additional GINA-5 was 705.2 (standard deviation, 1.7) days. Adherence trajectories were nonpersistent use (20%), seasonal use (8%), poor adherence (58%), and good adherence (13%). Although poor adherence was associated with longer time to additional GINA-5 (adjusted hazard ratio: 0.58; 95% confidence interval: 0.35-0.95), over 80% of additional GINA-5 was commenced in poorly adherent patients. Use of ≥2 OCS/antibiotic courses also predicted additional GINA-5. Conclusions: Almost 1 in 20 people with asthma commenced additional GINA-5 after ICS/LABA initiation, most of whom (&gt;80%) were poorly adherent to inhaled preventers. There is a substantial unmet need for inhaler adherence to be addressed before prescribing additional GINA-5.","author":[{"dropping-particle":"","family":"Boven","given":"Job F.M.","non-dropping-particle":"van","parse-names":false,"suffix":""},{"dropping-particle":"","family":"Koponen","given":"Marjaana","non-dropping-particle":"","parse-names":false,"suffix":""},{"dropping-particle":"","family":"Lalic","given":"Samanta","non-dropping-particle":"","parse-names":false,"suffix":""},{"dropping-particle":"","family":"George","given":"Johnson","non-dropping-particle":"","parse-names":false,"suffix":""},{"dropping-particle":"","family":"Bell","given":"J. Simon","non-dropping-particle":"","parse-names":false,"suffix":""},{"dropping-particle":"","family":"Hew","given":"Mark","non-dropping-particle":"","parse-names":false,"suffix":""},{"dropping-particle":"","family":"Ilomaki","given":"Jenni","non-dropping-particle":"","parse-names":false,"suffix":""}],"container-title":"Journal of Allergy and Clinical Immunology: In Practice","id":"ITEM-1","issued":{"date-parts":[["2020"]]},"publisher":"Elsevier Inc","title":"Trajectory Analyses of Adherence Patterns in a Real-Life Moderate to Severe Asthma Population","type":"article-journal"},"uris":["http://www.mendeley.com/documents/?uuid=beb4e4fb-9025-4d32-bd91-81469961785a"]}],"mendeley":{"formattedCitation":"(44)","plainTextFormattedCitation":"(44)","previouslyFormattedCitation":"(44)"},"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(44)</w:t>
            </w:r>
            <w:r w:rsidRPr="00F02BC6">
              <w:rPr>
                <w:color w:val="000000"/>
                <w:sz w:val="20"/>
                <w:szCs w:val="20"/>
                <w:vertAlign w:val="superscript"/>
                <w:lang w:val="en-US"/>
              </w:rPr>
              <w:fldChar w:fldCharType="end"/>
            </w:r>
          </w:p>
        </w:tc>
        <w:tc>
          <w:tcPr>
            <w:tcW w:w="1984" w:type="dxa"/>
            <w:tcBorders>
              <w:top w:val="single" w:sz="4" w:space="0" w:color="auto"/>
            </w:tcBorders>
          </w:tcPr>
          <w:p w14:paraId="256328DB" w14:textId="77777777" w:rsidR="00801304" w:rsidRPr="00F02BC6" w:rsidRDefault="00801304" w:rsidP="00495804">
            <w:pPr>
              <w:rPr>
                <w:color w:val="000000"/>
                <w:sz w:val="20"/>
                <w:szCs w:val="20"/>
                <w:lang w:val="en-US"/>
              </w:rPr>
            </w:pPr>
          </w:p>
          <w:p w14:paraId="151E01E9" w14:textId="358B567F" w:rsidR="00776CF9" w:rsidRPr="00F02BC6" w:rsidRDefault="00776CF9" w:rsidP="00495804">
            <w:pPr>
              <w:rPr>
                <w:color w:val="000000"/>
                <w:sz w:val="20"/>
                <w:szCs w:val="20"/>
                <w:lang w:val="en-US"/>
              </w:rPr>
            </w:pPr>
            <w:r w:rsidRPr="00F02BC6">
              <w:rPr>
                <w:color w:val="000000"/>
                <w:sz w:val="20"/>
                <w:szCs w:val="20"/>
                <w:lang w:val="en-US"/>
              </w:rPr>
              <w:t xml:space="preserve">Physician diagnosed asthma </w:t>
            </w:r>
            <w:r w:rsidR="002A033E" w:rsidRPr="00F02BC6">
              <w:rPr>
                <w:color w:val="000000"/>
                <w:sz w:val="20"/>
                <w:szCs w:val="20"/>
                <w:lang w:val="en-US"/>
              </w:rPr>
              <w:t>and with records of prescribed asthma medications</w:t>
            </w:r>
          </w:p>
        </w:tc>
        <w:tc>
          <w:tcPr>
            <w:tcW w:w="1843" w:type="dxa"/>
            <w:tcBorders>
              <w:top w:val="single" w:sz="4" w:space="0" w:color="auto"/>
            </w:tcBorders>
          </w:tcPr>
          <w:p w14:paraId="3B3C07EF" w14:textId="77777777" w:rsidR="00801304" w:rsidRPr="00F02BC6" w:rsidRDefault="00801304" w:rsidP="00495804">
            <w:pPr>
              <w:rPr>
                <w:color w:val="000000"/>
                <w:sz w:val="20"/>
                <w:szCs w:val="20"/>
                <w:lang w:val="en-US"/>
              </w:rPr>
            </w:pPr>
          </w:p>
          <w:p w14:paraId="09092FD3" w14:textId="77777777" w:rsidR="00801304" w:rsidRPr="00F02BC6" w:rsidRDefault="00801304" w:rsidP="00495804">
            <w:pPr>
              <w:rPr>
                <w:color w:val="000000"/>
                <w:sz w:val="20"/>
                <w:szCs w:val="20"/>
                <w:lang w:val="en-US"/>
              </w:rPr>
            </w:pPr>
            <w:r w:rsidRPr="00F02BC6">
              <w:rPr>
                <w:color w:val="000000"/>
                <w:sz w:val="20"/>
                <w:szCs w:val="20"/>
                <w:lang w:val="en-US"/>
              </w:rPr>
              <w:t>----</w:t>
            </w:r>
          </w:p>
        </w:tc>
        <w:tc>
          <w:tcPr>
            <w:tcW w:w="2127" w:type="dxa"/>
            <w:tcBorders>
              <w:top w:val="single" w:sz="4" w:space="0" w:color="auto"/>
            </w:tcBorders>
          </w:tcPr>
          <w:p w14:paraId="407C5684" w14:textId="77777777" w:rsidR="00801304" w:rsidRPr="00F02BC6" w:rsidRDefault="00801304" w:rsidP="00495804">
            <w:pPr>
              <w:autoSpaceDE w:val="0"/>
              <w:autoSpaceDN w:val="0"/>
              <w:adjustRightInd w:val="0"/>
              <w:rPr>
                <w:color w:val="000000"/>
                <w:sz w:val="16"/>
                <w:szCs w:val="16"/>
                <w:lang w:val="en-US"/>
              </w:rPr>
            </w:pPr>
            <w:r w:rsidRPr="00F02BC6">
              <w:rPr>
                <w:color w:val="000000"/>
                <w:sz w:val="16"/>
                <w:szCs w:val="16"/>
                <w:lang w:val="en-US"/>
              </w:rPr>
              <w:t>Group-based trajectory</w:t>
            </w:r>
          </w:p>
          <w:p w14:paraId="7D0FEDE0" w14:textId="77777777" w:rsidR="00801304" w:rsidRPr="00F02BC6" w:rsidRDefault="00801304" w:rsidP="00495804">
            <w:pPr>
              <w:rPr>
                <w:color w:val="000000"/>
                <w:sz w:val="20"/>
                <w:szCs w:val="20"/>
                <w:lang w:val="en-US"/>
              </w:rPr>
            </w:pPr>
            <w:r w:rsidRPr="00F02BC6">
              <w:rPr>
                <w:color w:val="000000"/>
                <w:sz w:val="16"/>
                <w:szCs w:val="16"/>
                <w:lang w:val="en-US"/>
              </w:rPr>
              <w:t xml:space="preserve">modeling (GBTM): -categorized into non-persistent, seasonal use, poor </w:t>
            </w:r>
            <w:proofErr w:type="gramStart"/>
            <w:r w:rsidRPr="00F02BC6">
              <w:rPr>
                <w:color w:val="000000"/>
                <w:sz w:val="16"/>
                <w:szCs w:val="16"/>
                <w:lang w:val="en-US"/>
              </w:rPr>
              <w:t>adherence</w:t>
            </w:r>
            <w:proofErr w:type="gramEnd"/>
            <w:r w:rsidRPr="00F02BC6">
              <w:rPr>
                <w:color w:val="000000"/>
                <w:sz w:val="16"/>
                <w:szCs w:val="16"/>
                <w:lang w:val="en-US"/>
              </w:rPr>
              <w:t xml:space="preserve"> and good adherence.</w:t>
            </w:r>
          </w:p>
        </w:tc>
        <w:tc>
          <w:tcPr>
            <w:tcW w:w="2976" w:type="dxa"/>
            <w:tcBorders>
              <w:top w:val="single" w:sz="4" w:space="0" w:color="auto"/>
            </w:tcBorders>
          </w:tcPr>
          <w:p w14:paraId="6725A81A" w14:textId="77777777" w:rsidR="00801304" w:rsidRPr="00F02BC6" w:rsidRDefault="00801304" w:rsidP="00495804">
            <w:pPr>
              <w:rPr>
                <w:color w:val="000000"/>
                <w:sz w:val="20"/>
                <w:szCs w:val="20"/>
                <w:lang w:val="en-US"/>
              </w:rPr>
            </w:pPr>
            <w:r w:rsidRPr="00F02BC6">
              <w:rPr>
                <w:color w:val="000000"/>
                <w:sz w:val="20"/>
                <w:szCs w:val="20"/>
                <w:lang w:val="en-US"/>
              </w:rPr>
              <w:t>Poor adherence (58%), nonpersistent use (20%), seasonal use (8%), and good adherence (13%). Poor adherence was associated with longer time to additional GINA-5 (adjusted HR: 0.58; 95% CI: 0.35-0.95.</w:t>
            </w:r>
          </w:p>
        </w:tc>
        <w:tc>
          <w:tcPr>
            <w:tcW w:w="2693" w:type="dxa"/>
            <w:tcBorders>
              <w:top w:val="single" w:sz="4" w:space="0" w:color="auto"/>
            </w:tcBorders>
          </w:tcPr>
          <w:p w14:paraId="2AAEE5DB" w14:textId="77777777" w:rsidR="00801304" w:rsidRPr="00F02BC6" w:rsidRDefault="00801304" w:rsidP="00495804">
            <w:pPr>
              <w:autoSpaceDE w:val="0"/>
              <w:autoSpaceDN w:val="0"/>
              <w:adjustRightInd w:val="0"/>
              <w:rPr>
                <w:color w:val="000000"/>
                <w:sz w:val="18"/>
                <w:szCs w:val="18"/>
                <w:lang w:val="en-US"/>
              </w:rPr>
            </w:pPr>
            <w:r w:rsidRPr="00F02BC6">
              <w:rPr>
                <w:color w:val="000000"/>
                <w:sz w:val="18"/>
                <w:szCs w:val="18"/>
                <w:lang w:val="en-US"/>
              </w:rPr>
              <w:t>Multivariable Cox proportional</w:t>
            </w:r>
          </w:p>
          <w:p w14:paraId="12B4D86E" w14:textId="77777777" w:rsidR="00801304" w:rsidRPr="00F02BC6" w:rsidRDefault="00801304" w:rsidP="00495804">
            <w:pPr>
              <w:rPr>
                <w:color w:val="000000"/>
                <w:sz w:val="20"/>
                <w:szCs w:val="20"/>
                <w:lang w:val="en-US"/>
              </w:rPr>
            </w:pPr>
            <w:r w:rsidRPr="00F02BC6">
              <w:rPr>
                <w:color w:val="000000"/>
                <w:sz w:val="18"/>
                <w:szCs w:val="18"/>
                <w:lang w:val="en-US"/>
              </w:rPr>
              <w:t>hazards models</w:t>
            </w:r>
          </w:p>
        </w:tc>
        <w:tc>
          <w:tcPr>
            <w:tcW w:w="1559" w:type="dxa"/>
            <w:gridSpan w:val="2"/>
            <w:tcBorders>
              <w:top w:val="single" w:sz="4" w:space="0" w:color="auto"/>
            </w:tcBorders>
          </w:tcPr>
          <w:p w14:paraId="3EDFAD95" w14:textId="77777777" w:rsidR="00801304" w:rsidRPr="00F02BC6" w:rsidRDefault="00801304" w:rsidP="00495804">
            <w:pPr>
              <w:rPr>
                <w:color w:val="000000"/>
                <w:sz w:val="20"/>
                <w:szCs w:val="20"/>
                <w:lang w:val="en-US"/>
              </w:rPr>
            </w:pPr>
            <w:r w:rsidRPr="00F02BC6">
              <w:rPr>
                <w:color w:val="000000"/>
                <w:sz w:val="20"/>
                <w:szCs w:val="20"/>
                <w:lang w:val="en-US"/>
              </w:rPr>
              <w:t>Poor adherence rate was 58%</w:t>
            </w:r>
          </w:p>
        </w:tc>
      </w:tr>
      <w:tr w:rsidR="00801304" w:rsidRPr="00F02BC6" w14:paraId="5EF51558" w14:textId="77777777" w:rsidTr="005F62B6">
        <w:tc>
          <w:tcPr>
            <w:tcW w:w="2219" w:type="dxa"/>
            <w:tcBorders>
              <w:top w:val="single" w:sz="4" w:space="0" w:color="auto"/>
              <w:bottom w:val="single" w:sz="4" w:space="0" w:color="auto"/>
            </w:tcBorders>
          </w:tcPr>
          <w:p w14:paraId="412A9ED9" w14:textId="77777777" w:rsidR="00801304" w:rsidRPr="00F02BC6" w:rsidRDefault="00801304" w:rsidP="00495804">
            <w:pPr>
              <w:rPr>
                <w:b/>
                <w:color w:val="000000"/>
                <w:sz w:val="20"/>
                <w:szCs w:val="20"/>
                <w:lang w:val="en-US"/>
              </w:rPr>
            </w:pPr>
            <w:r w:rsidRPr="00F02BC6">
              <w:rPr>
                <w:b/>
                <w:color w:val="000000"/>
                <w:sz w:val="20"/>
                <w:szCs w:val="20"/>
                <w:lang w:val="en-US"/>
              </w:rPr>
              <w:t>Author</w:t>
            </w:r>
          </w:p>
        </w:tc>
        <w:tc>
          <w:tcPr>
            <w:tcW w:w="1984" w:type="dxa"/>
            <w:tcBorders>
              <w:top w:val="single" w:sz="4" w:space="0" w:color="auto"/>
              <w:bottom w:val="single" w:sz="4" w:space="0" w:color="auto"/>
            </w:tcBorders>
          </w:tcPr>
          <w:p w14:paraId="1B1CB16B" w14:textId="77777777" w:rsidR="00801304" w:rsidRPr="00F02BC6" w:rsidRDefault="00801304" w:rsidP="00495804">
            <w:pPr>
              <w:rPr>
                <w:b/>
                <w:color w:val="000000"/>
                <w:sz w:val="20"/>
                <w:szCs w:val="20"/>
                <w:lang w:val="en-US"/>
              </w:rPr>
            </w:pPr>
          </w:p>
        </w:tc>
        <w:tc>
          <w:tcPr>
            <w:tcW w:w="1843" w:type="dxa"/>
            <w:tcBorders>
              <w:top w:val="single" w:sz="4" w:space="0" w:color="auto"/>
              <w:bottom w:val="single" w:sz="4" w:space="0" w:color="auto"/>
            </w:tcBorders>
          </w:tcPr>
          <w:p w14:paraId="36CF0D65" w14:textId="77777777" w:rsidR="00801304" w:rsidRPr="00F02BC6" w:rsidRDefault="00801304" w:rsidP="00495804">
            <w:pPr>
              <w:rPr>
                <w:b/>
                <w:color w:val="000000"/>
                <w:sz w:val="20"/>
                <w:szCs w:val="20"/>
                <w:lang w:val="en-US"/>
              </w:rPr>
            </w:pPr>
            <w:r w:rsidRPr="00F02BC6">
              <w:rPr>
                <w:b/>
                <w:color w:val="000000"/>
                <w:sz w:val="20"/>
                <w:szCs w:val="20"/>
                <w:lang w:val="en-US"/>
              </w:rPr>
              <w:t>Mean Medication Adherence Rate± Standard deviation</w:t>
            </w:r>
          </w:p>
        </w:tc>
        <w:tc>
          <w:tcPr>
            <w:tcW w:w="2127" w:type="dxa"/>
            <w:tcBorders>
              <w:top w:val="single" w:sz="4" w:space="0" w:color="auto"/>
              <w:bottom w:val="single" w:sz="4" w:space="0" w:color="auto"/>
            </w:tcBorders>
          </w:tcPr>
          <w:p w14:paraId="4041A605" w14:textId="77777777" w:rsidR="00801304" w:rsidRPr="00F02BC6" w:rsidRDefault="00801304" w:rsidP="00495804">
            <w:pPr>
              <w:rPr>
                <w:b/>
                <w:color w:val="000000"/>
                <w:sz w:val="20"/>
                <w:szCs w:val="20"/>
                <w:lang w:val="en-US"/>
              </w:rPr>
            </w:pPr>
            <w:r w:rsidRPr="00F02BC6">
              <w:rPr>
                <w:b/>
                <w:color w:val="000000"/>
                <w:sz w:val="20"/>
                <w:szCs w:val="20"/>
                <w:lang w:val="en-US"/>
              </w:rPr>
              <w:t>Medication Adherence rate Threshold</w:t>
            </w:r>
          </w:p>
        </w:tc>
        <w:tc>
          <w:tcPr>
            <w:tcW w:w="2976" w:type="dxa"/>
            <w:tcBorders>
              <w:top w:val="single" w:sz="4" w:space="0" w:color="auto"/>
              <w:bottom w:val="single" w:sz="4" w:space="0" w:color="auto"/>
            </w:tcBorders>
          </w:tcPr>
          <w:p w14:paraId="318AEEDA" w14:textId="77777777" w:rsidR="00801304" w:rsidRPr="00F02BC6" w:rsidRDefault="00801304" w:rsidP="00495804">
            <w:pPr>
              <w:rPr>
                <w:b/>
                <w:color w:val="000000"/>
                <w:sz w:val="20"/>
                <w:szCs w:val="20"/>
                <w:lang w:val="en-US"/>
              </w:rPr>
            </w:pPr>
            <w:r w:rsidRPr="00F02BC6">
              <w:rPr>
                <w:b/>
                <w:color w:val="000000"/>
                <w:sz w:val="20"/>
                <w:szCs w:val="20"/>
                <w:lang w:val="en-US"/>
              </w:rPr>
              <w:t>Probability to reach the targeted clinical outcome with Medication Adherence Threshold (Odds ratios [OR], Hazards ratios [HR] and Confidence Interval [CI])</w:t>
            </w:r>
          </w:p>
        </w:tc>
        <w:tc>
          <w:tcPr>
            <w:tcW w:w="2693" w:type="dxa"/>
            <w:tcBorders>
              <w:top w:val="single" w:sz="4" w:space="0" w:color="auto"/>
              <w:bottom w:val="single" w:sz="4" w:space="0" w:color="auto"/>
            </w:tcBorders>
          </w:tcPr>
          <w:p w14:paraId="39F9DD4A" w14:textId="77777777" w:rsidR="00801304" w:rsidRPr="00F02BC6" w:rsidRDefault="00801304" w:rsidP="00495804">
            <w:pPr>
              <w:rPr>
                <w:b/>
                <w:color w:val="000000"/>
                <w:sz w:val="20"/>
                <w:szCs w:val="20"/>
                <w:lang w:val="en-US"/>
              </w:rPr>
            </w:pPr>
            <w:r w:rsidRPr="00F02BC6">
              <w:rPr>
                <w:b/>
                <w:color w:val="000000"/>
                <w:sz w:val="20"/>
                <w:szCs w:val="20"/>
                <w:lang w:val="en-US"/>
              </w:rPr>
              <w:t>Methods of Threshold Determination</w:t>
            </w:r>
          </w:p>
        </w:tc>
        <w:tc>
          <w:tcPr>
            <w:tcW w:w="1559" w:type="dxa"/>
            <w:gridSpan w:val="2"/>
            <w:tcBorders>
              <w:top w:val="single" w:sz="4" w:space="0" w:color="auto"/>
              <w:bottom w:val="single" w:sz="4" w:space="0" w:color="auto"/>
            </w:tcBorders>
          </w:tcPr>
          <w:p w14:paraId="41AB2D49" w14:textId="77777777" w:rsidR="00801304" w:rsidRPr="00F02BC6" w:rsidRDefault="00801304" w:rsidP="00495804">
            <w:pPr>
              <w:rPr>
                <w:b/>
                <w:color w:val="000000"/>
                <w:sz w:val="20"/>
                <w:szCs w:val="20"/>
                <w:lang w:val="en-US"/>
              </w:rPr>
            </w:pPr>
            <w:r w:rsidRPr="00F02BC6">
              <w:rPr>
                <w:b/>
                <w:color w:val="000000"/>
                <w:sz w:val="20"/>
                <w:szCs w:val="20"/>
                <w:lang w:val="en-US"/>
              </w:rPr>
              <w:t>Nonadherence Prevalence</w:t>
            </w:r>
          </w:p>
        </w:tc>
      </w:tr>
      <w:tr w:rsidR="00801304" w:rsidRPr="00F02BC6" w14:paraId="2BC49EFD" w14:textId="77777777" w:rsidTr="005F62B6">
        <w:tc>
          <w:tcPr>
            <w:tcW w:w="2219" w:type="dxa"/>
            <w:tcBorders>
              <w:top w:val="single" w:sz="4" w:space="0" w:color="auto"/>
            </w:tcBorders>
          </w:tcPr>
          <w:p w14:paraId="7B40CA46" w14:textId="77777777" w:rsidR="00801304" w:rsidRPr="00F02BC6" w:rsidRDefault="00801304" w:rsidP="00495804">
            <w:pPr>
              <w:rPr>
                <w:color w:val="000000"/>
                <w:sz w:val="20"/>
                <w:szCs w:val="20"/>
                <w:lang w:val="en-US"/>
              </w:rPr>
            </w:pPr>
            <w:proofErr w:type="spellStart"/>
            <w:r w:rsidRPr="00F02BC6">
              <w:rPr>
                <w:color w:val="000000"/>
                <w:sz w:val="20"/>
                <w:szCs w:val="20"/>
                <w:lang w:val="en-US"/>
              </w:rPr>
              <w:t>Vervloet</w:t>
            </w:r>
            <w:proofErr w:type="spellEnd"/>
            <w:r w:rsidRPr="00F02BC6">
              <w:rPr>
                <w:color w:val="000000"/>
                <w:sz w:val="20"/>
                <w:szCs w:val="20"/>
                <w:lang w:val="en-US"/>
              </w:rPr>
              <w:t xml:space="preserve"> et al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{"citationItems":[{"id":"ITEM-1","itemData":{"DOI":"10.1016/j.jaip.2019.09.003","ISSN":"22132198","abstract":"Background: Low inhaled corticosteroid (ICS) adherence is associated with increased asthma burden. This relationship is likely bidirectional, and may vary across adherence stages (initiation, implementation, and persistence). Studies rarely examine reciprocal influences. Objective: To investigate the relationship between ICS implementation and asthma-related outcomes over 2 years, considering bidirectionality and temporal sequence. Methods: Primary care records (1987-2012) from the Optimum Patient Care Research Database, United Kingdom, were used. Eligible patients were 6 years or older and had 3 or more years of continuous registration starting 1 year before ICS initiation (index date), physician-diagnosed asthma, 2 or more ICS and/or short-acting β-agonist prescriptions each follow-up year, and no long-acting β-agonists, leukotriene receptor antagonists, or maintenance oral corticosteroids in the preceding year. ICS implementation (percentage of days covered) and risk domain asthma control (RDAC; no asthma-related hospitalizations, emergency visits, or outpatient visits and no oral corticosteroid or antibiotic prescriptions with evidence of respiratory review) were estimated for each prescription interval (period between 2 successive prescriptions). Multilevel analyses modeled bidirectional relationships between ICS implementation and RDAC (and its components), controlling for sociodemographic and clinical characteristics. Results: In prescription data from 10,472 patients, ICS implementation in the preceding interval did not predict RDAC, but was weakly positively associated with simultaneous RDAC. Being male, non–current smoker, without chronic obstructive pulmonary disease diagnosis, and with fewer than 4 comorbidities significantly increased odds of RDAC. Asthma-related antibiotics and outpatient visits in the same interval and short-acting β-agonist overuse in the preceding and same interval predicted lower ICS implementation. Conclusions: Patients may adapt their ICS use to their current needs without this impacting later RDAC.","author":[{"dropping-particle":"","family":"Vervloet","given":"Marcia","non-dropping-particle":"","parse-names":false,"suffix":""},{"dropping-particle":"","family":"Dijk","given":"Liset","non-dropping-particle":"van","parse-names":false,"suffix":""},{"dropping-particle":"","family":"Spreeuwenberg","given":"Peter","non-dropping-particle":"","parse-names":false,"suffix":""},{"dropping-particle":"","family":"Price","given":"David","non-dropping-particle":"","parse-names":false,"suffix":""},{"dropping-particle":"","family":"Chisholm","given":"Alison","non-dropping-particle":"","parse-names":false,"suffix":""},{"dropping-particle":"","family":"Ganse","given":"Eric","non-dropping-particle":"Van","parse-names":false,"suffix":""},{"dropping-particle":"","family":"Pinnock","given":"Hilary","non-dropping-particle":"","parse-names":false,"suffix":""},{"dropping-particle":"","family":"Rand","given":"Cynthia S.","non-dropping-particle":"","parse-names":false,"suffix":""},{"dropping-particle":"","family":"Eakin","given":"Michelle N.","non-dropping-particle":"","parse-names":false,"suffix":""},{"dropping-particle":"","family":"Schermer","given":"Tjard","non-dropping-particle":"","parse-names":false,"suffix":""},{"dropping-particle":"","family":"Souverein","given":"Patrick C.","non-dropping-particle":"","parse-names":false,"suffix":""},{"dropping-particle":"","family":"Dima","given":"Alexandra L.","non-dropping-particle":"","parse-names":false,"suffix":""}],"container-title":"Journal of Allergy and Clinical Immunology: In Practice","id":"ITEM-1","issue":"2","issued":{"date-parts":[["2020"]]},"page":"626-634","title":"The Relationship Between Real-World Inhaled Corticosteroid Adherence and Asthma Outcomes: A Multilevel Approach","type":"article-journal","volume":"8"},"uris":["http://www.mendeley.com/documents/?uuid=adf21c90-e7a5-44cc-aa89-475310a343fa"]}],"mendeley":{"formattedCitation":"(46)","plainTextFormattedCitation":"(46)","previouslyFormattedCitation":"(46)"},"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(46)</w:t>
            </w:r>
            <w:r w:rsidRPr="00F02BC6">
              <w:rPr>
                <w:color w:val="000000"/>
                <w:sz w:val="20"/>
                <w:szCs w:val="20"/>
                <w:vertAlign w:val="superscript"/>
                <w:lang w:val="en-US"/>
              </w:rPr>
              <w:fldChar w:fldCharType="end"/>
            </w:r>
          </w:p>
        </w:tc>
        <w:tc>
          <w:tcPr>
            <w:tcW w:w="1984" w:type="dxa"/>
            <w:tcBorders>
              <w:top w:val="single" w:sz="4" w:space="0" w:color="auto"/>
            </w:tcBorders>
          </w:tcPr>
          <w:p w14:paraId="7F9CE28D" w14:textId="27731AC5" w:rsidR="00801304" w:rsidRPr="00F02BC6" w:rsidRDefault="002A033E" w:rsidP="00495804">
            <w:pPr>
              <w:rPr>
                <w:color w:val="000000"/>
                <w:sz w:val="20"/>
                <w:szCs w:val="20"/>
                <w:lang w:val="en-US"/>
              </w:rPr>
            </w:pPr>
            <w:r w:rsidRPr="00F02BC6">
              <w:rPr>
                <w:color w:val="000000"/>
                <w:sz w:val="20"/>
                <w:szCs w:val="20"/>
                <w:lang w:val="en-US"/>
              </w:rPr>
              <w:t>Physician diagnosed asthma and with records of prescribed asthma medications</w:t>
            </w:r>
          </w:p>
        </w:tc>
        <w:tc>
          <w:tcPr>
            <w:tcW w:w="1843" w:type="dxa"/>
            <w:tcBorders>
              <w:top w:val="single" w:sz="4" w:space="0" w:color="auto"/>
            </w:tcBorders>
          </w:tcPr>
          <w:p w14:paraId="40AC36A1" w14:textId="77777777" w:rsidR="00801304" w:rsidRPr="00F02BC6" w:rsidRDefault="00801304" w:rsidP="00495804">
            <w:pPr>
              <w:rPr>
                <w:color w:val="000000"/>
                <w:sz w:val="20"/>
                <w:szCs w:val="20"/>
                <w:lang w:val="en-US"/>
              </w:rPr>
            </w:pPr>
            <w:r w:rsidRPr="00F02BC6">
              <w:rPr>
                <w:color w:val="000000"/>
                <w:sz w:val="20"/>
                <w:szCs w:val="20"/>
                <w:lang w:val="en-US"/>
              </w:rPr>
              <w:t>----</w:t>
            </w:r>
          </w:p>
        </w:tc>
        <w:tc>
          <w:tcPr>
            <w:tcW w:w="2127" w:type="dxa"/>
            <w:tcBorders>
              <w:top w:val="single" w:sz="4" w:space="0" w:color="auto"/>
            </w:tcBorders>
          </w:tcPr>
          <w:p w14:paraId="29B89E9F" w14:textId="77777777" w:rsidR="00801304" w:rsidRPr="00F02BC6" w:rsidRDefault="00801304" w:rsidP="00495804">
            <w:pPr>
              <w:rPr>
                <w:color w:val="000000"/>
                <w:sz w:val="20"/>
                <w:szCs w:val="20"/>
                <w:lang w:val="en-US"/>
              </w:rPr>
            </w:pPr>
            <w:r w:rsidRPr="00F02BC6">
              <w:rPr>
                <w:color w:val="000000"/>
                <w:sz w:val="20"/>
                <w:szCs w:val="20"/>
                <w:lang w:val="en-US"/>
              </w:rPr>
              <w:t xml:space="preserve">ICS implementation </w:t>
            </w:r>
          </w:p>
          <w:p w14:paraId="2AAA1553" w14:textId="77777777" w:rsidR="00801304" w:rsidRPr="00F02BC6" w:rsidRDefault="00801304" w:rsidP="00495804">
            <w:pPr>
              <w:rPr>
                <w:color w:val="000000"/>
                <w:sz w:val="20"/>
                <w:szCs w:val="20"/>
                <w:lang w:val="en-US"/>
              </w:rPr>
            </w:pPr>
            <w:r w:rsidRPr="00F02BC6">
              <w:rPr>
                <w:color w:val="000000"/>
                <w:sz w:val="20"/>
                <w:szCs w:val="20"/>
                <w:lang w:val="en-US"/>
              </w:rPr>
              <w:t>(1 - 99%)</w:t>
            </w:r>
          </w:p>
        </w:tc>
        <w:tc>
          <w:tcPr>
            <w:tcW w:w="2976" w:type="dxa"/>
            <w:tcBorders>
              <w:top w:val="single" w:sz="4" w:space="0" w:color="auto"/>
            </w:tcBorders>
          </w:tcPr>
          <w:p w14:paraId="5A00E9A4" w14:textId="77777777" w:rsidR="00801304" w:rsidRPr="00F02BC6" w:rsidRDefault="00801304" w:rsidP="00495804">
            <w:pPr>
              <w:rPr>
                <w:color w:val="000000"/>
                <w:sz w:val="20"/>
                <w:szCs w:val="20"/>
                <w:lang w:val="en-US"/>
              </w:rPr>
            </w:pPr>
            <w:r w:rsidRPr="00F02BC6">
              <w:rPr>
                <w:color w:val="000000"/>
                <w:sz w:val="20"/>
                <w:szCs w:val="20"/>
                <w:lang w:val="en-US"/>
              </w:rPr>
              <w:t xml:space="preserve">ICS implementation (percentage of days covered by the prescription </w:t>
            </w:r>
            <w:proofErr w:type="gramStart"/>
            <w:r w:rsidRPr="00F02BC6">
              <w:rPr>
                <w:color w:val="000000"/>
                <w:sz w:val="20"/>
                <w:szCs w:val="20"/>
                <w:lang w:val="en-US"/>
              </w:rPr>
              <w:t>on the basis of</w:t>
            </w:r>
            <w:proofErr w:type="gramEnd"/>
            <w:r w:rsidRPr="00F02BC6">
              <w:rPr>
                <w:color w:val="000000"/>
                <w:sz w:val="20"/>
                <w:szCs w:val="20"/>
                <w:lang w:val="en-US"/>
              </w:rPr>
              <w:t xml:space="preserve"> quantity, dosage, and duration and computed for each prescription interval) vs RDAC (composite outcome)</w:t>
            </w:r>
            <w:r w:rsidRPr="00F02BC6">
              <w:rPr>
                <w:rFonts w:ascii="AdvOT97231e80.B" w:hAnsi="AdvOT97231e80.B" w:cs="AdvOT97231e80.B"/>
                <w:color w:val="000000"/>
                <w:sz w:val="18"/>
                <w:szCs w:val="18"/>
                <w:lang w:val="en-US"/>
              </w:rPr>
              <w:t xml:space="preserve"> ICS </w:t>
            </w:r>
            <w:r w:rsidRPr="00F02BC6">
              <w:rPr>
                <w:color w:val="000000"/>
                <w:sz w:val="20"/>
                <w:szCs w:val="20"/>
                <w:lang w:val="en-US"/>
              </w:rPr>
              <w:t>was weakly positively associated with simultaneous RDAC.</w:t>
            </w:r>
          </w:p>
        </w:tc>
        <w:tc>
          <w:tcPr>
            <w:tcW w:w="2693" w:type="dxa"/>
            <w:tcBorders>
              <w:top w:val="single" w:sz="4" w:space="0" w:color="auto"/>
            </w:tcBorders>
          </w:tcPr>
          <w:p w14:paraId="70102645" w14:textId="77777777" w:rsidR="00801304" w:rsidRPr="00F02BC6" w:rsidRDefault="00801304" w:rsidP="00495804">
            <w:pPr>
              <w:rPr>
                <w:color w:val="000000"/>
                <w:sz w:val="20"/>
                <w:szCs w:val="20"/>
                <w:lang w:val="en-US"/>
              </w:rPr>
            </w:pPr>
            <w:r w:rsidRPr="00F02BC6">
              <w:rPr>
                <w:color w:val="000000"/>
                <w:sz w:val="20"/>
                <w:szCs w:val="20"/>
                <w:lang w:val="en-US"/>
              </w:rPr>
              <w:t>Multilevel analysis</w:t>
            </w:r>
          </w:p>
        </w:tc>
        <w:tc>
          <w:tcPr>
            <w:tcW w:w="1559" w:type="dxa"/>
            <w:gridSpan w:val="2"/>
            <w:tcBorders>
              <w:top w:val="single" w:sz="4" w:space="0" w:color="auto"/>
            </w:tcBorders>
          </w:tcPr>
          <w:p w14:paraId="36992246" w14:textId="77777777" w:rsidR="00801304" w:rsidRPr="00F02BC6" w:rsidRDefault="00801304" w:rsidP="00495804">
            <w:pPr>
              <w:rPr>
                <w:color w:val="000000"/>
                <w:sz w:val="20"/>
                <w:szCs w:val="20"/>
                <w:lang w:val="en-US"/>
              </w:rPr>
            </w:pPr>
            <w:r w:rsidRPr="00F02BC6">
              <w:rPr>
                <w:color w:val="000000"/>
                <w:sz w:val="20"/>
                <w:szCs w:val="20"/>
                <w:lang w:val="en-US"/>
              </w:rPr>
              <w:t>----</w:t>
            </w:r>
          </w:p>
        </w:tc>
      </w:tr>
      <w:tr w:rsidR="00801304" w:rsidRPr="00F02BC6" w14:paraId="1E3A97C6" w14:textId="77777777" w:rsidTr="005F62B6">
        <w:tc>
          <w:tcPr>
            <w:tcW w:w="2219" w:type="dxa"/>
          </w:tcPr>
          <w:p w14:paraId="3114154C" w14:textId="77777777" w:rsidR="00801304" w:rsidRPr="00F02BC6" w:rsidRDefault="00801304" w:rsidP="00495804">
            <w:pPr>
              <w:rPr>
                <w:color w:val="000000"/>
                <w:sz w:val="20"/>
                <w:szCs w:val="20"/>
                <w:lang w:val="en-US"/>
              </w:rPr>
            </w:pPr>
            <w:r w:rsidRPr="00F02BC6">
              <w:rPr>
                <w:color w:val="000000"/>
                <w:sz w:val="20"/>
                <w:szCs w:val="20"/>
                <w:lang w:val="en-US"/>
              </w:rPr>
              <w:t xml:space="preserve">Williams et al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author":[{"dropping-particle":"","family":"Williams","given":"S","non-dropping-particle":"","parse-names":false,"suffix":""},{"dropping-particle":"","family":"Trudo","given":"F","non-dropping-particle":"","parse-names":false,"suffix":""},{"dropping-particle":"","family":"Suchower","given":"L","non-dropping-particle":"","parse-names":false,"suffix":""},{"dropping-particle":"","family":"Tunceli","given":"O","non-dropping-particle":"","parse-names":false,"suffix":""},{"dropping-particle":"","family":"Kern","given":"D","non-dropping-particle":"","parse-names":false,"suffix":""},{"dropping-particle":"","family":"Pethick","given":"N","non-dropping-particle":"","parse-names":false,"suffix":""},{"dropping-particle":"","family":"H","given":"Elhefni","non-dropping-particle":"","parse-names":false,"suffix":""},{"dropping-particle":"","family":"Bullano","given":"M","non-dropping-particle":"","parse-names":false,"suffix":""}],"container-title":"J. Managed Care Pharm","id":"ITEM-1","issue":"7","issued":{"date-parts":[["2012"]]},"page":"551","title":"Is history of patient adherence to asthma controller medication associated with initial choice of prescription for inhaled corticosteroid and long-acting β2-adrenergic agonist combination therapy?","type":"article-journal","volume":"18"},"uris":["http://www.mendeley.com/documents/?uuid=e2588d4e-4bcc-4f5f-ac23-f76b003aeb06"]}],"mendeley":{"formattedCitation":"(45)","plainTextFormattedCitation":"(45)","previouslyFormattedCitation":"(45)"},"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(45)</w:t>
            </w:r>
            <w:r w:rsidRPr="00F02BC6">
              <w:rPr>
                <w:color w:val="000000"/>
                <w:sz w:val="20"/>
                <w:szCs w:val="20"/>
                <w:vertAlign w:val="superscript"/>
                <w:lang w:val="en-US"/>
              </w:rPr>
              <w:fldChar w:fldCharType="end"/>
            </w:r>
          </w:p>
        </w:tc>
        <w:tc>
          <w:tcPr>
            <w:tcW w:w="1984" w:type="dxa"/>
          </w:tcPr>
          <w:p w14:paraId="6A81BFBA" w14:textId="77777777" w:rsidR="00801304" w:rsidRPr="00F02BC6" w:rsidRDefault="00801304" w:rsidP="00495804">
            <w:pPr>
              <w:rPr>
                <w:color w:val="000000"/>
                <w:sz w:val="20"/>
                <w:szCs w:val="20"/>
                <w:lang w:val="en-US"/>
              </w:rPr>
            </w:pPr>
          </w:p>
        </w:tc>
        <w:tc>
          <w:tcPr>
            <w:tcW w:w="1843" w:type="dxa"/>
          </w:tcPr>
          <w:p w14:paraId="0EA5287A" w14:textId="77777777" w:rsidR="00801304" w:rsidRPr="00F02BC6" w:rsidRDefault="00801304" w:rsidP="00495804">
            <w:pPr>
              <w:rPr>
                <w:color w:val="000000"/>
                <w:sz w:val="20"/>
                <w:szCs w:val="20"/>
                <w:lang w:val="en-US"/>
              </w:rPr>
            </w:pPr>
            <w:r w:rsidRPr="00F02BC6">
              <w:rPr>
                <w:color w:val="000000"/>
                <w:sz w:val="20"/>
                <w:szCs w:val="20"/>
                <w:lang w:val="en-US"/>
              </w:rPr>
              <w:t>CMA (0.50 ± 0.37)</w:t>
            </w:r>
          </w:p>
          <w:p w14:paraId="710E84FE" w14:textId="77777777" w:rsidR="00801304" w:rsidRPr="00F02BC6" w:rsidRDefault="00801304" w:rsidP="00495804">
            <w:pPr>
              <w:rPr>
                <w:color w:val="000000"/>
                <w:sz w:val="20"/>
                <w:szCs w:val="20"/>
                <w:lang w:val="en-US"/>
              </w:rPr>
            </w:pPr>
            <w:r w:rsidRPr="00F02BC6">
              <w:rPr>
                <w:color w:val="000000"/>
                <w:sz w:val="20"/>
                <w:szCs w:val="20"/>
                <w:lang w:val="en-US"/>
              </w:rPr>
              <w:t>CMG (0.54 ± 0.27)</w:t>
            </w:r>
          </w:p>
        </w:tc>
        <w:tc>
          <w:tcPr>
            <w:tcW w:w="2127" w:type="dxa"/>
          </w:tcPr>
          <w:p w14:paraId="5510F8B6" w14:textId="77777777" w:rsidR="00801304" w:rsidRPr="00F02BC6" w:rsidRDefault="00801304" w:rsidP="00495804">
            <w:pPr>
              <w:rPr>
                <w:color w:val="000000"/>
                <w:sz w:val="20"/>
                <w:szCs w:val="20"/>
                <w:lang w:val="en-US"/>
              </w:rPr>
            </w:pPr>
            <w:r w:rsidRPr="00F02BC6">
              <w:rPr>
                <w:color w:val="000000"/>
                <w:sz w:val="20"/>
                <w:szCs w:val="20"/>
                <w:lang w:val="en-US"/>
              </w:rPr>
              <w:t>-----</w:t>
            </w:r>
          </w:p>
        </w:tc>
        <w:tc>
          <w:tcPr>
            <w:tcW w:w="2976" w:type="dxa"/>
          </w:tcPr>
          <w:p w14:paraId="07224273" w14:textId="77777777" w:rsidR="00801304" w:rsidRPr="00F02BC6" w:rsidRDefault="00801304" w:rsidP="00495804">
            <w:pPr>
              <w:rPr>
                <w:color w:val="000000"/>
                <w:sz w:val="20"/>
                <w:szCs w:val="20"/>
                <w:lang w:val="en-US"/>
              </w:rPr>
            </w:pPr>
            <w:r w:rsidRPr="00F02BC6">
              <w:rPr>
                <w:color w:val="000000"/>
                <w:sz w:val="20"/>
                <w:szCs w:val="20"/>
                <w:lang w:val="en-US"/>
              </w:rPr>
              <w:t>Adherence to ICS correlated negatively with the number of ED visits ([R] = 20.159), the number of fills of OCS (R = 20.179), and the total days’ supply of OCS (R = 20.154). Each 25% increase in the proportion of time without ICS resulted in doubling of the rate of asthma-related hospitalization (relative rate, 2.01; 95% CI, 1.06-3.79)</w:t>
            </w:r>
          </w:p>
        </w:tc>
        <w:tc>
          <w:tcPr>
            <w:tcW w:w="2693" w:type="dxa"/>
          </w:tcPr>
          <w:p w14:paraId="485BF192" w14:textId="77777777" w:rsidR="00801304" w:rsidRPr="00F02BC6" w:rsidRDefault="00801304" w:rsidP="00495804">
            <w:pPr>
              <w:rPr>
                <w:color w:val="000000"/>
                <w:sz w:val="20"/>
                <w:szCs w:val="20"/>
                <w:lang w:val="en-US"/>
              </w:rPr>
            </w:pPr>
            <w:r w:rsidRPr="00F02BC6">
              <w:rPr>
                <w:color w:val="000000"/>
                <w:sz w:val="20"/>
                <w:szCs w:val="20"/>
                <w:lang w:val="en-US"/>
              </w:rPr>
              <w:t>Poisson regressions</w:t>
            </w:r>
          </w:p>
        </w:tc>
        <w:tc>
          <w:tcPr>
            <w:tcW w:w="1559" w:type="dxa"/>
            <w:gridSpan w:val="2"/>
          </w:tcPr>
          <w:p w14:paraId="0A4F45EF" w14:textId="77777777" w:rsidR="00801304" w:rsidRPr="00F02BC6" w:rsidRDefault="00801304" w:rsidP="00495804">
            <w:pPr>
              <w:rPr>
                <w:color w:val="000000"/>
                <w:sz w:val="20"/>
                <w:szCs w:val="20"/>
                <w:lang w:val="en-US"/>
              </w:rPr>
            </w:pPr>
            <w:r w:rsidRPr="00F02BC6">
              <w:rPr>
                <w:color w:val="000000"/>
                <w:sz w:val="20"/>
                <w:szCs w:val="20"/>
                <w:lang w:val="en-US"/>
              </w:rPr>
              <w:t>-----</w:t>
            </w:r>
          </w:p>
        </w:tc>
      </w:tr>
      <w:tr w:rsidR="00801304" w:rsidRPr="00F02BC6" w14:paraId="443B18B3" w14:textId="77777777" w:rsidTr="005F62B6">
        <w:tc>
          <w:tcPr>
            <w:tcW w:w="2219" w:type="dxa"/>
            <w:tcBorders>
              <w:top w:val="single" w:sz="4" w:space="0" w:color="auto"/>
              <w:bottom w:val="single" w:sz="4" w:space="0" w:color="auto"/>
            </w:tcBorders>
          </w:tcPr>
          <w:p w14:paraId="48DD5860" w14:textId="77777777" w:rsidR="00801304" w:rsidRPr="00F02BC6" w:rsidRDefault="00801304" w:rsidP="00495804">
            <w:pPr>
              <w:rPr>
                <w:b/>
                <w:color w:val="000000"/>
                <w:sz w:val="20"/>
                <w:szCs w:val="20"/>
                <w:lang w:val="en-US"/>
              </w:rPr>
            </w:pPr>
            <w:r w:rsidRPr="00F02BC6">
              <w:rPr>
                <w:b/>
                <w:color w:val="000000"/>
                <w:sz w:val="20"/>
                <w:szCs w:val="20"/>
                <w:lang w:val="en-US"/>
              </w:rPr>
              <w:t>Author</w:t>
            </w:r>
          </w:p>
        </w:tc>
        <w:tc>
          <w:tcPr>
            <w:tcW w:w="1984" w:type="dxa"/>
            <w:tcBorders>
              <w:top w:val="single" w:sz="4" w:space="0" w:color="auto"/>
              <w:bottom w:val="single" w:sz="4" w:space="0" w:color="auto"/>
            </w:tcBorders>
          </w:tcPr>
          <w:p w14:paraId="6E9445B8" w14:textId="77777777" w:rsidR="00801304" w:rsidRPr="00F02BC6" w:rsidRDefault="00801304" w:rsidP="00495804">
            <w:pPr>
              <w:rPr>
                <w:b/>
                <w:color w:val="000000"/>
                <w:sz w:val="20"/>
                <w:szCs w:val="20"/>
                <w:lang w:val="en-US"/>
              </w:rPr>
            </w:pPr>
          </w:p>
        </w:tc>
        <w:tc>
          <w:tcPr>
            <w:tcW w:w="1843" w:type="dxa"/>
            <w:tcBorders>
              <w:top w:val="single" w:sz="4" w:space="0" w:color="auto"/>
              <w:bottom w:val="single" w:sz="4" w:space="0" w:color="auto"/>
            </w:tcBorders>
          </w:tcPr>
          <w:p w14:paraId="4943A4CC" w14:textId="77777777" w:rsidR="00801304" w:rsidRPr="00F02BC6" w:rsidRDefault="00801304" w:rsidP="00495804">
            <w:pPr>
              <w:rPr>
                <w:b/>
                <w:color w:val="000000"/>
                <w:sz w:val="20"/>
                <w:szCs w:val="20"/>
                <w:lang w:val="en-US"/>
              </w:rPr>
            </w:pPr>
            <w:r w:rsidRPr="00F02BC6">
              <w:rPr>
                <w:b/>
                <w:color w:val="000000"/>
                <w:sz w:val="20"/>
                <w:szCs w:val="20"/>
                <w:lang w:val="en-US"/>
              </w:rPr>
              <w:t>Mean Medication Adherence Rate± Standard deviation</w:t>
            </w:r>
          </w:p>
        </w:tc>
        <w:tc>
          <w:tcPr>
            <w:tcW w:w="2127" w:type="dxa"/>
            <w:tcBorders>
              <w:top w:val="single" w:sz="4" w:space="0" w:color="auto"/>
              <w:bottom w:val="single" w:sz="4" w:space="0" w:color="auto"/>
            </w:tcBorders>
          </w:tcPr>
          <w:p w14:paraId="4315F0D0" w14:textId="77777777" w:rsidR="00801304" w:rsidRPr="00F02BC6" w:rsidRDefault="00801304" w:rsidP="00495804">
            <w:pPr>
              <w:rPr>
                <w:b/>
                <w:color w:val="000000"/>
                <w:sz w:val="20"/>
                <w:szCs w:val="20"/>
                <w:lang w:val="en-US"/>
              </w:rPr>
            </w:pPr>
            <w:r w:rsidRPr="00F02BC6">
              <w:rPr>
                <w:b/>
                <w:color w:val="000000"/>
                <w:sz w:val="20"/>
                <w:szCs w:val="20"/>
                <w:lang w:val="en-US"/>
              </w:rPr>
              <w:t>Medication Adherence rate Threshold</w:t>
            </w:r>
          </w:p>
        </w:tc>
        <w:tc>
          <w:tcPr>
            <w:tcW w:w="2976" w:type="dxa"/>
            <w:tcBorders>
              <w:top w:val="single" w:sz="4" w:space="0" w:color="auto"/>
              <w:bottom w:val="single" w:sz="4" w:space="0" w:color="auto"/>
            </w:tcBorders>
          </w:tcPr>
          <w:p w14:paraId="3BC43913" w14:textId="77777777" w:rsidR="00801304" w:rsidRPr="00F02BC6" w:rsidRDefault="00801304" w:rsidP="00495804">
            <w:pPr>
              <w:rPr>
                <w:b/>
                <w:color w:val="000000"/>
                <w:sz w:val="20"/>
                <w:szCs w:val="20"/>
                <w:lang w:val="en-US"/>
              </w:rPr>
            </w:pPr>
            <w:r w:rsidRPr="00F02BC6">
              <w:rPr>
                <w:b/>
                <w:color w:val="000000"/>
                <w:sz w:val="20"/>
                <w:szCs w:val="20"/>
                <w:lang w:val="en-US"/>
              </w:rPr>
              <w:t>Probability to reach the targeted clinical outcome with Medication Adherence Threshold (Odds ratios [OR], Hazards ratios [HR] and Confidence Interval [CI])</w:t>
            </w:r>
          </w:p>
        </w:tc>
        <w:tc>
          <w:tcPr>
            <w:tcW w:w="2693" w:type="dxa"/>
            <w:tcBorders>
              <w:top w:val="single" w:sz="4" w:space="0" w:color="auto"/>
              <w:bottom w:val="single" w:sz="4" w:space="0" w:color="auto"/>
            </w:tcBorders>
          </w:tcPr>
          <w:p w14:paraId="71CE5BC0" w14:textId="77777777" w:rsidR="00801304" w:rsidRPr="00F02BC6" w:rsidRDefault="00801304" w:rsidP="00495804">
            <w:pPr>
              <w:rPr>
                <w:b/>
                <w:color w:val="000000"/>
                <w:sz w:val="20"/>
                <w:szCs w:val="20"/>
                <w:lang w:val="en-US"/>
              </w:rPr>
            </w:pPr>
            <w:r w:rsidRPr="00F02BC6">
              <w:rPr>
                <w:b/>
                <w:color w:val="000000"/>
                <w:sz w:val="20"/>
                <w:szCs w:val="20"/>
                <w:lang w:val="en-US"/>
              </w:rPr>
              <w:t>Methods of Threshold Determination</w:t>
            </w:r>
          </w:p>
        </w:tc>
        <w:tc>
          <w:tcPr>
            <w:tcW w:w="1559" w:type="dxa"/>
            <w:gridSpan w:val="2"/>
            <w:tcBorders>
              <w:top w:val="single" w:sz="4" w:space="0" w:color="auto"/>
              <w:bottom w:val="single" w:sz="4" w:space="0" w:color="auto"/>
            </w:tcBorders>
          </w:tcPr>
          <w:p w14:paraId="14A2CA64" w14:textId="77777777" w:rsidR="00801304" w:rsidRPr="00F02BC6" w:rsidRDefault="00801304" w:rsidP="00495804">
            <w:pPr>
              <w:rPr>
                <w:b/>
                <w:color w:val="000000"/>
                <w:sz w:val="20"/>
                <w:szCs w:val="20"/>
                <w:lang w:val="en-US"/>
              </w:rPr>
            </w:pPr>
            <w:r w:rsidRPr="00F02BC6">
              <w:rPr>
                <w:b/>
                <w:color w:val="000000"/>
                <w:sz w:val="20"/>
                <w:szCs w:val="20"/>
                <w:lang w:val="en-US"/>
              </w:rPr>
              <w:t>Nonadherence Prevalence</w:t>
            </w:r>
          </w:p>
        </w:tc>
      </w:tr>
      <w:tr w:rsidR="00801304" w:rsidRPr="00F02BC6" w14:paraId="6EC4304F" w14:textId="77777777" w:rsidTr="005F62B6">
        <w:tc>
          <w:tcPr>
            <w:tcW w:w="2219" w:type="dxa"/>
            <w:tcBorders>
              <w:top w:val="single" w:sz="4" w:space="0" w:color="auto"/>
            </w:tcBorders>
          </w:tcPr>
          <w:p w14:paraId="2A2F519D" w14:textId="3884F74F" w:rsidR="00801304" w:rsidRPr="00F02BC6" w:rsidRDefault="00801304" w:rsidP="00495804">
            <w:pPr>
              <w:rPr>
                <w:color w:val="000000"/>
                <w:sz w:val="20"/>
                <w:szCs w:val="20"/>
                <w:lang w:val="en-US"/>
              </w:rPr>
            </w:pPr>
            <w:r w:rsidRPr="00F02BC6">
              <w:rPr>
                <w:color w:val="000000"/>
                <w:sz w:val="20"/>
                <w:szCs w:val="20"/>
                <w:lang w:val="en-US"/>
              </w:rPr>
              <w:t xml:space="preserve">William </w:t>
            </w:r>
            <w:r w:rsidR="0048437E" w:rsidRPr="00F02BC6">
              <w:rPr>
                <w:color w:val="000000"/>
                <w:sz w:val="20"/>
                <w:szCs w:val="20"/>
                <w:vertAlign w:val="superscript"/>
                <w:lang w:val="en-US"/>
              </w:rPr>
              <w:t>(</w:t>
            </w:r>
            <w:r w:rsidRPr="00F02BC6">
              <w:rPr>
                <w:color w:val="000000"/>
                <w:sz w:val="20"/>
                <w:szCs w:val="20"/>
                <w:vertAlign w:val="superscript"/>
                <w:lang w:val="en-US"/>
              </w:rPr>
              <w:t>50</w:t>
            </w:r>
            <w:r w:rsidR="0048437E" w:rsidRPr="00F02BC6">
              <w:rPr>
                <w:color w:val="000000"/>
                <w:sz w:val="20"/>
                <w:szCs w:val="20"/>
                <w:vertAlign w:val="superscript"/>
                <w:lang w:val="en-US"/>
              </w:rPr>
              <w:t>)</w:t>
            </w:r>
          </w:p>
        </w:tc>
        <w:tc>
          <w:tcPr>
            <w:tcW w:w="1984" w:type="dxa"/>
            <w:tcBorders>
              <w:top w:val="single" w:sz="4" w:space="0" w:color="auto"/>
            </w:tcBorders>
          </w:tcPr>
          <w:p w14:paraId="745AAB8E" w14:textId="77777777" w:rsidR="00801304" w:rsidRPr="00F02BC6" w:rsidRDefault="00801304" w:rsidP="00495804">
            <w:pPr>
              <w:rPr>
                <w:color w:val="000000"/>
                <w:sz w:val="20"/>
                <w:szCs w:val="20"/>
                <w:lang w:val="en-US"/>
              </w:rPr>
            </w:pPr>
          </w:p>
        </w:tc>
        <w:tc>
          <w:tcPr>
            <w:tcW w:w="1843" w:type="dxa"/>
            <w:tcBorders>
              <w:top w:val="single" w:sz="4" w:space="0" w:color="auto"/>
            </w:tcBorders>
          </w:tcPr>
          <w:p w14:paraId="55745747" w14:textId="77777777" w:rsidR="00801304" w:rsidRPr="00F02BC6" w:rsidRDefault="00801304" w:rsidP="00495804">
            <w:pPr>
              <w:rPr>
                <w:color w:val="000000"/>
                <w:sz w:val="20"/>
                <w:szCs w:val="20"/>
                <w:lang w:val="en-US"/>
              </w:rPr>
            </w:pPr>
            <w:r w:rsidRPr="00F02BC6">
              <w:rPr>
                <w:color w:val="000000"/>
                <w:sz w:val="20"/>
                <w:szCs w:val="20"/>
                <w:lang w:val="en-US"/>
              </w:rPr>
              <w:t>CMA (23.6%)</w:t>
            </w:r>
          </w:p>
        </w:tc>
        <w:tc>
          <w:tcPr>
            <w:tcW w:w="2127" w:type="dxa"/>
            <w:tcBorders>
              <w:top w:val="single" w:sz="4" w:space="0" w:color="auto"/>
            </w:tcBorders>
          </w:tcPr>
          <w:p w14:paraId="6B451FD3" w14:textId="77777777" w:rsidR="00801304" w:rsidRPr="00F02BC6" w:rsidRDefault="00801304" w:rsidP="00495804">
            <w:pPr>
              <w:rPr>
                <w:color w:val="000000"/>
                <w:sz w:val="20"/>
                <w:szCs w:val="20"/>
                <w:lang w:val="en-US"/>
              </w:rPr>
            </w:pPr>
            <w:r w:rsidRPr="00F02BC6">
              <w:rPr>
                <w:color w:val="000000"/>
                <w:sz w:val="20"/>
                <w:szCs w:val="20"/>
                <w:lang w:val="en-US"/>
              </w:rPr>
              <w:t>------</w:t>
            </w:r>
          </w:p>
        </w:tc>
        <w:tc>
          <w:tcPr>
            <w:tcW w:w="2976" w:type="dxa"/>
            <w:tcBorders>
              <w:top w:val="single" w:sz="4" w:space="0" w:color="auto"/>
            </w:tcBorders>
          </w:tcPr>
          <w:p w14:paraId="55E2C41B" w14:textId="1471F506" w:rsidR="00801304" w:rsidRPr="00F02BC6" w:rsidRDefault="00801304" w:rsidP="00495804">
            <w:pPr>
              <w:rPr>
                <w:color w:val="000000"/>
                <w:sz w:val="20"/>
                <w:szCs w:val="20"/>
                <w:lang w:val="en-US"/>
              </w:rPr>
            </w:pPr>
            <w:r w:rsidRPr="00F02BC6">
              <w:rPr>
                <w:color w:val="000000"/>
                <w:sz w:val="20"/>
                <w:szCs w:val="20"/>
                <w:lang w:val="en-US"/>
              </w:rPr>
              <w:t xml:space="preserve">Adherence was associated with a reduction in </w:t>
            </w:r>
            <w:r w:rsidR="005D4E9B" w:rsidRPr="00F02BC6">
              <w:rPr>
                <w:color w:val="000000"/>
                <w:sz w:val="20"/>
                <w:szCs w:val="20"/>
                <w:lang w:val="en-US"/>
              </w:rPr>
              <w:t>exacerbations but</w:t>
            </w:r>
            <w:r w:rsidRPr="00F02BC6">
              <w:rPr>
                <w:color w:val="000000"/>
                <w:sz w:val="20"/>
                <w:szCs w:val="20"/>
                <w:lang w:val="en-US"/>
              </w:rPr>
              <w:t xml:space="preserve"> was only statistically significant among individuals whose adherence was &gt;75% of the prescribed dose (HR; 0.61; 95% CI; 0.41–0.90) compared with individuals whose adherence was ≤25%. About 24% of exacerbations attributable to ICS non-adherence.</w:t>
            </w:r>
          </w:p>
        </w:tc>
        <w:tc>
          <w:tcPr>
            <w:tcW w:w="2693" w:type="dxa"/>
            <w:tcBorders>
              <w:top w:val="single" w:sz="4" w:space="0" w:color="auto"/>
            </w:tcBorders>
          </w:tcPr>
          <w:p w14:paraId="778A33B8" w14:textId="77777777" w:rsidR="00801304" w:rsidRPr="00F02BC6" w:rsidRDefault="00801304" w:rsidP="00495804">
            <w:pPr>
              <w:rPr>
                <w:color w:val="000000"/>
                <w:sz w:val="20"/>
                <w:szCs w:val="20"/>
                <w:lang w:val="en-US"/>
              </w:rPr>
            </w:pPr>
            <w:r w:rsidRPr="00F02BC6">
              <w:rPr>
                <w:color w:val="000000"/>
                <w:sz w:val="20"/>
                <w:szCs w:val="20"/>
                <w:lang w:val="en-US"/>
              </w:rPr>
              <w:t>Proportional hazard models</w:t>
            </w:r>
          </w:p>
        </w:tc>
        <w:tc>
          <w:tcPr>
            <w:tcW w:w="1559" w:type="dxa"/>
            <w:gridSpan w:val="2"/>
            <w:tcBorders>
              <w:top w:val="single" w:sz="4" w:space="0" w:color="auto"/>
            </w:tcBorders>
          </w:tcPr>
          <w:p w14:paraId="0BEF19FA" w14:textId="77777777" w:rsidR="00801304" w:rsidRPr="00F02BC6" w:rsidRDefault="00801304" w:rsidP="00495804">
            <w:pPr>
              <w:rPr>
                <w:color w:val="000000"/>
                <w:sz w:val="20"/>
                <w:szCs w:val="20"/>
                <w:lang w:val="en-US"/>
              </w:rPr>
            </w:pPr>
            <w:r w:rsidRPr="00F02BC6">
              <w:rPr>
                <w:color w:val="000000"/>
                <w:sz w:val="20"/>
                <w:szCs w:val="20"/>
                <w:lang w:val="en-US"/>
              </w:rPr>
              <w:t>-----</w:t>
            </w:r>
          </w:p>
        </w:tc>
      </w:tr>
      <w:tr w:rsidR="00801304" w:rsidRPr="00F02BC6" w14:paraId="1EDF8F47" w14:textId="77777777" w:rsidTr="005F62B6">
        <w:tc>
          <w:tcPr>
            <w:tcW w:w="2219" w:type="dxa"/>
          </w:tcPr>
          <w:p w14:paraId="777E3225" w14:textId="77777777" w:rsidR="00801304" w:rsidRPr="00F02BC6" w:rsidRDefault="00801304" w:rsidP="00495804">
            <w:pPr>
              <w:rPr>
                <w:color w:val="000000"/>
                <w:sz w:val="20"/>
                <w:szCs w:val="20"/>
                <w:lang w:val="en-US"/>
              </w:rPr>
            </w:pPr>
          </w:p>
        </w:tc>
        <w:tc>
          <w:tcPr>
            <w:tcW w:w="1984" w:type="dxa"/>
          </w:tcPr>
          <w:p w14:paraId="3F56A190" w14:textId="77777777" w:rsidR="00801304" w:rsidRPr="00F02BC6" w:rsidRDefault="00801304" w:rsidP="00495804">
            <w:pPr>
              <w:rPr>
                <w:color w:val="000000"/>
                <w:sz w:val="20"/>
                <w:szCs w:val="20"/>
                <w:lang w:val="en-US"/>
              </w:rPr>
            </w:pPr>
          </w:p>
        </w:tc>
        <w:tc>
          <w:tcPr>
            <w:tcW w:w="1843" w:type="dxa"/>
          </w:tcPr>
          <w:p w14:paraId="7980EF58" w14:textId="77777777" w:rsidR="00801304" w:rsidRPr="00F02BC6" w:rsidRDefault="00801304" w:rsidP="00495804">
            <w:pPr>
              <w:rPr>
                <w:color w:val="000000"/>
                <w:sz w:val="20"/>
                <w:szCs w:val="20"/>
                <w:lang w:val="en-US"/>
              </w:rPr>
            </w:pPr>
          </w:p>
        </w:tc>
        <w:tc>
          <w:tcPr>
            <w:tcW w:w="2127" w:type="dxa"/>
          </w:tcPr>
          <w:p w14:paraId="626B0199" w14:textId="77777777" w:rsidR="00801304" w:rsidRPr="00F02BC6" w:rsidRDefault="00801304" w:rsidP="00495804">
            <w:pPr>
              <w:rPr>
                <w:color w:val="000000"/>
                <w:sz w:val="20"/>
                <w:szCs w:val="20"/>
                <w:lang w:val="en-US"/>
              </w:rPr>
            </w:pPr>
          </w:p>
        </w:tc>
        <w:tc>
          <w:tcPr>
            <w:tcW w:w="2976" w:type="dxa"/>
          </w:tcPr>
          <w:p w14:paraId="3E292386" w14:textId="77777777" w:rsidR="00801304" w:rsidRPr="00F02BC6" w:rsidRDefault="00801304" w:rsidP="00495804">
            <w:pPr>
              <w:rPr>
                <w:color w:val="000000"/>
                <w:sz w:val="20"/>
                <w:szCs w:val="20"/>
                <w:lang w:val="en-US"/>
              </w:rPr>
            </w:pPr>
          </w:p>
        </w:tc>
        <w:tc>
          <w:tcPr>
            <w:tcW w:w="2693" w:type="dxa"/>
          </w:tcPr>
          <w:p w14:paraId="4B449675" w14:textId="77777777" w:rsidR="00801304" w:rsidRPr="00F02BC6" w:rsidRDefault="00801304" w:rsidP="00495804">
            <w:pPr>
              <w:rPr>
                <w:color w:val="000000"/>
                <w:sz w:val="20"/>
                <w:szCs w:val="20"/>
                <w:lang w:val="en-US"/>
              </w:rPr>
            </w:pPr>
          </w:p>
        </w:tc>
        <w:tc>
          <w:tcPr>
            <w:tcW w:w="1559" w:type="dxa"/>
            <w:gridSpan w:val="2"/>
          </w:tcPr>
          <w:p w14:paraId="214CEAFC" w14:textId="77777777" w:rsidR="00801304" w:rsidRPr="00F02BC6" w:rsidRDefault="00801304" w:rsidP="00495804">
            <w:pPr>
              <w:rPr>
                <w:color w:val="000000"/>
                <w:sz w:val="20"/>
                <w:szCs w:val="20"/>
                <w:lang w:val="en-US"/>
              </w:rPr>
            </w:pPr>
          </w:p>
        </w:tc>
      </w:tr>
      <w:tr w:rsidR="00801304" w:rsidRPr="00F02BC6" w14:paraId="749954DE" w14:textId="77777777" w:rsidTr="005F62B6">
        <w:tc>
          <w:tcPr>
            <w:tcW w:w="2219" w:type="dxa"/>
          </w:tcPr>
          <w:p w14:paraId="01886672" w14:textId="77777777" w:rsidR="00801304" w:rsidRPr="00F02BC6" w:rsidRDefault="00801304" w:rsidP="00495804">
            <w:pPr>
              <w:rPr>
                <w:color w:val="000000"/>
                <w:sz w:val="20"/>
                <w:szCs w:val="20"/>
                <w:lang w:val="en-US"/>
              </w:rPr>
            </w:pPr>
            <w:r w:rsidRPr="00F02BC6">
              <w:rPr>
                <w:color w:val="000000"/>
                <w:sz w:val="20"/>
                <w:szCs w:val="20"/>
                <w:lang w:val="en-US"/>
              </w:rPr>
              <w:t xml:space="preserve">Woodcroft et al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author":[{"dropping-particle":"","family":"Woodcroft","given":"K","non-dropping-particle":"","parse-names":false,"suffix":""},{"dropping-particle":"","family":"Yu","given":"Y","non-dropping-particle":"","parse-names":false,"suffix":""}],"container-title":"J. Manag. Care Spec. Pharm","id":"ITEM-1","issue":"0","issued":{"date-parts":[["2016"]]},"page":"S65-S66","title":"Inhaled corticosteroid and inhaled corticosteroid/long- acting beta agonist adherence and exacerbations among patients with persistent asthma in an integrated healthcare system","type":"article-journal","volume":"22"},"uris":["http://www.mendeley.com/documents/?uuid=66e1194b-7362-437f-a517-c5cb7f008ef3"]}],"mendeley":{"formattedCitation":"(48)","plainTextFormattedCitation":"(48)","previouslyFormattedCitation":"(48)"},"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(48)</w:t>
            </w:r>
            <w:r w:rsidRPr="00F02BC6">
              <w:rPr>
                <w:color w:val="000000"/>
                <w:sz w:val="20"/>
                <w:szCs w:val="20"/>
                <w:vertAlign w:val="superscript"/>
                <w:lang w:val="en-US"/>
              </w:rPr>
              <w:fldChar w:fldCharType="end"/>
            </w:r>
          </w:p>
          <w:p w14:paraId="68CEDA1C" w14:textId="77777777" w:rsidR="00801304" w:rsidRPr="00F02BC6" w:rsidRDefault="00801304" w:rsidP="00495804">
            <w:pPr>
              <w:rPr>
                <w:color w:val="000000"/>
                <w:sz w:val="20"/>
                <w:szCs w:val="20"/>
                <w:lang w:val="en-US"/>
              </w:rPr>
            </w:pPr>
          </w:p>
        </w:tc>
        <w:tc>
          <w:tcPr>
            <w:tcW w:w="1984" w:type="dxa"/>
          </w:tcPr>
          <w:p w14:paraId="629254F0" w14:textId="77777777" w:rsidR="00801304" w:rsidRPr="00F02BC6" w:rsidRDefault="00801304" w:rsidP="00495804">
            <w:pPr>
              <w:rPr>
                <w:color w:val="000000"/>
                <w:sz w:val="20"/>
                <w:szCs w:val="20"/>
                <w:lang w:val="en-US"/>
              </w:rPr>
            </w:pPr>
          </w:p>
        </w:tc>
        <w:tc>
          <w:tcPr>
            <w:tcW w:w="1843" w:type="dxa"/>
          </w:tcPr>
          <w:p w14:paraId="22D16EA7" w14:textId="77777777" w:rsidR="00801304" w:rsidRPr="00F02BC6" w:rsidRDefault="00801304" w:rsidP="00495804">
            <w:pPr>
              <w:rPr>
                <w:color w:val="000000"/>
                <w:sz w:val="20"/>
                <w:szCs w:val="20"/>
                <w:lang w:val="en-US"/>
              </w:rPr>
            </w:pPr>
            <w:r w:rsidRPr="00F02BC6">
              <w:rPr>
                <w:color w:val="000000"/>
                <w:sz w:val="20"/>
                <w:szCs w:val="20"/>
                <w:lang w:val="en-US"/>
              </w:rPr>
              <w:t>Adherence to ICS/LABA: mean ± SD PDC: 47.4 ± 28.8%; Adherence to ICS: - 40.8 ± 29.1%</w:t>
            </w:r>
          </w:p>
          <w:p w14:paraId="578ED2FC" w14:textId="77777777" w:rsidR="00801304" w:rsidRPr="00F02BC6" w:rsidRDefault="00801304" w:rsidP="00495804">
            <w:pPr>
              <w:rPr>
                <w:color w:val="000000"/>
                <w:sz w:val="20"/>
                <w:szCs w:val="20"/>
                <w:lang w:val="en-US"/>
              </w:rPr>
            </w:pPr>
          </w:p>
          <w:p w14:paraId="1D40F0FB" w14:textId="77777777" w:rsidR="00801304" w:rsidRPr="00F02BC6" w:rsidRDefault="00801304" w:rsidP="00495804">
            <w:pPr>
              <w:rPr>
                <w:color w:val="000000"/>
                <w:sz w:val="20"/>
                <w:szCs w:val="20"/>
                <w:lang w:val="en-US"/>
              </w:rPr>
            </w:pPr>
          </w:p>
          <w:p w14:paraId="5F698215" w14:textId="77777777" w:rsidR="00801304" w:rsidRPr="00F02BC6" w:rsidRDefault="00801304" w:rsidP="00495804">
            <w:pPr>
              <w:rPr>
                <w:color w:val="000000"/>
                <w:sz w:val="20"/>
                <w:szCs w:val="20"/>
                <w:lang w:val="en-US"/>
              </w:rPr>
            </w:pPr>
          </w:p>
          <w:p w14:paraId="6DB0429B" w14:textId="77777777" w:rsidR="00801304" w:rsidRPr="00F02BC6" w:rsidRDefault="00801304" w:rsidP="00495804">
            <w:pPr>
              <w:rPr>
                <w:color w:val="000000"/>
                <w:sz w:val="20"/>
                <w:szCs w:val="20"/>
                <w:lang w:val="en-US"/>
              </w:rPr>
            </w:pPr>
          </w:p>
        </w:tc>
        <w:tc>
          <w:tcPr>
            <w:tcW w:w="2127" w:type="dxa"/>
          </w:tcPr>
          <w:p w14:paraId="1DF8327E" w14:textId="77777777" w:rsidR="00801304" w:rsidRPr="00F02BC6" w:rsidRDefault="00801304" w:rsidP="00495804">
            <w:pPr>
              <w:rPr>
                <w:color w:val="000000"/>
                <w:sz w:val="20"/>
                <w:szCs w:val="20"/>
                <w:lang w:val="en-US"/>
              </w:rPr>
            </w:pPr>
          </w:p>
        </w:tc>
        <w:tc>
          <w:tcPr>
            <w:tcW w:w="2976" w:type="dxa"/>
          </w:tcPr>
          <w:p w14:paraId="55B5BAC1" w14:textId="61AA8A0C" w:rsidR="00801304" w:rsidRPr="00F02BC6" w:rsidRDefault="00801304" w:rsidP="00495804">
            <w:pPr>
              <w:rPr>
                <w:color w:val="000000"/>
                <w:sz w:val="20"/>
                <w:szCs w:val="20"/>
                <w:lang w:val="en-US"/>
              </w:rPr>
            </w:pPr>
            <w:r w:rsidRPr="00F02BC6">
              <w:rPr>
                <w:color w:val="000000"/>
                <w:sz w:val="20"/>
                <w:szCs w:val="20"/>
                <w:lang w:val="en-US"/>
              </w:rPr>
              <w:t xml:space="preserve">The rate of inpatient admissions among persistent asthmatic patients who filed ICS was 1.75 (1.48, 2.05) per 100 persons-years, rate for ED was 13.55 (12.77, 14.35) per 100 person-years, and urgent care visits for asthma was 2.71 (2.37, 3.09) per 100 person-years. </w:t>
            </w:r>
            <w:r w:rsidR="00E912A8" w:rsidRPr="00F02BC6">
              <w:rPr>
                <w:color w:val="000000"/>
                <w:sz w:val="20"/>
                <w:szCs w:val="20"/>
                <w:lang w:val="en-US"/>
              </w:rPr>
              <w:t>Similarly,</w:t>
            </w:r>
            <w:r w:rsidRPr="00F02BC6">
              <w:rPr>
                <w:color w:val="000000"/>
                <w:sz w:val="20"/>
                <w:szCs w:val="20"/>
                <w:lang w:val="en-US"/>
              </w:rPr>
              <w:t xml:space="preserve"> the rate for inpatient admissions, ED and urgent care visits among asthma patients who filled ICS/LABA were 1.97 (1.67, 2.3), 12.79 (12.01, 13.6), and 2.76 (2.41, 3.15), respectively.</w:t>
            </w:r>
          </w:p>
          <w:p w14:paraId="37CA53AF" w14:textId="77777777" w:rsidR="00801304" w:rsidRPr="00F02BC6" w:rsidRDefault="00801304" w:rsidP="00495804">
            <w:pPr>
              <w:rPr>
                <w:color w:val="000000"/>
                <w:sz w:val="20"/>
                <w:szCs w:val="20"/>
                <w:lang w:val="en-US"/>
              </w:rPr>
            </w:pPr>
          </w:p>
          <w:p w14:paraId="67F924AF" w14:textId="77777777" w:rsidR="00801304" w:rsidRPr="00F02BC6" w:rsidRDefault="00801304" w:rsidP="00495804">
            <w:pPr>
              <w:rPr>
                <w:color w:val="000000"/>
                <w:sz w:val="20"/>
                <w:szCs w:val="20"/>
                <w:lang w:val="en-US"/>
              </w:rPr>
            </w:pPr>
          </w:p>
        </w:tc>
        <w:tc>
          <w:tcPr>
            <w:tcW w:w="2693" w:type="dxa"/>
          </w:tcPr>
          <w:p w14:paraId="5C012BAF" w14:textId="77777777" w:rsidR="00801304" w:rsidRPr="00F02BC6" w:rsidRDefault="00801304" w:rsidP="00495804">
            <w:pPr>
              <w:rPr>
                <w:color w:val="000000"/>
                <w:sz w:val="20"/>
                <w:szCs w:val="20"/>
                <w:lang w:val="en-US"/>
              </w:rPr>
            </w:pPr>
            <w:r w:rsidRPr="00F02BC6">
              <w:rPr>
                <w:color w:val="000000"/>
                <w:sz w:val="20"/>
                <w:szCs w:val="20"/>
                <w:lang w:val="en-US"/>
              </w:rPr>
              <w:t>---</w:t>
            </w:r>
          </w:p>
        </w:tc>
        <w:tc>
          <w:tcPr>
            <w:tcW w:w="1559" w:type="dxa"/>
            <w:gridSpan w:val="2"/>
          </w:tcPr>
          <w:p w14:paraId="33F5B7CF" w14:textId="77777777" w:rsidR="00801304" w:rsidRPr="00F02BC6" w:rsidRDefault="00801304" w:rsidP="00495804">
            <w:pPr>
              <w:rPr>
                <w:color w:val="000000"/>
                <w:sz w:val="20"/>
                <w:szCs w:val="20"/>
                <w:lang w:val="en-US"/>
              </w:rPr>
            </w:pPr>
            <w:r w:rsidRPr="00F02BC6">
              <w:rPr>
                <w:color w:val="000000"/>
                <w:sz w:val="20"/>
                <w:szCs w:val="20"/>
                <w:lang w:val="en-US"/>
              </w:rPr>
              <w:t>---</w:t>
            </w:r>
          </w:p>
        </w:tc>
      </w:tr>
      <w:tr w:rsidR="00801304" w:rsidRPr="00F02BC6" w14:paraId="58CA9674" w14:textId="77777777" w:rsidTr="005F62B6">
        <w:tc>
          <w:tcPr>
            <w:tcW w:w="2219" w:type="dxa"/>
          </w:tcPr>
          <w:p w14:paraId="3959AC3B" w14:textId="77777777" w:rsidR="00801304" w:rsidRPr="00F02BC6" w:rsidRDefault="00801304" w:rsidP="00495804">
            <w:pPr>
              <w:rPr>
                <w:color w:val="000000"/>
                <w:sz w:val="20"/>
                <w:szCs w:val="20"/>
                <w:lang w:val="en-US"/>
              </w:rPr>
            </w:pPr>
            <w:r w:rsidRPr="00F02BC6">
              <w:rPr>
                <w:color w:val="000000"/>
                <w:sz w:val="20"/>
                <w:szCs w:val="20"/>
                <w:lang w:val="en-US"/>
              </w:rPr>
              <w:t xml:space="preserve">Wu et al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{"citationItems":[{"id":"ITEM-1","itemData":{"DOI":"10.1513/AnnalsATS.201410-459OC","ISSN":"23256621","abstract":"Rationale: Few previous studies have evaluated primary adherence (whether a new prescription is filled within 30 d) to controller medications in individuals with persistent asthma. Objective: To compare adherence to the major controller medication regimens for asthma. Methods: This was a retrospective cohort study of enrollees from five large health plans. Weused electronic medical data on patients of all ages with asthma who had experienced an asthma-related exacerbation in the prior 12 months.Westudied adherence measures including proportion of days covered and primary adherence (first prescription filled within 30 d). Measurements and Main Results: Our population included 69,652 subjects who had probable persistent asthma and were prescribed inhaled corticosteroids (ICSs), leukotriene antagonists (LTRAs), or ICS/long-acting b-agonists (ICS/LABAs). The mean age was 37 years and 58% were female.Wefound that 14-20% of subjects who were prescribed controller medicines for the first time did not fill their prescriptions. The mean proportion of days covered was 19% for ICS, 30% for LTRA, and 25% for ICS/LABA over 12 months. Using multivariate logistic regression, subjects prescribedLTRAwere less likely to be primary adherent than subjects prescribed ICS (odds ratio, 0.82; 95% confidence interval, 0.74-0.92) or ICS/LABA (odds ratio, 0.88; 95% confidence interval, 0.80-0.97). Black and Latino patients were less likely to fill the prescription compared with white patients. Conclusions: Adherence to controller medications for asthma is poor. In this insured population, primary adherence to ICSswas better than toLTRAs and ICS/LABAs.Adherence asmeasured by proportion of days covered was better for LTRAs and ICS/LABAs than for ICSs.","author":[{"dropping-particle":"","family":"Wu","given":"Ann Chen","non-dropping-particle":"","parse-names":false,"suffix":""},{"dropping-particle":"","family":"Butler","given":"Melissa G.","non-dropping-particle":"","parse-names":false,"suffix":""},{"dropping-particle":"","family":"Li","given":"Lingling","non-dropping-particle":"","parse-names":false,"suffix":""},{"dropping-particle":"","family":"Fung","given":"Vicki","non-dropping-particle":"","parse-names":false,"suffix":""},{"dropping-particle":"","family":"Kharbanda","given":"Elyse O.","non-dropping-particle":"","parse-names":false,"suffix":""},{"dropping-particle":"","family":"Larkin","given":"Emma K.","non-dropping-particle":"","parse-names":false,"suffix":""},{"dropping-particle":"","family":"Vollmer","given":"William M.","non-dropping-particle":"","parse-names":false,"suffix":""},{"dropping-particle":"","family":"Miroshnik","given":"Irina","non-dropping-particle":"","parse-names":false,"suffix":""},{"dropping-particle":"","family":"Davis","given":"Robert L.","non-dropping-particle":"","parse-names":false,"suffix":""},{"dropping-particle":"","family":"Lieu","given":"Tracy A.","non-dropping-particle":"","parse-names":false,"suffix":""},{"dropping-particle":"","family":"Soumerai","given":"Stephen B.","non-dropping-particle":"","parse-names":false,"suffix":""}],"container-title":"Annals of the American Thoracic Society","id":"ITEM-1","issue":"2","issued":{"date-parts":[["2015"]]},"page":"161-166","title":"Primary adherence to controller medications for asthma is poor","type":"article-journal","volume":"12"},"uris":["http://www.mendeley.com/documents/?uuid=14f9c980-5148-49e2-a7e5-752fbd6b3e63"]}],"mendeley":{"formattedCitation":"(47)","plainTextFormattedCitation":"(47)","previouslyFormattedCitation":"(47)"},"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(47)</w:t>
            </w:r>
            <w:r w:rsidRPr="00F02BC6">
              <w:rPr>
                <w:color w:val="000000"/>
                <w:sz w:val="20"/>
                <w:szCs w:val="20"/>
                <w:vertAlign w:val="superscript"/>
                <w:lang w:val="en-US"/>
              </w:rPr>
              <w:fldChar w:fldCharType="end"/>
            </w:r>
          </w:p>
        </w:tc>
        <w:tc>
          <w:tcPr>
            <w:tcW w:w="1984" w:type="dxa"/>
          </w:tcPr>
          <w:p w14:paraId="40311658" w14:textId="77777777" w:rsidR="00801304" w:rsidRPr="00F02BC6" w:rsidRDefault="00801304" w:rsidP="00495804">
            <w:pPr>
              <w:rPr>
                <w:color w:val="000000"/>
                <w:sz w:val="20"/>
                <w:szCs w:val="20"/>
                <w:lang w:val="en-US"/>
              </w:rPr>
            </w:pPr>
          </w:p>
        </w:tc>
        <w:tc>
          <w:tcPr>
            <w:tcW w:w="1843" w:type="dxa"/>
          </w:tcPr>
          <w:p w14:paraId="36330FAD" w14:textId="77777777" w:rsidR="00801304" w:rsidRPr="00F02BC6" w:rsidRDefault="00801304" w:rsidP="00495804">
            <w:pPr>
              <w:rPr>
                <w:color w:val="000000"/>
                <w:sz w:val="20"/>
                <w:szCs w:val="20"/>
                <w:lang w:val="en-US"/>
              </w:rPr>
            </w:pPr>
            <w:r w:rsidRPr="00F02BC6">
              <w:rPr>
                <w:color w:val="000000"/>
                <w:sz w:val="20"/>
                <w:szCs w:val="20"/>
                <w:lang w:val="en-US"/>
              </w:rPr>
              <w:t>-----</w:t>
            </w:r>
          </w:p>
        </w:tc>
        <w:tc>
          <w:tcPr>
            <w:tcW w:w="2127" w:type="dxa"/>
          </w:tcPr>
          <w:p w14:paraId="5FED344A" w14:textId="77777777" w:rsidR="00801304" w:rsidRPr="00F02BC6" w:rsidRDefault="00801304" w:rsidP="00495804">
            <w:pPr>
              <w:rPr>
                <w:color w:val="000000"/>
                <w:sz w:val="20"/>
                <w:szCs w:val="20"/>
                <w:lang w:val="en-US"/>
              </w:rPr>
            </w:pPr>
            <w:r w:rsidRPr="00F02BC6">
              <w:rPr>
                <w:color w:val="000000"/>
                <w:sz w:val="20"/>
                <w:szCs w:val="20"/>
                <w:lang w:val="en-US"/>
              </w:rPr>
              <w:t>PDC ≥ 75%</w:t>
            </w:r>
          </w:p>
        </w:tc>
        <w:tc>
          <w:tcPr>
            <w:tcW w:w="2976" w:type="dxa"/>
          </w:tcPr>
          <w:p w14:paraId="29FBEFEC" w14:textId="77777777" w:rsidR="00801304" w:rsidRPr="00F02BC6" w:rsidRDefault="00801304" w:rsidP="00495804">
            <w:pPr>
              <w:rPr>
                <w:color w:val="000000"/>
                <w:sz w:val="20"/>
                <w:szCs w:val="20"/>
                <w:lang w:val="en-US"/>
              </w:rPr>
            </w:pPr>
            <w:r w:rsidRPr="00F02BC6">
              <w:rPr>
                <w:color w:val="000000"/>
                <w:sz w:val="20"/>
                <w:szCs w:val="20"/>
                <w:lang w:val="en-US"/>
              </w:rPr>
              <w:t>LTR less likely to be primary adherent than those on ICS (</w:t>
            </w:r>
            <w:proofErr w:type="gramStart"/>
            <w:r w:rsidRPr="00F02BC6">
              <w:rPr>
                <w:color w:val="000000"/>
                <w:sz w:val="20"/>
                <w:szCs w:val="20"/>
                <w:lang w:val="en-US"/>
              </w:rPr>
              <w:t>OR;</w:t>
            </w:r>
            <w:proofErr w:type="gramEnd"/>
          </w:p>
          <w:p w14:paraId="412FFFEF" w14:textId="77777777" w:rsidR="00801304" w:rsidRPr="00F02BC6" w:rsidRDefault="00801304" w:rsidP="00495804">
            <w:pPr>
              <w:rPr>
                <w:color w:val="000000"/>
                <w:sz w:val="20"/>
                <w:szCs w:val="20"/>
                <w:lang w:val="en-US"/>
              </w:rPr>
            </w:pPr>
            <w:r w:rsidRPr="00F02BC6">
              <w:rPr>
                <w:color w:val="000000"/>
                <w:sz w:val="20"/>
                <w:szCs w:val="20"/>
                <w:lang w:val="en-US"/>
              </w:rPr>
              <w:t>0.82; 95% CI, 0.74–0.92) or ICS/LABA (</w:t>
            </w:r>
            <w:proofErr w:type="gramStart"/>
            <w:r w:rsidRPr="00F02BC6">
              <w:rPr>
                <w:color w:val="000000"/>
                <w:sz w:val="20"/>
                <w:szCs w:val="20"/>
                <w:lang w:val="en-US"/>
              </w:rPr>
              <w:t>OR;</w:t>
            </w:r>
            <w:proofErr w:type="gramEnd"/>
            <w:r w:rsidRPr="00F02BC6">
              <w:rPr>
                <w:color w:val="000000"/>
                <w:sz w:val="20"/>
                <w:szCs w:val="20"/>
                <w:lang w:val="en-US"/>
              </w:rPr>
              <w:t xml:space="preserve"> 0.88; 95% CI; 0.80–0.97)</w:t>
            </w:r>
          </w:p>
          <w:p w14:paraId="697A4D70" w14:textId="77777777" w:rsidR="00801304" w:rsidRPr="00F02BC6" w:rsidRDefault="00801304" w:rsidP="00495804">
            <w:pPr>
              <w:rPr>
                <w:color w:val="000000"/>
                <w:sz w:val="20"/>
                <w:szCs w:val="20"/>
                <w:lang w:val="en-US"/>
              </w:rPr>
            </w:pPr>
            <w:r w:rsidRPr="00F02BC6">
              <w:rPr>
                <w:color w:val="000000"/>
                <w:sz w:val="20"/>
                <w:szCs w:val="20"/>
                <w:lang w:val="en-US"/>
              </w:rPr>
              <w:t>LTRA more likely to be early-stage persistent than those on ICS (OR, 1.82; 95% CI, 1.64–2.04). LTRA or ICS/LABA more likely to be adherent as measured by adjusted PDC≥75% than those prescribed ICS (OR, 6.21 [95% CI, 5.41–7.19] and 2.13 [95% CI, 1.82–2.48], respectively).</w:t>
            </w:r>
          </w:p>
        </w:tc>
        <w:tc>
          <w:tcPr>
            <w:tcW w:w="2693" w:type="dxa"/>
          </w:tcPr>
          <w:p w14:paraId="13F9A4D2" w14:textId="77777777" w:rsidR="00801304" w:rsidRPr="00F02BC6" w:rsidRDefault="00801304" w:rsidP="00495804">
            <w:pPr>
              <w:rPr>
                <w:color w:val="000000"/>
                <w:sz w:val="20"/>
                <w:szCs w:val="20"/>
                <w:lang w:val="en-US"/>
              </w:rPr>
            </w:pPr>
            <w:r w:rsidRPr="00F02BC6">
              <w:rPr>
                <w:color w:val="000000"/>
                <w:sz w:val="20"/>
                <w:szCs w:val="20"/>
                <w:lang w:val="en-US"/>
              </w:rPr>
              <w:t>Multivariate logistic regression analysis</w:t>
            </w:r>
          </w:p>
        </w:tc>
        <w:tc>
          <w:tcPr>
            <w:tcW w:w="1559" w:type="dxa"/>
            <w:gridSpan w:val="2"/>
          </w:tcPr>
          <w:p w14:paraId="6B34CBAD" w14:textId="77777777" w:rsidR="00801304" w:rsidRPr="00F02BC6" w:rsidRDefault="00801304" w:rsidP="00495804">
            <w:pPr>
              <w:rPr>
                <w:color w:val="000000"/>
                <w:sz w:val="20"/>
                <w:szCs w:val="20"/>
                <w:lang w:val="en-US"/>
              </w:rPr>
            </w:pPr>
            <w:r w:rsidRPr="00F02BC6">
              <w:rPr>
                <w:color w:val="000000"/>
                <w:sz w:val="20"/>
                <w:szCs w:val="20"/>
                <w:lang w:val="en-US"/>
              </w:rPr>
              <w:t xml:space="preserve">96.74% </w:t>
            </w:r>
          </w:p>
          <w:p w14:paraId="63769F4F" w14:textId="77777777" w:rsidR="00801304" w:rsidRPr="00F02BC6" w:rsidRDefault="00801304" w:rsidP="00495804">
            <w:pPr>
              <w:rPr>
                <w:color w:val="000000"/>
                <w:sz w:val="20"/>
                <w:szCs w:val="20"/>
                <w:lang w:val="en-US"/>
              </w:rPr>
            </w:pPr>
            <w:r w:rsidRPr="00F02BC6">
              <w:rPr>
                <w:color w:val="000000"/>
                <w:sz w:val="20"/>
                <w:szCs w:val="20"/>
                <w:lang w:val="en-US"/>
              </w:rPr>
              <w:t>(Estimated with PDC ≥75%)</w:t>
            </w:r>
          </w:p>
        </w:tc>
      </w:tr>
      <w:tr w:rsidR="00801304" w:rsidRPr="00F02BC6" w14:paraId="6471537E" w14:textId="77777777" w:rsidTr="005F62B6">
        <w:tc>
          <w:tcPr>
            <w:tcW w:w="2219" w:type="dxa"/>
            <w:tcBorders>
              <w:bottom w:val="single" w:sz="4" w:space="0" w:color="auto"/>
            </w:tcBorders>
          </w:tcPr>
          <w:p w14:paraId="6EFACA89" w14:textId="77777777" w:rsidR="00801304" w:rsidRPr="00F02BC6" w:rsidRDefault="00801304" w:rsidP="00495804">
            <w:pPr>
              <w:rPr>
                <w:color w:val="000000"/>
                <w:sz w:val="20"/>
                <w:szCs w:val="20"/>
                <w:lang w:val="en-US"/>
              </w:rPr>
            </w:pPr>
            <w:r w:rsidRPr="00F02BC6">
              <w:rPr>
                <w:color w:val="000000"/>
                <w:sz w:val="20"/>
                <w:szCs w:val="20"/>
                <w:lang w:val="en-US"/>
              </w:rPr>
              <w:t xml:space="preserve">Zhang et al </w:t>
            </w:r>
            <w:r w:rsidRPr="00F02BC6">
              <w:rPr>
                <w:color w:val="000000"/>
                <w:sz w:val="20"/>
                <w:szCs w:val="20"/>
                <w:vertAlign w:val="superscript"/>
                <w:lang w:val="en-US"/>
              </w:rPr>
              <w:fldChar w:fldCharType="begin" w:fldLock="1"/>
            </w:r>
            <w:r w:rsidRPr="00F02BC6">
              <w:rPr>
                <w:color w:val="000000"/>
                <w:sz w:val="20"/>
                <w:szCs w:val="20"/>
                <w:vertAlign w:val="superscript"/>
                <w:lang w:val="en-US"/>
              </w:rPr>
              <w:instrText>ADDIN CSL_CITATION {"citationItems":[{"id":"ITEM-1","itemData":{"DOI":"10.1016/j.chest.2016.08.927","ISSN":"00123692","abstract":"PURPOSE: Severe asthma represents a small proportion of asthma cases yet accounts for a disproportionate amount of resource expenditure. This study aimed to characterize health care resource utilization (HCRU) and associated direct health care costs (DHCs) among severe asthmatics in Quebec. METHODS: This observational retrospective cohort study utilized claims data from Quebec Health Insurance administrative databases. Patients &gt;=12 years old with an incident diagnosis of asthma/severe asthma based on GINA steps 4-5 were included. Asthma-related HCRU and associated DHCs were assessed overall and stratified by adherence, defined as an overall Medication Possession Ratio &gt;=80%, and number of exacerbations/year. Poisson regression (medical HCRU) and Generalized Linear Models (prescription HCRU and DHC) were used to assess the impact of adherence and exacerbations on HCRU and DHCs, adjusted for duration of follow-up, age, gender, and Charlson Comorbidity Index. RESULTS: Overall, 9716 patients were included (median follow-up 4.90 years). The mean age was 47.09 years, and 62.5% were female. An average 68.11 physician visits, 20.00 specialist visits, 5.14 emergency room visits, and 2.90 hospitalizations were reported per 100 person-years. Average adjusted DHC of a severe asthmatic was approximately &gt;=1,900 CAD/year, with nonadherent patients costing more per year than adherent patients ($1,937 vs. $1,596, P&lt;0.001). ), Patients experiencing &gt;=2 exacerbations/year reported adjusted DHCs more than 5 times that of the overall cohort ($10,384). CONCLUSIONS: The results of this analysis show that patients with severe asthma represent a significant burden, both in terms of HCRU and DHCs. This is especially true for severe asthma patients who experience &gt;=2 exacerbations per year, as the DHCs associated with these patients is upwards of $10,000 CAD/year. These findings add to the current evidence related to the known disproportionate resource expenditure of severe asthmatics.","author":[{"dropping-particle":"","family":"Zhang","given":"Shiyuan","non-dropping-particle":"","parse-names":false,"suffix":""},{"dropping-particle":"","family":"Dang-Tan","given":"Tam","non-dropping-particle":"","parse-names":false,"suffix":""},{"dropping-particle":"","family":"Ismaila","given":"Afisi","non-dropping-particle":"","parse-names":false,"suffix":""},{"dropping-particle":"","family":"Tacon","given":"Claire","non-dropping-particle":"","parse-names":false,"suffix":""},{"dropping-particle":"","family":"Daugherty","given":"Jonas","non-dropping-particle":"","parse-names":false,"suffix":""},{"dropping-particle":"","family":"Tavares","given":"Ruben","non-dropping-particle":"","parse-names":false,"suffix":""},{"dropping-particle":"","family":"Goodall","given":"Emma","non-dropping-particle":"","parse-names":false,"suffix":""},{"dropping-particle":"","family":"Smith","given":"Steven","non-dropping-particle":"","parse-names":false,"suffix":""},{"dropping-particle":"","family":"Stutz","given":"Melissa","non-dropping-particle":"","parse-names":false,"suffix":""},{"dropping-particle":"","family":"Vaillancourt","given":"Julie","non-dropping-particle":"","parse-names":false,"suffix":""},{"dropping-particle":"","family":"Parsons","given":"Daria","non-dropping-particle":"","parse-names":false,"suffix":""},{"dropping-particle":"","family":"Lin","given":"Xiwu","non-dropping-particle":"","parse-names":false,"suffix":""},{"dropping-particle":"","family":"Nadeau","given":"Gilbert","non-dropping-particle":"","parse-names":false,"suffix":""},{"dropping-particle":"","family":"Simidchiev","given":"Alexander","non-dropping-particle":"","parse-names":false,"suffix":""},{"dropping-particle":"","family":"Sampalis","given":"John","non-dropping-particle":"","parse-names":false,"suffix":""}],"container-title":"Chest","id":"ITEM-1","issue":"4","issued":{"date-parts":[["2016"]]},"page":"827A","title":"The Impact of Adherence and Exacerbation Frequency on Health Care Utilization and Associated Direct Costs in Severe Asthma","type":"article-journal","volume":"150"},"uris":["http://www.mendeley.com/documents/?uuid=f217da50-0f40-45c6-be40-bd01a351203d"]}],"mendeley":{"formattedCitation":"(49)","plainTextFormattedCitation":"(49)","previouslyFormattedCitation":"(49)"},"properties":{"noteIndex":0},"schema":"https://github.com/citation-style-language/schema/raw/master/csl-citation.json"}</w:instrText>
            </w:r>
            <w:r w:rsidRPr="00F02BC6">
              <w:rPr>
                <w:color w:val="000000"/>
                <w:sz w:val="20"/>
                <w:szCs w:val="20"/>
                <w:vertAlign w:val="superscript"/>
                <w:lang w:val="en-US"/>
              </w:rPr>
              <w:fldChar w:fldCharType="separate"/>
            </w:r>
            <w:r w:rsidRPr="00F02BC6">
              <w:rPr>
                <w:color w:val="000000"/>
                <w:sz w:val="20"/>
                <w:szCs w:val="20"/>
                <w:vertAlign w:val="superscript"/>
                <w:lang w:val="en-US"/>
              </w:rPr>
              <w:t>(49)</w:t>
            </w:r>
            <w:r w:rsidRPr="00F02BC6">
              <w:rPr>
                <w:color w:val="000000"/>
                <w:sz w:val="20"/>
                <w:szCs w:val="20"/>
                <w:vertAlign w:val="superscript"/>
                <w:lang w:val="en-US"/>
              </w:rPr>
              <w:fldChar w:fldCharType="end"/>
            </w:r>
          </w:p>
          <w:p w14:paraId="2638E747" w14:textId="77777777" w:rsidR="00801304" w:rsidRPr="00F02BC6" w:rsidRDefault="00801304" w:rsidP="00495804">
            <w:pPr>
              <w:rPr>
                <w:color w:val="000000"/>
                <w:sz w:val="20"/>
                <w:szCs w:val="20"/>
                <w:lang w:val="en-US"/>
              </w:rPr>
            </w:pPr>
          </w:p>
        </w:tc>
        <w:tc>
          <w:tcPr>
            <w:tcW w:w="1984" w:type="dxa"/>
            <w:tcBorders>
              <w:bottom w:val="single" w:sz="4" w:space="0" w:color="auto"/>
            </w:tcBorders>
          </w:tcPr>
          <w:p w14:paraId="700D4BDB" w14:textId="1F10D90E" w:rsidR="00801304" w:rsidRPr="00F02BC6" w:rsidRDefault="002A033E" w:rsidP="00495804">
            <w:pPr>
              <w:rPr>
                <w:color w:val="000000"/>
                <w:sz w:val="20"/>
                <w:szCs w:val="20"/>
                <w:lang w:val="en-US"/>
              </w:rPr>
            </w:pPr>
            <w:r w:rsidRPr="00F02BC6">
              <w:rPr>
                <w:color w:val="000000"/>
                <w:sz w:val="20"/>
                <w:szCs w:val="20"/>
                <w:lang w:val="en-US"/>
              </w:rPr>
              <w:t xml:space="preserve">Patients with incident diagnosis of asthma based on the Global Initiative of Asthma (GINA) steps 4-5 recommendations. </w:t>
            </w:r>
          </w:p>
        </w:tc>
        <w:tc>
          <w:tcPr>
            <w:tcW w:w="1843" w:type="dxa"/>
            <w:tcBorders>
              <w:bottom w:val="single" w:sz="4" w:space="0" w:color="auto"/>
            </w:tcBorders>
          </w:tcPr>
          <w:p w14:paraId="4924122F" w14:textId="77777777" w:rsidR="00801304" w:rsidRPr="00F02BC6" w:rsidRDefault="00801304" w:rsidP="00495804">
            <w:pPr>
              <w:rPr>
                <w:color w:val="000000"/>
                <w:sz w:val="20"/>
                <w:szCs w:val="20"/>
                <w:lang w:val="en-US"/>
              </w:rPr>
            </w:pPr>
            <w:r w:rsidRPr="00F02BC6">
              <w:rPr>
                <w:color w:val="000000"/>
                <w:sz w:val="20"/>
                <w:szCs w:val="20"/>
                <w:lang w:val="en-US"/>
              </w:rPr>
              <w:t>-----</w:t>
            </w:r>
          </w:p>
        </w:tc>
        <w:tc>
          <w:tcPr>
            <w:tcW w:w="2127" w:type="dxa"/>
            <w:tcBorders>
              <w:bottom w:val="single" w:sz="4" w:space="0" w:color="auto"/>
            </w:tcBorders>
          </w:tcPr>
          <w:p w14:paraId="07DA7835" w14:textId="77777777" w:rsidR="00801304" w:rsidRPr="00F02BC6" w:rsidRDefault="00801304" w:rsidP="00495804">
            <w:pPr>
              <w:rPr>
                <w:color w:val="000000"/>
                <w:sz w:val="20"/>
                <w:szCs w:val="20"/>
                <w:lang w:val="en-US"/>
              </w:rPr>
            </w:pPr>
            <w:r w:rsidRPr="00F02BC6">
              <w:rPr>
                <w:color w:val="000000"/>
                <w:sz w:val="20"/>
                <w:szCs w:val="20"/>
                <w:lang w:val="en-US"/>
              </w:rPr>
              <w:t>MPR ≥80%</w:t>
            </w:r>
          </w:p>
        </w:tc>
        <w:tc>
          <w:tcPr>
            <w:tcW w:w="2976" w:type="dxa"/>
            <w:tcBorders>
              <w:bottom w:val="single" w:sz="4" w:space="0" w:color="auto"/>
            </w:tcBorders>
          </w:tcPr>
          <w:p w14:paraId="634248A4" w14:textId="77777777" w:rsidR="00801304" w:rsidRPr="00F02BC6" w:rsidRDefault="00801304" w:rsidP="00495804">
            <w:pPr>
              <w:rPr>
                <w:color w:val="000000"/>
                <w:sz w:val="20"/>
                <w:szCs w:val="20"/>
                <w:lang w:val="en-US"/>
              </w:rPr>
            </w:pPr>
            <w:r w:rsidRPr="00F02BC6">
              <w:rPr>
                <w:color w:val="000000"/>
                <w:sz w:val="20"/>
                <w:szCs w:val="20"/>
                <w:lang w:val="en-US"/>
              </w:rPr>
              <w:t>Average direct healthcare cost per year of severe asthmatic who are adherent vs non adherent patients ($1,937 vs. $1,596, P&lt;0.001)</w:t>
            </w:r>
          </w:p>
        </w:tc>
        <w:tc>
          <w:tcPr>
            <w:tcW w:w="2837" w:type="dxa"/>
            <w:gridSpan w:val="2"/>
            <w:tcBorders>
              <w:bottom w:val="single" w:sz="4" w:space="0" w:color="auto"/>
            </w:tcBorders>
          </w:tcPr>
          <w:p w14:paraId="00E9AF0C" w14:textId="77777777" w:rsidR="00801304" w:rsidRPr="00F02BC6" w:rsidRDefault="00801304" w:rsidP="00495804">
            <w:pPr>
              <w:rPr>
                <w:color w:val="000000"/>
                <w:sz w:val="20"/>
                <w:szCs w:val="20"/>
                <w:lang w:val="en-US"/>
              </w:rPr>
            </w:pPr>
            <w:r w:rsidRPr="00F02BC6">
              <w:rPr>
                <w:color w:val="000000"/>
                <w:sz w:val="20"/>
                <w:szCs w:val="20"/>
                <w:lang w:val="en-US"/>
              </w:rPr>
              <w:t>Poisson regression and Generalized Linear Models</w:t>
            </w:r>
          </w:p>
        </w:tc>
        <w:tc>
          <w:tcPr>
            <w:tcW w:w="1415" w:type="dxa"/>
            <w:tcBorders>
              <w:bottom w:val="single" w:sz="4" w:space="0" w:color="auto"/>
            </w:tcBorders>
          </w:tcPr>
          <w:p w14:paraId="1FED0F51" w14:textId="77777777" w:rsidR="00801304" w:rsidRPr="00F02BC6" w:rsidRDefault="00801304" w:rsidP="00495804">
            <w:pPr>
              <w:rPr>
                <w:color w:val="000000"/>
                <w:sz w:val="20"/>
                <w:szCs w:val="20"/>
                <w:lang w:val="en-US"/>
              </w:rPr>
            </w:pPr>
            <w:r w:rsidRPr="00F02BC6">
              <w:rPr>
                <w:color w:val="000000"/>
                <w:sz w:val="20"/>
                <w:szCs w:val="20"/>
                <w:lang w:val="en-US"/>
              </w:rPr>
              <w:t>----</w:t>
            </w:r>
          </w:p>
        </w:tc>
      </w:tr>
    </w:tbl>
    <w:p w14:paraId="6A9CEF89" w14:textId="77777777" w:rsidR="00801304" w:rsidRPr="00F02BC6" w:rsidRDefault="00801304" w:rsidP="00801304">
      <w:pPr>
        <w:rPr>
          <w:color w:val="000000"/>
          <w:sz w:val="20"/>
          <w:szCs w:val="20"/>
          <w:lang w:val="en-US"/>
        </w:rPr>
      </w:pPr>
    </w:p>
    <w:p w14:paraId="219E4C5D" w14:textId="77777777" w:rsidR="00801304" w:rsidRPr="00F02BC6" w:rsidRDefault="00801304" w:rsidP="00801304">
      <w:pPr>
        <w:rPr>
          <w:b/>
          <w:color w:val="000000"/>
          <w:sz w:val="20"/>
          <w:szCs w:val="20"/>
          <w:lang w:val="en-US"/>
        </w:rPr>
      </w:pPr>
    </w:p>
    <w:p w14:paraId="337277F1" w14:textId="77777777" w:rsidR="00801304" w:rsidRPr="00F02BC6" w:rsidRDefault="00801304" w:rsidP="0059046C">
      <w:pPr>
        <w:rPr>
          <w:color w:val="000000"/>
          <w:sz w:val="20"/>
          <w:szCs w:val="20"/>
          <w:lang w:val="en-US"/>
        </w:rPr>
      </w:pPr>
    </w:p>
    <w:p w14:paraId="0D9BA846" w14:textId="27933995" w:rsidR="00E569A5" w:rsidRPr="00F02BC6" w:rsidRDefault="00E569A5" w:rsidP="0059046C">
      <w:pPr>
        <w:rPr>
          <w:color w:val="000000"/>
          <w:sz w:val="20"/>
          <w:szCs w:val="20"/>
          <w:lang w:val="en-US"/>
        </w:rPr>
      </w:pPr>
    </w:p>
    <w:p w14:paraId="5614CCCA" w14:textId="77013C0B" w:rsidR="00E569A5" w:rsidRPr="00F02BC6" w:rsidRDefault="00E569A5" w:rsidP="0059046C">
      <w:pPr>
        <w:rPr>
          <w:color w:val="000000"/>
          <w:sz w:val="20"/>
          <w:szCs w:val="20"/>
          <w:lang w:val="en-US"/>
        </w:rPr>
      </w:pPr>
    </w:p>
    <w:p w14:paraId="01968DAA" w14:textId="07C56916" w:rsidR="00E569A5" w:rsidRPr="00F02BC6" w:rsidRDefault="00E569A5" w:rsidP="0059046C">
      <w:pPr>
        <w:rPr>
          <w:color w:val="000000"/>
          <w:sz w:val="20"/>
          <w:szCs w:val="20"/>
          <w:lang w:val="en-US"/>
        </w:rPr>
      </w:pPr>
    </w:p>
    <w:sectPr w:rsidR="00E569A5" w:rsidRPr="00F02BC6" w:rsidSect="00E569A5">
      <w:pgSz w:w="15840" w:h="12240"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9F6D2" w14:textId="77777777" w:rsidR="00FF2854" w:rsidRDefault="00FF2854" w:rsidP="001822AF">
      <w:r>
        <w:separator/>
      </w:r>
    </w:p>
  </w:endnote>
  <w:endnote w:type="continuationSeparator" w:id="0">
    <w:p w14:paraId="63F3E56F" w14:textId="77777777" w:rsidR="00FF2854" w:rsidRDefault="00FF2854" w:rsidP="0018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dvOT1ef757c0">
    <w:altName w:val="Cambria"/>
    <w:panose1 w:val="00000000000000000000"/>
    <w:charset w:val="00"/>
    <w:family w:val="roman"/>
    <w:notTrueType/>
    <w:pitch w:val="default"/>
    <w:sig w:usb0="00000003" w:usb1="00000000" w:usb2="00000000" w:usb3="00000000" w:csb0="00000001" w:csb1="00000000"/>
  </w:font>
  <w:font w:name="AdvOT97231e80.B">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8312861"/>
      <w:docPartObj>
        <w:docPartGallery w:val="Page Numbers (Bottom of Page)"/>
        <w:docPartUnique/>
      </w:docPartObj>
    </w:sdtPr>
    <w:sdtEndPr>
      <w:rPr>
        <w:rStyle w:val="PageNumber"/>
      </w:rPr>
    </w:sdtEndPr>
    <w:sdtContent>
      <w:p w14:paraId="4C13BB5C" w14:textId="3B127409" w:rsidR="00325BF6" w:rsidRDefault="00325BF6" w:rsidP="007C53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CC0CCC" w14:textId="77777777" w:rsidR="00325BF6" w:rsidRDefault="00325BF6" w:rsidP="002B78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2883279"/>
      <w:docPartObj>
        <w:docPartGallery w:val="Page Numbers (Bottom of Page)"/>
        <w:docPartUnique/>
      </w:docPartObj>
    </w:sdtPr>
    <w:sdtEndPr>
      <w:rPr>
        <w:rStyle w:val="PageNumber"/>
      </w:rPr>
    </w:sdtEndPr>
    <w:sdtContent>
      <w:p w14:paraId="2C094813" w14:textId="11C9C2BB" w:rsidR="00325BF6" w:rsidRDefault="00325BF6" w:rsidP="007C53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75788813" w14:textId="77777777" w:rsidR="00325BF6" w:rsidRDefault="00325BF6" w:rsidP="002B784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8E48D" w14:textId="77777777" w:rsidR="00FF2854" w:rsidRDefault="00FF2854" w:rsidP="001822AF">
      <w:r>
        <w:separator/>
      </w:r>
    </w:p>
  </w:footnote>
  <w:footnote w:type="continuationSeparator" w:id="0">
    <w:p w14:paraId="0D180D51" w14:textId="77777777" w:rsidR="00FF2854" w:rsidRDefault="00FF2854" w:rsidP="001822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4F1"/>
    <w:rsid w:val="0001627A"/>
    <w:rsid w:val="000462A4"/>
    <w:rsid w:val="00046C22"/>
    <w:rsid w:val="00051352"/>
    <w:rsid w:val="000532AC"/>
    <w:rsid w:val="00057830"/>
    <w:rsid w:val="0008216C"/>
    <w:rsid w:val="000869CD"/>
    <w:rsid w:val="000C0748"/>
    <w:rsid w:val="000C180B"/>
    <w:rsid w:val="000C3C40"/>
    <w:rsid w:val="000F414A"/>
    <w:rsid w:val="001026FD"/>
    <w:rsid w:val="00103363"/>
    <w:rsid w:val="0011135B"/>
    <w:rsid w:val="0013222B"/>
    <w:rsid w:val="00132A8F"/>
    <w:rsid w:val="0016152F"/>
    <w:rsid w:val="00172A65"/>
    <w:rsid w:val="001822AF"/>
    <w:rsid w:val="00184E53"/>
    <w:rsid w:val="00186847"/>
    <w:rsid w:val="00190C66"/>
    <w:rsid w:val="001A0F7B"/>
    <w:rsid w:val="001B149E"/>
    <w:rsid w:val="001B1DD1"/>
    <w:rsid w:val="001B53AA"/>
    <w:rsid w:val="001B7FBE"/>
    <w:rsid w:val="001C6D63"/>
    <w:rsid w:val="002331F6"/>
    <w:rsid w:val="00233292"/>
    <w:rsid w:val="002461E8"/>
    <w:rsid w:val="00247311"/>
    <w:rsid w:val="00254ED2"/>
    <w:rsid w:val="00264B03"/>
    <w:rsid w:val="002901FE"/>
    <w:rsid w:val="00297DC7"/>
    <w:rsid w:val="002A033E"/>
    <w:rsid w:val="002B7843"/>
    <w:rsid w:val="002C3899"/>
    <w:rsid w:val="002C63D3"/>
    <w:rsid w:val="002E3BA1"/>
    <w:rsid w:val="002F54BC"/>
    <w:rsid w:val="00302993"/>
    <w:rsid w:val="0031301F"/>
    <w:rsid w:val="0031787A"/>
    <w:rsid w:val="00325BF6"/>
    <w:rsid w:val="00332837"/>
    <w:rsid w:val="00372239"/>
    <w:rsid w:val="003845BE"/>
    <w:rsid w:val="00393497"/>
    <w:rsid w:val="003A0BDF"/>
    <w:rsid w:val="003A183F"/>
    <w:rsid w:val="003B5941"/>
    <w:rsid w:val="003C04A0"/>
    <w:rsid w:val="003C06E7"/>
    <w:rsid w:val="003C5DCB"/>
    <w:rsid w:val="003E11C7"/>
    <w:rsid w:val="00400A47"/>
    <w:rsid w:val="00407034"/>
    <w:rsid w:val="004138D5"/>
    <w:rsid w:val="004165FE"/>
    <w:rsid w:val="00424BF6"/>
    <w:rsid w:val="00431AB1"/>
    <w:rsid w:val="00441555"/>
    <w:rsid w:val="0044576C"/>
    <w:rsid w:val="004573A3"/>
    <w:rsid w:val="00467A06"/>
    <w:rsid w:val="00474605"/>
    <w:rsid w:val="00483C40"/>
    <w:rsid w:val="0048437E"/>
    <w:rsid w:val="004905C0"/>
    <w:rsid w:val="004A036C"/>
    <w:rsid w:val="004A55C2"/>
    <w:rsid w:val="004B1009"/>
    <w:rsid w:val="004B3129"/>
    <w:rsid w:val="004C66A9"/>
    <w:rsid w:val="004D6A88"/>
    <w:rsid w:val="004F71FD"/>
    <w:rsid w:val="0052026A"/>
    <w:rsid w:val="0052166C"/>
    <w:rsid w:val="00532E37"/>
    <w:rsid w:val="00535F0C"/>
    <w:rsid w:val="00551EF3"/>
    <w:rsid w:val="005525FB"/>
    <w:rsid w:val="00557BCE"/>
    <w:rsid w:val="0056770B"/>
    <w:rsid w:val="00567BE9"/>
    <w:rsid w:val="00590316"/>
    <w:rsid w:val="0059046C"/>
    <w:rsid w:val="005D3F37"/>
    <w:rsid w:val="005D4E9B"/>
    <w:rsid w:val="005E0312"/>
    <w:rsid w:val="005E4A45"/>
    <w:rsid w:val="005F0211"/>
    <w:rsid w:val="005F53CB"/>
    <w:rsid w:val="005F62B6"/>
    <w:rsid w:val="006271D8"/>
    <w:rsid w:val="00631207"/>
    <w:rsid w:val="006613E4"/>
    <w:rsid w:val="0066426C"/>
    <w:rsid w:val="00667C88"/>
    <w:rsid w:val="0067367E"/>
    <w:rsid w:val="0067724A"/>
    <w:rsid w:val="00681F48"/>
    <w:rsid w:val="00685BBB"/>
    <w:rsid w:val="00691132"/>
    <w:rsid w:val="006A1BAD"/>
    <w:rsid w:val="006C19E1"/>
    <w:rsid w:val="006C58B4"/>
    <w:rsid w:val="006D1283"/>
    <w:rsid w:val="006E46B2"/>
    <w:rsid w:val="006F7569"/>
    <w:rsid w:val="00706930"/>
    <w:rsid w:val="00715E4A"/>
    <w:rsid w:val="007279B1"/>
    <w:rsid w:val="00735166"/>
    <w:rsid w:val="00736712"/>
    <w:rsid w:val="007456D8"/>
    <w:rsid w:val="00750A25"/>
    <w:rsid w:val="00753622"/>
    <w:rsid w:val="00754A10"/>
    <w:rsid w:val="00763E3F"/>
    <w:rsid w:val="007717D9"/>
    <w:rsid w:val="00776CF9"/>
    <w:rsid w:val="007A14F1"/>
    <w:rsid w:val="007A671A"/>
    <w:rsid w:val="007B7675"/>
    <w:rsid w:val="007C5313"/>
    <w:rsid w:val="007E5BB6"/>
    <w:rsid w:val="007F3E5E"/>
    <w:rsid w:val="007F5915"/>
    <w:rsid w:val="00801304"/>
    <w:rsid w:val="008263CE"/>
    <w:rsid w:val="00834D75"/>
    <w:rsid w:val="00846B27"/>
    <w:rsid w:val="0085788E"/>
    <w:rsid w:val="008630EB"/>
    <w:rsid w:val="00863E8E"/>
    <w:rsid w:val="00866344"/>
    <w:rsid w:val="008756D0"/>
    <w:rsid w:val="008823C7"/>
    <w:rsid w:val="008853F2"/>
    <w:rsid w:val="00890AE9"/>
    <w:rsid w:val="00892F80"/>
    <w:rsid w:val="00895905"/>
    <w:rsid w:val="008A4D21"/>
    <w:rsid w:val="008C5509"/>
    <w:rsid w:val="008F11B6"/>
    <w:rsid w:val="008F1B80"/>
    <w:rsid w:val="009030C8"/>
    <w:rsid w:val="00905D73"/>
    <w:rsid w:val="00920CF8"/>
    <w:rsid w:val="00922152"/>
    <w:rsid w:val="009556B5"/>
    <w:rsid w:val="00981C09"/>
    <w:rsid w:val="00985594"/>
    <w:rsid w:val="0099008D"/>
    <w:rsid w:val="009A1967"/>
    <w:rsid w:val="009D0D54"/>
    <w:rsid w:val="009F5410"/>
    <w:rsid w:val="009F6EDF"/>
    <w:rsid w:val="00A22C50"/>
    <w:rsid w:val="00A24903"/>
    <w:rsid w:val="00A249ED"/>
    <w:rsid w:val="00A36401"/>
    <w:rsid w:val="00A44159"/>
    <w:rsid w:val="00A473EA"/>
    <w:rsid w:val="00A5356C"/>
    <w:rsid w:val="00A72FD7"/>
    <w:rsid w:val="00A84EAF"/>
    <w:rsid w:val="00A9084B"/>
    <w:rsid w:val="00A94432"/>
    <w:rsid w:val="00AA0429"/>
    <w:rsid w:val="00AA7D6E"/>
    <w:rsid w:val="00AB6B2F"/>
    <w:rsid w:val="00AC060B"/>
    <w:rsid w:val="00AD7637"/>
    <w:rsid w:val="00AF6F82"/>
    <w:rsid w:val="00B13433"/>
    <w:rsid w:val="00B16B1E"/>
    <w:rsid w:val="00B271EA"/>
    <w:rsid w:val="00B34D29"/>
    <w:rsid w:val="00B446E8"/>
    <w:rsid w:val="00B51F1F"/>
    <w:rsid w:val="00B60395"/>
    <w:rsid w:val="00B66F39"/>
    <w:rsid w:val="00B74BB3"/>
    <w:rsid w:val="00B8077F"/>
    <w:rsid w:val="00BA57F7"/>
    <w:rsid w:val="00BC31FF"/>
    <w:rsid w:val="00BD1C56"/>
    <w:rsid w:val="00BE19D6"/>
    <w:rsid w:val="00BE2AD8"/>
    <w:rsid w:val="00BF198B"/>
    <w:rsid w:val="00BF404E"/>
    <w:rsid w:val="00BF4E94"/>
    <w:rsid w:val="00BF58CF"/>
    <w:rsid w:val="00C041F4"/>
    <w:rsid w:val="00C11CD8"/>
    <w:rsid w:val="00C401BF"/>
    <w:rsid w:val="00C56269"/>
    <w:rsid w:val="00C64D8C"/>
    <w:rsid w:val="00C73655"/>
    <w:rsid w:val="00C87B3D"/>
    <w:rsid w:val="00CA1CFC"/>
    <w:rsid w:val="00CC22B7"/>
    <w:rsid w:val="00D34338"/>
    <w:rsid w:val="00D51FE0"/>
    <w:rsid w:val="00D611E9"/>
    <w:rsid w:val="00D67C9B"/>
    <w:rsid w:val="00D856D9"/>
    <w:rsid w:val="00D96EC5"/>
    <w:rsid w:val="00DA38C3"/>
    <w:rsid w:val="00DF19A7"/>
    <w:rsid w:val="00E04942"/>
    <w:rsid w:val="00E117B0"/>
    <w:rsid w:val="00E36E4E"/>
    <w:rsid w:val="00E40375"/>
    <w:rsid w:val="00E569A5"/>
    <w:rsid w:val="00E71D7C"/>
    <w:rsid w:val="00E74624"/>
    <w:rsid w:val="00E81319"/>
    <w:rsid w:val="00E912A8"/>
    <w:rsid w:val="00E971B2"/>
    <w:rsid w:val="00EA36E7"/>
    <w:rsid w:val="00EB654A"/>
    <w:rsid w:val="00EC0999"/>
    <w:rsid w:val="00EC212F"/>
    <w:rsid w:val="00ED28B6"/>
    <w:rsid w:val="00EE0A85"/>
    <w:rsid w:val="00EE1E76"/>
    <w:rsid w:val="00F00B44"/>
    <w:rsid w:val="00F02BC6"/>
    <w:rsid w:val="00F3044D"/>
    <w:rsid w:val="00F30DA6"/>
    <w:rsid w:val="00F40D78"/>
    <w:rsid w:val="00F4111C"/>
    <w:rsid w:val="00F44B5D"/>
    <w:rsid w:val="00F463FF"/>
    <w:rsid w:val="00F47F28"/>
    <w:rsid w:val="00F52852"/>
    <w:rsid w:val="00F550E9"/>
    <w:rsid w:val="00F555D7"/>
    <w:rsid w:val="00F63B83"/>
    <w:rsid w:val="00F805AF"/>
    <w:rsid w:val="00F9751E"/>
    <w:rsid w:val="00FA2495"/>
    <w:rsid w:val="00FB622D"/>
    <w:rsid w:val="00FE27E4"/>
    <w:rsid w:val="00FE57C0"/>
    <w:rsid w:val="00FF2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E7F9E"/>
  <w15:chartTrackingRefBased/>
  <w15:docId w15:val="{2A46C8AA-461F-4A1C-A5B1-EF2509950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F28"/>
    <w:pPr>
      <w:spacing w:after="0" w:line="240" w:lineRule="auto"/>
    </w:pPr>
    <w:rPr>
      <w:rFonts w:ascii="Times New Roman" w:eastAsia="Times New Roman" w:hAnsi="Times New Roman" w:cs="Times New Roman"/>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463FF"/>
  </w:style>
  <w:style w:type="character" w:customStyle="1" w:styleId="text">
    <w:name w:val="text"/>
    <w:basedOn w:val="DefaultParagraphFont"/>
    <w:rsid w:val="00F550E9"/>
  </w:style>
  <w:style w:type="paragraph" w:styleId="Header">
    <w:name w:val="header"/>
    <w:basedOn w:val="Normal"/>
    <w:link w:val="HeaderChar"/>
    <w:uiPriority w:val="99"/>
    <w:unhideWhenUsed/>
    <w:rsid w:val="001822AF"/>
    <w:pPr>
      <w:tabs>
        <w:tab w:val="center" w:pos="4680"/>
        <w:tab w:val="right" w:pos="9360"/>
      </w:tabs>
    </w:pPr>
  </w:style>
  <w:style w:type="character" w:customStyle="1" w:styleId="HeaderChar">
    <w:name w:val="Header Char"/>
    <w:basedOn w:val="DefaultParagraphFont"/>
    <w:link w:val="Header"/>
    <w:uiPriority w:val="99"/>
    <w:rsid w:val="001822AF"/>
  </w:style>
  <w:style w:type="paragraph" w:styleId="Footer">
    <w:name w:val="footer"/>
    <w:basedOn w:val="Normal"/>
    <w:link w:val="FooterChar"/>
    <w:uiPriority w:val="99"/>
    <w:unhideWhenUsed/>
    <w:rsid w:val="001822AF"/>
    <w:pPr>
      <w:tabs>
        <w:tab w:val="center" w:pos="4680"/>
        <w:tab w:val="right" w:pos="9360"/>
      </w:tabs>
    </w:pPr>
  </w:style>
  <w:style w:type="character" w:customStyle="1" w:styleId="FooterChar">
    <w:name w:val="Footer Char"/>
    <w:basedOn w:val="DefaultParagraphFont"/>
    <w:link w:val="Footer"/>
    <w:uiPriority w:val="99"/>
    <w:rsid w:val="001822AF"/>
  </w:style>
  <w:style w:type="character" w:styleId="Emphasis">
    <w:name w:val="Emphasis"/>
    <w:basedOn w:val="DefaultParagraphFont"/>
    <w:uiPriority w:val="20"/>
    <w:qFormat/>
    <w:rsid w:val="00051352"/>
    <w:rPr>
      <w:i/>
      <w:iCs/>
    </w:rPr>
  </w:style>
  <w:style w:type="character" w:styleId="PageNumber">
    <w:name w:val="page number"/>
    <w:basedOn w:val="DefaultParagraphFont"/>
    <w:uiPriority w:val="99"/>
    <w:semiHidden/>
    <w:unhideWhenUsed/>
    <w:rsid w:val="002B7843"/>
  </w:style>
  <w:style w:type="table" w:styleId="PlainTable2">
    <w:name w:val="Plain Table 2"/>
    <w:basedOn w:val="TableNormal"/>
    <w:uiPriority w:val="42"/>
    <w:rsid w:val="00F805AF"/>
    <w:pPr>
      <w:spacing w:after="0" w:line="240" w:lineRule="auto"/>
    </w:pPr>
    <w:rPr>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325BF6"/>
    <w:rPr>
      <w:b/>
      <w:bCs/>
    </w:rPr>
  </w:style>
  <w:style w:type="character" w:customStyle="1" w:styleId="term">
    <w:name w:val="term"/>
    <w:basedOn w:val="DefaultParagraphFont"/>
    <w:rsid w:val="00F47F28"/>
  </w:style>
  <w:style w:type="character" w:customStyle="1" w:styleId="abstract-content">
    <w:name w:val="abstract-content"/>
    <w:basedOn w:val="DefaultParagraphFont"/>
    <w:rsid w:val="00E569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685380">
      <w:bodyDiv w:val="1"/>
      <w:marLeft w:val="0"/>
      <w:marRight w:val="0"/>
      <w:marTop w:val="0"/>
      <w:marBottom w:val="0"/>
      <w:divBdr>
        <w:top w:val="none" w:sz="0" w:space="0" w:color="auto"/>
        <w:left w:val="none" w:sz="0" w:space="0" w:color="auto"/>
        <w:bottom w:val="none" w:sz="0" w:space="0" w:color="auto"/>
        <w:right w:val="none" w:sz="0" w:space="0" w:color="auto"/>
      </w:divBdr>
    </w:div>
    <w:div w:id="825784682">
      <w:bodyDiv w:val="1"/>
      <w:marLeft w:val="0"/>
      <w:marRight w:val="0"/>
      <w:marTop w:val="0"/>
      <w:marBottom w:val="0"/>
      <w:divBdr>
        <w:top w:val="none" w:sz="0" w:space="0" w:color="auto"/>
        <w:left w:val="none" w:sz="0" w:space="0" w:color="auto"/>
        <w:bottom w:val="none" w:sz="0" w:space="0" w:color="auto"/>
        <w:right w:val="none" w:sz="0" w:space="0" w:color="auto"/>
      </w:divBdr>
    </w:div>
    <w:div w:id="1134830156">
      <w:bodyDiv w:val="1"/>
      <w:marLeft w:val="0"/>
      <w:marRight w:val="0"/>
      <w:marTop w:val="0"/>
      <w:marBottom w:val="0"/>
      <w:divBdr>
        <w:top w:val="none" w:sz="0" w:space="0" w:color="auto"/>
        <w:left w:val="none" w:sz="0" w:space="0" w:color="auto"/>
        <w:bottom w:val="none" w:sz="0" w:space="0" w:color="auto"/>
        <w:right w:val="none" w:sz="0" w:space="0" w:color="auto"/>
      </w:divBdr>
    </w:div>
    <w:div w:id="1476021877">
      <w:bodyDiv w:val="1"/>
      <w:marLeft w:val="0"/>
      <w:marRight w:val="0"/>
      <w:marTop w:val="0"/>
      <w:marBottom w:val="0"/>
      <w:divBdr>
        <w:top w:val="none" w:sz="0" w:space="0" w:color="auto"/>
        <w:left w:val="none" w:sz="0" w:space="0" w:color="auto"/>
        <w:bottom w:val="none" w:sz="0" w:space="0" w:color="auto"/>
        <w:right w:val="none" w:sz="0" w:space="0" w:color="auto"/>
      </w:divBdr>
    </w:div>
    <w:div w:id="2080396456">
      <w:bodyDiv w:val="1"/>
      <w:marLeft w:val="0"/>
      <w:marRight w:val="0"/>
      <w:marTop w:val="0"/>
      <w:marBottom w:val="0"/>
      <w:divBdr>
        <w:top w:val="none" w:sz="0" w:space="0" w:color="auto"/>
        <w:left w:val="none" w:sz="0" w:space="0" w:color="auto"/>
        <w:bottom w:val="none" w:sz="0" w:space="0" w:color="auto"/>
        <w:right w:val="none" w:sz="0" w:space="0" w:color="auto"/>
      </w:divBdr>
      <w:divsChild>
        <w:div w:id="1271812778">
          <w:marLeft w:val="0"/>
          <w:marRight w:val="0"/>
          <w:marTop w:val="0"/>
          <w:marBottom w:val="0"/>
          <w:divBdr>
            <w:top w:val="none" w:sz="0" w:space="0" w:color="auto"/>
            <w:left w:val="none" w:sz="0" w:space="0" w:color="auto"/>
            <w:bottom w:val="none" w:sz="0" w:space="0" w:color="auto"/>
            <w:right w:val="none" w:sz="0" w:space="0" w:color="auto"/>
          </w:divBdr>
        </w:div>
        <w:div w:id="676739112">
          <w:marLeft w:val="0"/>
          <w:marRight w:val="0"/>
          <w:marTop w:val="0"/>
          <w:marBottom w:val="0"/>
          <w:divBdr>
            <w:top w:val="none" w:sz="0" w:space="0" w:color="auto"/>
            <w:left w:val="none" w:sz="0" w:space="0" w:color="auto"/>
            <w:bottom w:val="none" w:sz="0" w:space="0" w:color="auto"/>
            <w:right w:val="none" w:sz="0" w:space="0" w:color="auto"/>
          </w:divBdr>
          <w:divsChild>
            <w:div w:id="19170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ciencedirect-com.qe2a-proxy.mun.ca/science/article/pii/S2213219816304238"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89D60CD2ED204EAFDAF0E3751CDEB7" ma:contentTypeVersion="14" ma:contentTypeDescription="Create a new document." ma:contentTypeScope="" ma:versionID="f9820ac645a07b2c5ae5516f8d2dc5e9">
  <xsd:schema xmlns:xsd="http://www.w3.org/2001/XMLSchema" xmlns:xs="http://www.w3.org/2001/XMLSchema" xmlns:p="http://schemas.microsoft.com/office/2006/metadata/properties" xmlns:ns2="8636c50b-363d-4a7d-adb0-cfd422105622" xmlns:ns3="86f7edec-793f-422f-bf86-565db80f0f0d" targetNamespace="http://schemas.microsoft.com/office/2006/metadata/properties" ma:root="true" ma:fieldsID="d162a9c7cbfac8f916a0ec05efa8f8e9" ns2:_="" ns3:_="">
    <xsd:import namespace="8636c50b-363d-4a7d-adb0-cfd422105622"/>
    <xsd:import namespace="86f7edec-793f-422f-bf86-565db80f0f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36c50b-363d-4a7d-adb0-cfd4221056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f7edec-793f-422f-bf86-565db80f0f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585CF-DE69-40AC-AADD-08932CE1194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9428D6-1C68-4C1E-A98E-3E9D439F91E0}">
  <ds:schemaRefs>
    <ds:schemaRef ds:uri="http://schemas.microsoft.com/sharepoint/v3/contenttype/forms"/>
  </ds:schemaRefs>
</ds:datastoreItem>
</file>

<file path=customXml/itemProps3.xml><?xml version="1.0" encoding="utf-8"?>
<ds:datastoreItem xmlns:ds="http://schemas.openxmlformats.org/officeDocument/2006/customXml" ds:itemID="{A5784E2B-4C19-471D-BF77-C44A5ECEA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36c50b-363d-4a7d-adb0-cfd422105622"/>
    <ds:schemaRef ds:uri="86f7edec-793f-422f-bf86-565db80f0f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975D82-BBAB-5140-9DEF-32A6D3A37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33528</Words>
  <Characters>191111</Characters>
  <Application>Microsoft Office Word</Application>
  <DocSecurity>0</DocSecurity>
  <Lines>1592</Lines>
  <Paragraphs>448</Paragraphs>
  <ScaleCrop>false</ScaleCrop>
  <HeadingPairs>
    <vt:vector size="2" baseType="variant">
      <vt:variant>
        <vt:lpstr>Title</vt:lpstr>
      </vt:variant>
      <vt:variant>
        <vt:i4>1</vt:i4>
      </vt:variant>
    </vt:vector>
  </HeadingPairs>
  <TitlesOfParts>
    <vt:vector size="1" baseType="lpstr">
      <vt:lpstr/>
    </vt:vector>
  </TitlesOfParts>
  <Company>Memorial University</Company>
  <LinksUpToDate>false</LinksUpToDate>
  <CharactersWithSpaces>224191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masamoahboah</dc:creator>
  <cp:keywords/>
  <dc:description/>
  <cp:lastModifiedBy>Mel Phimester</cp:lastModifiedBy>
  <cp:revision>2</cp:revision>
  <dcterms:created xsi:type="dcterms:W3CDTF">2021-10-04T22:16:00Z</dcterms:created>
  <dcterms:modified xsi:type="dcterms:W3CDTF">2021-10-04T22:16:00Z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http://www.zotero.org/styles/vancouver</vt:lpwstr>
  </property>
  <property fmtid="{D5CDD505-2E9C-101B-9397-08002B2CF9AE}" pid="23" name="Mendeley Document_1">
    <vt:lpwstr>True</vt:lpwstr>
  </property>
  <property fmtid="{D5CDD505-2E9C-101B-9397-08002B2CF9AE}" pid="24" name="Mendeley Unique User Id_1">
    <vt:lpwstr>f050de2d-67d1-39ae-9284-cd80d4618249</vt:lpwstr>
  </property>
  <property fmtid="{D5CDD505-2E9C-101B-9397-08002B2CF9AE}" pid="25" name="ContentTypeId">
    <vt:lpwstr>0x010100B689D60CD2ED204EAFDAF0E3751CDEB7</vt:lpwstr>
  </property>
</Properties>
</file>