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10500"/>
        </w:tabs>
        <w:ind w:right="401" w:rightChars="191"/>
        <w:jc w:val="left"/>
        <w:textAlignment w:val="center"/>
        <w:rPr>
          <w:rFonts w:ascii="Times New Roman Bold" w:hAnsi="Times New Roman Bold" w:eastAsia="Times New Roman Bold" w:cs="Times New Roman Bold"/>
          <w:b/>
          <w:color w:val="000000"/>
          <w:kern w:val="0"/>
          <w:sz w:val="28"/>
          <w:szCs w:val="28"/>
          <w:lang w:bidi="ar"/>
        </w:rPr>
      </w:pPr>
      <w:r>
        <w:rPr>
          <w:rFonts w:ascii="Times New Roman" w:hAnsi="Times New Roman" w:cs="Times New Roman"/>
          <w:b/>
          <w:bCs/>
          <w:sz w:val="28"/>
          <w:szCs w:val="28"/>
        </w:rPr>
        <w:t>Supplementary</w:t>
      </w:r>
      <w:r>
        <w:rPr>
          <w:rFonts w:ascii="Times New Roman Bold" w:hAnsi="Times New Roman Bold" w:eastAsia="Times New Roman Bold" w:cs="Times New Roman Bold"/>
          <w:b/>
          <w:color w:val="000000"/>
          <w:kern w:val="0"/>
          <w:sz w:val="28"/>
          <w:szCs w:val="28"/>
          <w:lang w:bidi="ar"/>
        </w:rPr>
        <w:t xml:space="preserve"> F</w:t>
      </w:r>
      <w:r>
        <w:rPr>
          <w:rFonts w:hint="eastAsia" w:ascii="Times New Roman Bold" w:hAnsi="Times New Roman Bold" w:eastAsia="Times New Roman Bold" w:cs="Times New Roman Bold"/>
          <w:b/>
          <w:color w:val="000000"/>
          <w:kern w:val="0"/>
          <w:sz w:val="28"/>
          <w:szCs w:val="28"/>
          <w:lang w:bidi="ar"/>
        </w:rPr>
        <w:t>ig</w:t>
      </w:r>
      <w:r>
        <w:rPr>
          <w:rFonts w:ascii="Times New Roman Bold" w:hAnsi="Times New Roman Bold" w:eastAsia="Times New Roman Bold" w:cs="Times New Roman Bold"/>
          <w:b/>
          <w:color w:val="000000"/>
          <w:kern w:val="0"/>
          <w:sz w:val="28"/>
          <w:szCs w:val="28"/>
          <w:lang w:bidi="ar"/>
        </w:rPr>
        <w:t xml:space="preserve">ures and Tables </w:t>
      </w:r>
    </w:p>
    <w:p>
      <w:pPr>
        <w:widowControl/>
        <w:tabs>
          <w:tab w:val="left" w:pos="10500"/>
        </w:tabs>
        <w:ind w:right="401" w:rightChars="191"/>
        <w:jc w:val="center"/>
        <w:textAlignment w:val="center"/>
        <w:rPr>
          <w:rFonts w:ascii="Times New Roman Bold" w:hAnsi="Times New Roman Bold" w:eastAsia="Times New Roman Bold" w:cs="Times New Roman Bold"/>
          <w:b/>
          <w:color w:val="000000"/>
          <w:kern w:val="0"/>
          <w:sz w:val="28"/>
          <w:szCs w:val="28"/>
          <w:lang w:bidi="ar"/>
        </w:rPr>
      </w:pPr>
      <w:r>
        <w:rPr>
          <w:rFonts w:ascii="Times New Roman Bold" w:hAnsi="Times New Roman Bold" w:eastAsia="Times New Roman Bold" w:cs="Times New Roman Bold"/>
          <w:b/>
          <w:color w:val="000000"/>
          <w:kern w:val="0"/>
          <w:sz w:val="28"/>
          <w:szCs w:val="28"/>
          <w:lang w:bidi="ar"/>
        </w:rPr>
        <w:drawing>
          <wp:inline distT="0" distB="0" distL="0" distR="0">
            <wp:extent cx="5274310" cy="395605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pPr>
        <w:spacing w:line="480" w:lineRule="auto"/>
        <w:rPr>
          <w:rFonts w:ascii="Times New Roman" w:hAnsi="Times New Roman"/>
          <w:b/>
          <w:bCs/>
          <w:sz w:val="24"/>
        </w:rPr>
      </w:pPr>
      <w:r>
        <w:rPr>
          <w:rFonts w:ascii="Times New Roman" w:hAnsi="Times New Roman" w:cs="Times New Roman"/>
          <w:b/>
          <w:bCs/>
          <w:sz w:val="28"/>
          <w:szCs w:val="28"/>
        </w:rPr>
        <w:t xml:space="preserve">Supplementary </w:t>
      </w:r>
      <w:r>
        <w:rPr>
          <w:rFonts w:ascii="Times New Roman Bold" w:hAnsi="Times New Roman Bold" w:eastAsia="Times New Roman Bold" w:cs="Times New Roman Bold"/>
          <w:b/>
          <w:color w:val="000000"/>
          <w:kern w:val="0"/>
          <w:sz w:val="28"/>
          <w:szCs w:val="28"/>
          <w:lang w:bidi="ar"/>
        </w:rPr>
        <w:t>F</w:t>
      </w:r>
      <w:r>
        <w:rPr>
          <w:rFonts w:hint="eastAsia" w:ascii="Times New Roman Bold" w:hAnsi="Times New Roman Bold" w:eastAsia="Times New Roman Bold" w:cs="Times New Roman Bold"/>
          <w:b/>
          <w:color w:val="000000"/>
          <w:kern w:val="0"/>
          <w:sz w:val="28"/>
          <w:szCs w:val="28"/>
          <w:lang w:bidi="ar"/>
        </w:rPr>
        <w:t>ig</w:t>
      </w:r>
      <w:r>
        <w:rPr>
          <w:rFonts w:ascii="Times New Roman Bold" w:hAnsi="Times New Roman Bold" w:eastAsia="Times New Roman Bold" w:cs="Times New Roman Bold"/>
          <w:b/>
          <w:color w:val="000000"/>
          <w:kern w:val="0"/>
          <w:sz w:val="28"/>
          <w:szCs w:val="28"/>
          <w:lang w:bidi="ar"/>
        </w:rPr>
        <w:t xml:space="preserve">ure S1. </w:t>
      </w:r>
      <w:r>
        <w:rPr>
          <w:rFonts w:ascii="Times New Roman" w:hAnsi="Times New Roman"/>
          <w:b/>
          <w:bCs/>
          <w:sz w:val="24"/>
        </w:rPr>
        <w:t xml:space="preserve">Distribution of 65 prognosis-related secretome genes with clinical outcomes in all cancer patients across 14 major solid tumors. </w:t>
      </w:r>
    </w:p>
    <w:p>
      <w:pPr>
        <w:spacing w:line="480" w:lineRule="auto"/>
        <w:rPr>
          <w:rFonts w:ascii="Calibri" w:hAnsi="Calibri" w:eastAsia="宋体" w:cs="Times New Roman"/>
          <w:szCs w:val="21"/>
        </w:rPr>
      </w:pPr>
      <w:r>
        <w:rPr>
          <w:rFonts w:ascii="Times New Roman" w:hAnsi="Times New Roman"/>
          <w:sz w:val="24"/>
        </w:rPr>
        <w:t xml:space="preserve">Numbers in </w:t>
      </w:r>
      <w:r>
        <w:rPr>
          <w:rFonts w:hint="eastAsia" w:ascii="Times New Roman" w:hAnsi="Times New Roman"/>
          <w:sz w:val="24"/>
        </w:rPr>
        <w:t>picture</w:t>
      </w:r>
      <w:r>
        <w:rPr>
          <w:rFonts w:ascii="Times New Roman" w:hAnsi="Times New Roman"/>
          <w:sz w:val="24"/>
        </w:rPr>
        <w:t xml:space="preserve"> represent cancer types in which secretome gene expression levels were significantly associated with clinical outcomes, including patient survival (DFS and OS), stage (pathologic Stage and pathologic_T) and other clinical phenotypes (patient age, tumor necrosis percent, tumor nuclei percent, tumors cell percent in slides and tumor weight). </w:t>
      </w:r>
    </w:p>
    <w:p>
      <w:pPr>
        <w:spacing w:line="480" w:lineRule="auto"/>
        <w:rPr>
          <w:rFonts w:ascii="Calibri" w:hAnsi="Calibri" w:eastAsia="宋体" w:cs="Times New Roman"/>
          <w:szCs w:val="21"/>
        </w:rPr>
      </w:pPr>
    </w:p>
    <w:p>
      <w:pPr>
        <w:widowControl/>
        <w:tabs>
          <w:tab w:val="left" w:pos="10500"/>
        </w:tabs>
        <w:ind w:right="401" w:rightChars="191"/>
        <w:jc w:val="left"/>
        <w:textAlignment w:val="center"/>
        <w:rPr>
          <w:rFonts w:ascii="Times New Roman Bold" w:hAnsi="Times New Roman Bold" w:eastAsia="Times New Roman Bold" w:cs="Times New Roman Bold"/>
          <w:b/>
          <w:color w:val="000000"/>
          <w:kern w:val="0"/>
          <w:sz w:val="28"/>
          <w:szCs w:val="28"/>
          <w:lang w:bidi="ar"/>
        </w:rPr>
      </w:pPr>
    </w:p>
    <w:p>
      <w:pPr>
        <w:widowControl/>
        <w:tabs>
          <w:tab w:val="left" w:pos="10500"/>
        </w:tabs>
        <w:ind w:right="401" w:rightChars="191"/>
        <w:jc w:val="left"/>
        <w:textAlignment w:val="center"/>
        <w:rPr>
          <w:rFonts w:ascii="Times New Roman Bold" w:hAnsi="Times New Roman Bold" w:eastAsia="Times New Roman Bold" w:cs="Times New Roman Bold"/>
          <w:b/>
          <w:color w:val="000000"/>
          <w:kern w:val="0"/>
          <w:sz w:val="28"/>
          <w:szCs w:val="28"/>
          <w:lang w:bidi="ar"/>
        </w:rPr>
      </w:pPr>
    </w:p>
    <w:p>
      <w:pPr>
        <w:widowControl/>
        <w:tabs>
          <w:tab w:val="left" w:pos="10500"/>
        </w:tabs>
        <w:ind w:right="401" w:rightChars="191"/>
        <w:jc w:val="left"/>
        <w:textAlignment w:val="center"/>
        <w:rPr>
          <w:rFonts w:ascii="Times New Roman Bold" w:hAnsi="Times New Roman Bold" w:eastAsia="Times New Roman Bold" w:cs="Times New Roman Bold"/>
          <w:b/>
          <w:color w:val="000000"/>
          <w:kern w:val="0"/>
          <w:sz w:val="28"/>
          <w:szCs w:val="28"/>
          <w:lang w:bidi="ar"/>
        </w:rPr>
      </w:pPr>
    </w:p>
    <w:p>
      <w:pPr>
        <w:widowControl/>
        <w:tabs>
          <w:tab w:val="left" w:pos="10500"/>
        </w:tabs>
        <w:ind w:right="401" w:rightChars="191"/>
        <w:jc w:val="left"/>
        <w:textAlignment w:val="center"/>
        <w:rPr>
          <w:rFonts w:ascii="Times New Roman Bold" w:hAnsi="Times New Roman Bold" w:eastAsia="Times New Roman Bold" w:cs="Times New Roman Bold"/>
          <w:b/>
          <w:color w:val="000000"/>
          <w:kern w:val="0"/>
          <w:sz w:val="28"/>
          <w:szCs w:val="28"/>
          <w:lang w:bidi="ar"/>
        </w:rPr>
      </w:pPr>
      <w:r>
        <w:rPr>
          <w:rFonts w:ascii="Times New Roman Bold" w:hAnsi="Times New Roman Bold" w:eastAsia="Times New Roman Bold" w:cs="Times New Roman Bold"/>
          <w:b/>
          <w:color w:val="000000"/>
          <w:kern w:val="0"/>
          <w:sz w:val="28"/>
          <w:szCs w:val="28"/>
          <w:lang w:bidi="ar"/>
        </w:rPr>
        <w:drawing>
          <wp:inline distT="0" distB="0" distL="0" distR="0">
            <wp:extent cx="5274310" cy="527431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pPr>
        <w:widowControl/>
        <w:tabs>
          <w:tab w:val="left" w:pos="10500"/>
        </w:tabs>
        <w:ind w:right="401" w:rightChars="191"/>
        <w:jc w:val="left"/>
        <w:textAlignment w:val="center"/>
        <w:rPr>
          <w:rFonts w:ascii="Times New Roman" w:hAnsi="Times New Roman" w:eastAsia="Times New Roman Bold" w:cs="Times New Roman"/>
          <w:bCs/>
          <w:color w:val="000000"/>
          <w:kern w:val="0"/>
          <w:sz w:val="28"/>
          <w:szCs w:val="28"/>
          <w:lang w:bidi="ar"/>
        </w:rPr>
      </w:pPr>
      <w:r>
        <w:rPr>
          <w:rFonts w:ascii="Times New Roman" w:hAnsi="Times New Roman" w:cs="Times New Roman"/>
          <w:b/>
          <w:bCs/>
          <w:sz w:val="28"/>
          <w:szCs w:val="28"/>
        </w:rPr>
        <w:t xml:space="preserve">Supplementary </w:t>
      </w:r>
      <w:r>
        <w:rPr>
          <w:rFonts w:ascii="Times New Roman Bold" w:hAnsi="Times New Roman Bold" w:eastAsia="Times New Roman Bold" w:cs="Times New Roman Bold"/>
          <w:b/>
          <w:color w:val="000000"/>
          <w:kern w:val="0"/>
          <w:sz w:val="28"/>
          <w:szCs w:val="28"/>
          <w:lang w:bidi="ar"/>
        </w:rPr>
        <w:t>F</w:t>
      </w:r>
      <w:r>
        <w:rPr>
          <w:rFonts w:hint="eastAsia" w:ascii="Times New Roman Bold" w:hAnsi="Times New Roman Bold" w:eastAsia="Times New Roman Bold" w:cs="Times New Roman Bold"/>
          <w:b/>
          <w:color w:val="000000"/>
          <w:kern w:val="0"/>
          <w:sz w:val="28"/>
          <w:szCs w:val="28"/>
          <w:lang w:bidi="ar"/>
        </w:rPr>
        <w:t>ig</w:t>
      </w:r>
      <w:r>
        <w:rPr>
          <w:rFonts w:ascii="Times New Roman Bold" w:hAnsi="Times New Roman Bold" w:eastAsia="Times New Roman Bold" w:cs="Times New Roman Bold"/>
          <w:b/>
          <w:color w:val="000000"/>
          <w:kern w:val="0"/>
          <w:sz w:val="28"/>
          <w:szCs w:val="28"/>
          <w:lang w:bidi="ar"/>
        </w:rPr>
        <w:t xml:space="preserve">ure S2. </w:t>
      </w:r>
      <w:r>
        <w:rPr>
          <w:rFonts w:hint="eastAsia" w:ascii="Times New Roman Bold" w:hAnsi="Times New Roman Bold" w:eastAsia="Times New Roman Bold" w:cs="Times New Roman Bold"/>
          <w:b/>
          <w:color w:val="000000"/>
          <w:kern w:val="0"/>
          <w:sz w:val="28"/>
          <w:szCs w:val="28"/>
          <w:lang w:bidi="ar"/>
        </w:rPr>
        <w:t>Correlations of 6 secretome genes with immun</w:t>
      </w:r>
      <w:r>
        <w:rPr>
          <w:rFonts w:hint="default" w:ascii="Times New Roman Bold" w:hAnsi="Times New Roman Bold" w:eastAsia="Times New Roman Bold" w:cs="Times New Roman Bold"/>
          <w:b/>
          <w:color w:val="000000"/>
          <w:kern w:val="0"/>
          <w:sz w:val="28"/>
          <w:szCs w:val="28"/>
          <w:lang w:bidi="ar"/>
        </w:rPr>
        <w:t>e</w:t>
      </w:r>
      <w:bookmarkStart w:id="0" w:name="_GoBack"/>
      <w:bookmarkEnd w:id="0"/>
      <w:r>
        <w:rPr>
          <w:rFonts w:hint="default" w:ascii="Times New Roman Bold" w:hAnsi="Times New Roman Bold" w:eastAsia="Times New Roman Bold" w:cs="Times New Roman Bold"/>
          <w:b/>
          <w:color w:val="000000"/>
          <w:kern w:val="0"/>
          <w:sz w:val="28"/>
          <w:szCs w:val="28"/>
          <w:lang w:bidi="ar"/>
        </w:rPr>
        <w:t xml:space="preserve"> </w:t>
      </w:r>
      <w:r>
        <w:rPr>
          <w:rFonts w:hint="eastAsia" w:ascii="Times New Roman Bold" w:hAnsi="Times New Roman Bold" w:eastAsia="Times New Roman Bold" w:cs="Times New Roman Bold"/>
          <w:b/>
          <w:color w:val="000000"/>
          <w:kern w:val="0"/>
          <w:sz w:val="28"/>
          <w:szCs w:val="28"/>
          <w:lang w:bidi="ar"/>
        </w:rPr>
        <w:t>modulator genes.</w:t>
      </w:r>
      <w:r>
        <w:rPr>
          <w:rFonts w:ascii="Times New Roman" w:hAnsi="Times New Roman" w:eastAsia="Times New Roman Bold" w:cs="Times New Roman"/>
          <w:bCs/>
          <w:color w:val="000000"/>
          <w:kern w:val="0"/>
          <w:sz w:val="28"/>
          <w:szCs w:val="28"/>
          <w:lang w:bidi="ar"/>
        </w:rPr>
        <w:t xml:space="preserve"> </w:t>
      </w:r>
    </w:p>
    <w:p>
      <w:pPr>
        <w:widowControl/>
        <w:tabs>
          <w:tab w:val="left" w:pos="10500"/>
        </w:tabs>
        <w:ind w:right="401" w:rightChars="191"/>
        <w:jc w:val="left"/>
        <w:textAlignment w:val="center"/>
        <w:rPr>
          <w:rFonts w:ascii="Times New Roman" w:hAnsi="Times New Roman" w:eastAsia="Times New Roman Bold" w:cs="Times New Roman"/>
          <w:bCs/>
          <w:color w:val="000000"/>
          <w:kern w:val="0"/>
          <w:sz w:val="28"/>
          <w:szCs w:val="28"/>
          <w:lang w:bidi="ar"/>
        </w:rPr>
      </w:pPr>
      <w:r>
        <w:rPr>
          <w:rFonts w:ascii="Times New Roman" w:hAnsi="Times New Roman" w:eastAsia="Times New Roman Bold" w:cs="Times New Roman"/>
          <w:bCs/>
          <w:color w:val="000000"/>
          <w:kern w:val="0"/>
          <w:sz w:val="28"/>
          <w:szCs w:val="28"/>
          <w:lang w:bidi="ar"/>
        </w:rPr>
        <w:t>Heatmap showing correlations among 6 secretome genes (bottom) and immune-inhibitor genes (A) and immune-stimulator genes (B).</w:t>
      </w:r>
    </w:p>
    <w:p>
      <w:pPr>
        <w:widowControl/>
        <w:tabs>
          <w:tab w:val="left" w:pos="10500"/>
        </w:tabs>
        <w:ind w:right="401" w:rightChars="191"/>
        <w:jc w:val="left"/>
        <w:textAlignment w:val="center"/>
        <w:rPr>
          <w:rFonts w:ascii="Times New Roman" w:hAnsi="Times New Roman" w:eastAsia="Times New Roman Bold" w:cs="Times New Roman"/>
          <w:bCs/>
          <w:color w:val="000000"/>
          <w:kern w:val="0"/>
          <w:sz w:val="28"/>
          <w:szCs w:val="28"/>
          <w:lang w:bidi="ar"/>
        </w:rPr>
      </w:pPr>
    </w:p>
    <w:p>
      <w:pPr>
        <w:widowControl/>
        <w:tabs>
          <w:tab w:val="left" w:pos="10500"/>
        </w:tabs>
        <w:ind w:right="401" w:rightChars="191"/>
        <w:jc w:val="left"/>
        <w:textAlignment w:val="center"/>
        <w:rPr>
          <w:rFonts w:ascii="Times New Roman" w:hAnsi="Times New Roman" w:eastAsia="Times New Roman Bold" w:cs="Times New Roman"/>
          <w:bCs/>
          <w:color w:val="000000"/>
          <w:kern w:val="0"/>
          <w:sz w:val="28"/>
          <w:szCs w:val="28"/>
          <w:lang w:bidi="ar"/>
        </w:rPr>
      </w:pPr>
    </w:p>
    <w:p>
      <w:pPr>
        <w:widowControl/>
        <w:tabs>
          <w:tab w:val="left" w:pos="10500"/>
        </w:tabs>
        <w:ind w:right="401" w:rightChars="191"/>
        <w:jc w:val="left"/>
        <w:textAlignment w:val="center"/>
        <w:rPr>
          <w:rFonts w:ascii="Times New Roman" w:hAnsi="Times New Roman" w:eastAsia="Times New Roman Bold" w:cs="Times New Roman"/>
          <w:bCs/>
          <w:color w:val="000000"/>
          <w:kern w:val="0"/>
          <w:sz w:val="28"/>
          <w:szCs w:val="28"/>
          <w:lang w:bidi="ar"/>
        </w:rPr>
      </w:pPr>
    </w:p>
    <w:p>
      <w:pPr>
        <w:widowControl/>
        <w:tabs>
          <w:tab w:val="left" w:pos="10500"/>
        </w:tabs>
        <w:ind w:right="401" w:rightChars="191"/>
        <w:jc w:val="center"/>
        <w:textAlignment w:val="center"/>
        <w:rPr>
          <w:rFonts w:ascii="Times New Roman" w:hAnsi="Times New Roman" w:eastAsia="Times New Roman Bold" w:cs="Times New Roman"/>
          <w:bCs/>
          <w:color w:val="000000"/>
          <w:kern w:val="0"/>
          <w:sz w:val="28"/>
          <w:szCs w:val="28"/>
          <w:lang w:bidi="ar"/>
        </w:rPr>
      </w:pPr>
      <w:r>
        <w:rPr>
          <w:rFonts w:ascii="Times New Roman" w:hAnsi="Times New Roman" w:eastAsia="Times New Roman Bold" w:cs="Times New Roman"/>
          <w:bCs/>
          <w:color w:val="000000"/>
          <w:kern w:val="0"/>
          <w:sz w:val="28"/>
          <w:szCs w:val="28"/>
          <w:lang w:bidi="ar"/>
        </w:rPr>
        <w:drawing>
          <wp:inline distT="0" distB="0" distL="0" distR="0">
            <wp:extent cx="5274310" cy="555244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tretch>
                      <a:fillRect/>
                    </a:stretch>
                  </pic:blipFill>
                  <pic:spPr>
                    <a:xfrm>
                      <a:off x="0" y="0"/>
                      <a:ext cx="5274310" cy="5552440"/>
                    </a:xfrm>
                    <a:prstGeom prst="rect">
                      <a:avLst/>
                    </a:prstGeom>
                  </pic:spPr>
                </pic:pic>
              </a:graphicData>
            </a:graphic>
          </wp:inline>
        </w:drawing>
      </w:r>
    </w:p>
    <w:p>
      <w:pPr>
        <w:widowControl/>
        <w:tabs>
          <w:tab w:val="left" w:pos="10500"/>
        </w:tabs>
        <w:ind w:right="401" w:rightChars="191"/>
        <w:jc w:val="left"/>
        <w:textAlignment w:val="center"/>
        <w:rPr>
          <w:rFonts w:ascii="Times New Roman" w:hAnsi="Times New Roman" w:eastAsia="Times New Roman Bold" w:cs="Times New Roman"/>
          <w:bCs/>
          <w:color w:val="000000"/>
          <w:kern w:val="0"/>
          <w:sz w:val="28"/>
          <w:szCs w:val="28"/>
          <w:lang w:bidi="ar"/>
        </w:rPr>
      </w:pPr>
      <w:r>
        <w:rPr>
          <w:rFonts w:ascii="Times New Roman" w:hAnsi="Times New Roman" w:cs="Times New Roman"/>
          <w:b/>
          <w:bCs/>
          <w:sz w:val="28"/>
          <w:szCs w:val="28"/>
        </w:rPr>
        <w:t xml:space="preserve">Supplementary </w:t>
      </w:r>
      <w:r>
        <w:rPr>
          <w:rFonts w:ascii="Times New Roman Bold" w:hAnsi="Times New Roman Bold" w:eastAsia="Times New Roman Bold" w:cs="Times New Roman Bold"/>
          <w:b/>
          <w:color w:val="000000"/>
          <w:kern w:val="0"/>
          <w:sz w:val="28"/>
          <w:szCs w:val="28"/>
          <w:lang w:bidi="ar"/>
        </w:rPr>
        <w:t>F</w:t>
      </w:r>
      <w:r>
        <w:rPr>
          <w:rFonts w:hint="eastAsia" w:ascii="Times New Roman Bold" w:hAnsi="Times New Roman Bold" w:eastAsia="Times New Roman Bold" w:cs="Times New Roman Bold"/>
          <w:b/>
          <w:color w:val="000000"/>
          <w:kern w:val="0"/>
          <w:sz w:val="28"/>
          <w:szCs w:val="28"/>
          <w:lang w:bidi="ar"/>
        </w:rPr>
        <w:t>ig</w:t>
      </w:r>
      <w:r>
        <w:rPr>
          <w:rFonts w:ascii="Times New Roman Bold" w:hAnsi="Times New Roman Bold" w:eastAsia="Times New Roman Bold" w:cs="Times New Roman Bold"/>
          <w:b/>
          <w:color w:val="000000"/>
          <w:kern w:val="0"/>
          <w:sz w:val="28"/>
          <w:szCs w:val="28"/>
          <w:lang w:bidi="ar"/>
        </w:rPr>
        <w:t xml:space="preserve">ure S3. </w:t>
      </w:r>
      <w:r>
        <w:rPr>
          <w:rFonts w:hint="eastAsia" w:ascii="Times New Roman Bold" w:hAnsi="Times New Roman Bold" w:eastAsia="Times New Roman Bold" w:cs="Times New Roman Bold"/>
          <w:b/>
          <w:color w:val="000000"/>
          <w:kern w:val="0"/>
          <w:sz w:val="28"/>
          <w:szCs w:val="28"/>
          <w:lang w:bidi="ar"/>
        </w:rPr>
        <w:t>Correlations of secretome genes with TI</w:t>
      </w:r>
      <w:r>
        <w:rPr>
          <w:rFonts w:ascii="Times New Roman Bold" w:hAnsi="Times New Roman Bold" w:eastAsia="Times New Roman Bold" w:cs="Times New Roman Bold"/>
          <w:b/>
          <w:color w:val="000000"/>
          <w:kern w:val="0"/>
          <w:sz w:val="28"/>
          <w:szCs w:val="28"/>
          <w:lang w:bidi="ar"/>
        </w:rPr>
        <w:t>IC</w:t>
      </w:r>
      <w:r>
        <w:rPr>
          <w:rFonts w:hint="eastAsia" w:ascii="Times New Roman Bold" w:hAnsi="Times New Roman Bold" w:eastAsia="Times New Roman Bold" w:cs="Times New Roman Bold"/>
          <w:b/>
          <w:color w:val="000000"/>
          <w:kern w:val="0"/>
          <w:sz w:val="28"/>
          <w:szCs w:val="28"/>
          <w:lang w:bidi="ar"/>
        </w:rPr>
        <w:t>s.</w:t>
      </w:r>
      <w:r>
        <w:rPr>
          <w:rFonts w:ascii="Times New Roman" w:hAnsi="Times New Roman" w:eastAsia="Times New Roman Bold" w:cs="Times New Roman"/>
          <w:bCs/>
          <w:color w:val="000000"/>
          <w:kern w:val="0"/>
          <w:sz w:val="28"/>
          <w:szCs w:val="28"/>
          <w:lang w:bidi="ar"/>
        </w:rPr>
        <w:t xml:space="preserve"> </w:t>
      </w:r>
    </w:p>
    <w:p>
      <w:pPr>
        <w:pStyle w:val="7"/>
        <w:spacing w:after="240" w:line="480" w:lineRule="auto"/>
        <w:ind w:firstLine="0" w:firstLineChars="0"/>
        <w:rPr>
          <w:rFonts w:ascii="Times New Roman" w:hAnsi="Times New Roman"/>
          <w:sz w:val="28"/>
          <w:szCs w:val="28"/>
        </w:rPr>
      </w:pPr>
      <w:r>
        <w:rPr>
          <w:rFonts w:ascii="Times New Roman" w:hAnsi="Times New Roman"/>
          <w:sz w:val="28"/>
          <w:szCs w:val="28"/>
        </w:rPr>
        <w:t>The correlation between fractions of immune infiltration cells and expression levels of 21 core secretome gene (A) and 6 special secretome genes (B). Red and blue numbers indicate positive and negative correlations, respectively. Numbers show cancer types with significant gene pairs.</w:t>
      </w:r>
    </w:p>
    <w:p>
      <w:pPr>
        <w:widowControl/>
        <w:tabs>
          <w:tab w:val="left" w:pos="10500"/>
        </w:tabs>
        <w:ind w:right="401" w:rightChars="191"/>
        <w:jc w:val="left"/>
        <w:textAlignment w:val="center"/>
        <w:rPr>
          <w:rFonts w:ascii="Times New Roman" w:hAnsi="Times New Roman" w:eastAsia="Times New Roman Bold" w:cs="Times New Roman"/>
          <w:bCs/>
          <w:color w:val="000000"/>
          <w:kern w:val="0"/>
          <w:sz w:val="28"/>
          <w:szCs w:val="28"/>
          <w:lang w:bidi="ar"/>
        </w:rPr>
        <w:sectPr>
          <w:pgSz w:w="11906" w:h="16838"/>
          <w:pgMar w:top="1440" w:right="1800" w:bottom="1440" w:left="1800" w:header="851" w:footer="992" w:gutter="0"/>
          <w:cols w:space="425" w:num="1"/>
          <w:docGrid w:type="lines" w:linePitch="312" w:charSpace="0"/>
        </w:sectPr>
      </w:pPr>
    </w:p>
    <w:tbl>
      <w:tblPr>
        <w:tblStyle w:val="3"/>
        <w:tblW w:w="12857" w:type="dxa"/>
        <w:tblInd w:w="0" w:type="dxa"/>
        <w:tblLayout w:type="autofit"/>
        <w:tblCellMar>
          <w:top w:w="15" w:type="dxa"/>
          <w:left w:w="15" w:type="dxa"/>
          <w:bottom w:w="15" w:type="dxa"/>
          <w:right w:w="15" w:type="dxa"/>
        </w:tblCellMar>
      </w:tblPr>
      <w:tblGrid>
        <w:gridCol w:w="1798"/>
        <w:gridCol w:w="5196"/>
        <w:gridCol w:w="1155"/>
        <w:gridCol w:w="1139"/>
        <w:gridCol w:w="1380"/>
        <w:gridCol w:w="2189"/>
      </w:tblGrid>
      <w:tr>
        <w:trPr>
          <w:trHeight w:val="1321" w:hRule="atLeast"/>
        </w:trPr>
        <w:tc>
          <w:tcPr>
            <w:tcW w:w="12857" w:type="dxa"/>
            <w:gridSpan w:val="6"/>
            <w:shd w:val="clear" w:color="auto" w:fill="auto"/>
            <w:vAlign w:val="center"/>
          </w:tcPr>
          <w:p>
            <w:pPr>
              <w:widowControl/>
              <w:tabs>
                <w:tab w:val="left" w:pos="10500"/>
              </w:tabs>
              <w:ind w:right="401" w:rightChars="191"/>
              <w:jc w:val="left"/>
              <w:textAlignment w:val="center"/>
              <w:rPr>
                <w:rFonts w:ascii="Times New Roman Bold" w:hAnsi="Times New Roman Bold" w:eastAsia="Times New Roman Bold" w:cs="Times New Roman Bold"/>
                <w:b/>
                <w:color w:val="000000"/>
                <w:sz w:val="28"/>
                <w:szCs w:val="28"/>
              </w:rPr>
            </w:pPr>
            <w:r>
              <w:rPr>
                <w:rFonts w:ascii="Times New Roman" w:hAnsi="Times New Roman" w:cs="Times New Roman"/>
                <w:b/>
                <w:bCs/>
                <w:sz w:val="28"/>
                <w:szCs w:val="28"/>
              </w:rPr>
              <w:t xml:space="preserve">Supplementary </w:t>
            </w:r>
            <w:r>
              <w:rPr>
                <w:rFonts w:ascii="Times New Roman Bold" w:hAnsi="Times New Roman Bold" w:eastAsia="Times New Roman Bold" w:cs="Times New Roman Bold"/>
                <w:b/>
                <w:color w:val="000000"/>
                <w:kern w:val="0"/>
                <w:sz w:val="28"/>
                <w:szCs w:val="28"/>
                <w:lang w:bidi="ar"/>
              </w:rPr>
              <w:t>Table S1 Sample information and median TMB of 14 cancer types from TCGA database</w:t>
            </w:r>
          </w:p>
        </w:tc>
      </w:tr>
      <w:tr>
        <w:trPr>
          <w:trHeight w:val="90" w:hRule="atLeast"/>
        </w:trPr>
        <w:tc>
          <w:tcPr>
            <w:tcW w:w="1798" w:type="dxa"/>
            <w:tcBorders>
              <w:top w:val="single" w:color="auto" w:sz="4" w:space="0"/>
              <w:bottom w:val="single" w:color="auto" w:sz="4" w:space="0"/>
            </w:tcBorders>
            <w:shd w:val="clear" w:color="auto" w:fill="auto"/>
            <w:vAlign w:val="center"/>
          </w:tcPr>
          <w:p>
            <w:pPr>
              <w:widowControl/>
              <w:snapToGrid w:val="0"/>
              <w:jc w:val="left"/>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 xml:space="preserve">Name </w:t>
            </w:r>
          </w:p>
        </w:tc>
        <w:tc>
          <w:tcPr>
            <w:tcW w:w="5196" w:type="dxa"/>
            <w:tcBorders>
              <w:top w:val="single" w:color="auto" w:sz="4" w:space="0"/>
              <w:bottom w:val="single" w:color="auto" w:sz="4" w:space="0"/>
            </w:tcBorders>
            <w:shd w:val="clear" w:color="auto" w:fill="auto"/>
            <w:vAlign w:val="center"/>
          </w:tcPr>
          <w:p>
            <w:pPr>
              <w:widowControl/>
              <w:snapToGrid w:val="0"/>
              <w:jc w:val="left"/>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Full Name</w:t>
            </w:r>
          </w:p>
        </w:tc>
        <w:tc>
          <w:tcPr>
            <w:tcW w:w="1155" w:type="dxa"/>
            <w:tcBorders>
              <w:top w:val="single" w:color="auto" w:sz="4" w:space="0"/>
              <w:bottom w:val="single" w:color="auto" w:sz="4" w:space="0"/>
            </w:tcBorders>
            <w:shd w:val="clear" w:color="auto" w:fill="auto"/>
            <w:vAlign w:val="center"/>
          </w:tcPr>
          <w:p>
            <w:pPr>
              <w:widowControl/>
              <w:snapToGrid w:val="0"/>
              <w:jc w:val="left"/>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Tumor</w:t>
            </w:r>
          </w:p>
        </w:tc>
        <w:tc>
          <w:tcPr>
            <w:tcW w:w="1139" w:type="dxa"/>
            <w:tcBorders>
              <w:top w:val="single" w:color="auto" w:sz="4" w:space="0"/>
              <w:bottom w:val="single" w:color="auto" w:sz="4" w:space="0"/>
            </w:tcBorders>
            <w:shd w:val="clear" w:color="auto" w:fill="auto"/>
            <w:vAlign w:val="center"/>
          </w:tcPr>
          <w:p>
            <w:pPr>
              <w:widowControl/>
              <w:snapToGrid w:val="0"/>
              <w:jc w:val="center"/>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Normal</w:t>
            </w:r>
          </w:p>
        </w:tc>
        <w:tc>
          <w:tcPr>
            <w:tcW w:w="1380" w:type="dxa"/>
            <w:tcBorders>
              <w:top w:val="single" w:color="auto" w:sz="4" w:space="0"/>
              <w:bottom w:val="single" w:color="auto" w:sz="4" w:space="0"/>
            </w:tcBorders>
            <w:shd w:val="clear" w:color="auto" w:fill="auto"/>
            <w:vAlign w:val="center"/>
          </w:tcPr>
          <w:p>
            <w:pPr>
              <w:widowControl/>
              <w:snapToGrid w:val="0"/>
              <w:jc w:val="center"/>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Total</w:t>
            </w:r>
          </w:p>
        </w:tc>
        <w:tc>
          <w:tcPr>
            <w:tcW w:w="2189" w:type="dxa"/>
            <w:tcBorders>
              <w:top w:val="single" w:color="auto" w:sz="4" w:space="0"/>
              <w:bottom w:val="single" w:color="auto" w:sz="4" w:space="0"/>
            </w:tcBorders>
            <w:shd w:val="clear" w:color="auto" w:fill="auto"/>
            <w:vAlign w:val="center"/>
          </w:tcPr>
          <w:p>
            <w:pPr>
              <w:widowControl/>
              <w:snapToGrid w:val="0"/>
              <w:jc w:val="center"/>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median TMB</w:t>
            </w:r>
          </w:p>
        </w:tc>
      </w:tr>
      <w:tr>
        <w:trPr>
          <w:trHeight w:val="285" w:hRule="atLeast"/>
        </w:trPr>
        <w:tc>
          <w:tcPr>
            <w:tcW w:w="1798" w:type="dxa"/>
            <w:tcBorders>
              <w:top w:val="single" w:color="auto" w:sz="4" w:space="0"/>
            </w:tcBorders>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BLCA</w:t>
            </w:r>
          </w:p>
        </w:tc>
        <w:tc>
          <w:tcPr>
            <w:tcW w:w="5196" w:type="dxa"/>
            <w:tcBorders>
              <w:top w:val="single" w:color="auto" w:sz="4" w:space="0"/>
            </w:tcBorders>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Bladder Urothelial Carcinoma</w:t>
            </w:r>
          </w:p>
        </w:tc>
        <w:tc>
          <w:tcPr>
            <w:tcW w:w="1155" w:type="dxa"/>
            <w:tcBorders>
              <w:top w:val="single" w:color="auto" w:sz="4" w:space="0"/>
            </w:tcBorders>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408</w:t>
            </w:r>
          </w:p>
        </w:tc>
        <w:tc>
          <w:tcPr>
            <w:tcW w:w="1139" w:type="dxa"/>
            <w:tcBorders>
              <w:top w:val="single" w:color="auto" w:sz="4" w:space="0"/>
            </w:tcBorders>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19</w:t>
            </w:r>
          </w:p>
        </w:tc>
        <w:tc>
          <w:tcPr>
            <w:tcW w:w="1380" w:type="dxa"/>
            <w:tcBorders>
              <w:top w:val="single" w:color="auto" w:sz="4" w:space="0"/>
            </w:tcBorders>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427</w:t>
            </w:r>
          </w:p>
        </w:tc>
        <w:tc>
          <w:tcPr>
            <w:tcW w:w="2189" w:type="dxa"/>
            <w:tcBorders>
              <w:top w:val="single" w:color="auto" w:sz="4" w:space="0"/>
            </w:tcBorders>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2.96</w:t>
            </w:r>
          </w:p>
        </w:tc>
      </w:tr>
      <w:tr>
        <w:trPr>
          <w:trHeight w:val="285" w:hRule="atLeast"/>
        </w:trPr>
        <w:tc>
          <w:tcPr>
            <w:tcW w:w="1798"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BRCA</w:t>
            </w:r>
          </w:p>
        </w:tc>
        <w:tc>
          <w:tcPr>
            <w:tcW w:w="5196"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Breast invasive carcinoma</w:t>
            </w:r>
          </w:p>
        </w:tc>
        <w:tc>
          <w:tcPr>
            <w:tcW w:w="1155"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1100</w:t>
            </w:r>
          </w:p>
        </w:tc>
        <w:tc>
          <w:tcPr>
            <w:tcW w:w="113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112</w:t>
            </w:r>
          </w:p>
        </w:tc>
        <w:tc>
          <w:tcPr>
            <w:tcW w:w="138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1212</w:t>
            </w:r>
          </w:p>
        </w:tc>
        <w:tc>
          <w:tcPr>
            <w:tcW w:w="2189" w:type="dxa"/>
            <w:shd w:val="clear" w:color="auto" w:fill="auto"/>
            <w:vAlign w:val="center"/>
          </w:tcPr>
          <w:p>
            <w:pPr>
              <w:widowControl/>
              <w:tabs>
                <w:tab w:val="left" w:pos="210"/>
                <w:tab w:val="left" w:pos="420"/>
                <w:tab w:val="left" w:pos="2520"/>
              </w:tabs>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0.78</w:t>
            </w:r>
          </w:p>
        </w:tc>
      </w:tr>
      <w:tr>
        <w:trPr>
          <w:trHeight w:val="285" w:hRule="atLeast"/>
        </w:trPr>
        <w:tc>
          <w:tcPr>
            <w:tcW w:w="1798"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COAD</w:t>
            </w:r>
          </w:p>
        </w:tc>
        <w:tc>
          <w:tcPr>
            <w:tcW w:w="5196"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Colon adenocarcinoma</w:t>
            </w:r>
          </w:p>
        </w:tc>
        <w:tc>
          <w:tcPr>
            <w:tcW w:w="1155"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255</w:t>
            </w:r>
          </w:p>
        </w:tc>
        <w:tc>
          <w:tcPr>
            <w:tcW w:w="113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19</w:t>
            </w:r>
          </w:p>
        </w:tc>
        <w:tc>
          <w:tcPr>
            <w:tcW w:w="138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274</w:t>
            </w:r>
          </w:p>
        </w:tc>
        <w:tc>
          <w:tcPr>
            <w:tcW w:w="218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2.22</w:t>
            </w:r>
          </w:p>
        </w:tc>
      </w:tr>
      <w:tr>
        <w:trPr>
          <w:trHeight w:val="285" w:hRule="atLeast"/>
        </w:trPr>
        <w:tc>
          <w:tcPr>
            <w:tcW w:w="1798"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HNSC</w:t>
            </w:r>
          </w:p>
        </w:tc>
        <w:tc>
          <w:tcPr>
            <w:tcW w:w="5196"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Head and Neck squamous cell carcinoma</w:t>
            </w:r>
          </w:p>
        </w:tc>
        <w:tc>
          <w:tcPr>
            <w:tcW w:w="1155"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522</w:t>
            </w:r>
          </w:p>
        </w:tc>
        <w:tc>
          <w:tcPr>
            <w:tcW w:w="113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44</w:t>
            </w:r>
          </w:p>
        </w:tc>
        <w:tc>
          <w:tcPr>
            <w:tcW w:w="138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566</w:t>
            </w:r>
          </w:p>
        </w:tc>
        <w:tc>
          <w:tcPr>
            <w:tcW w:w="218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1.84</w:t>
            </w:r>
          </w:p>
        </w:tc>
      </w:tr>
      <w:tr>
        <w:trPr>
          <w:trHeight w:val="285" w:hRule="atLeast"/>
        </w:trPr>
        <w:tc>
          <w:tcPr>
            <w:tcW w:w="1798"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KICH</w:t>
            </w:r>
          </w:p>
        </w:tc>
        <w:tc>
          <w:tcPr>
            <w:tcW w:w="5196"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Kidney Chromophobe</w:t>
            </w:r>
          </w:p>
        </w:tc>
        <w:tc>
          <w:tcPr>
            <w:tcW w:w="1155"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66</w:t>
            </w:r>
          </w:p>
        </w:tc>
        <w:tc>
          <w:tcPr>
            <w:tcW w:w="113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25</w:t>
            </w:r>
          </w:p>
        </w:tc>
        <w:tc>
          <w:tcPr>
            <w:tcW w:w="138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91</w:t>
            </w:r>
          </w:p>
        </w:tc>
        <w:tc>
          <w:tcPr>
            <w:tcW w:w="218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0.31</w:t>
            </w:r>
          </w:p>
        </w:tc>
      </w:tr>
      <w:tr>
        <w:trPr>
          <w:trHeight w:val="285" w:hRule="atLeast"/>
        </w:trPr>
        <w:tc>
          <w:tcPr>
            <w:tcW w:w="1798"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KIRC</w:t>
            </w:r>
          </w:p>
        </w:tc>
        <w:tc>
          <w:tcPr>
            <w:tcW w:w="5196"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Kidney renal clear cell carcinoma</w:t>
            </w:r>
          </w:p>
        </w:tc>
        <w:tc>
          <w:tcPr>
            <w:tcW w:w="1155"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534</w:t>
            </w:r>
          </w:p>
        </w:tc>
        <w:tc>
          <w:tcPr>
            <w:tcW w:w="113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72</w:t>
            </w:r>
          </w:p>
        </w:tc>
        <w:tc>
          <w:tcPr>
            <w:tcW w:w="138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606</w:t>
            </w:r>
          </w:p>
        </w:tc>
        <w:tc>
          <w:tcPr>
            <w:tcW w:w="218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0.94</w:t>
            </w:r>
          </w:p>
        </w:tc>
      </w:tr>
      <w:tr>
        <w:trPr>
          <w:trHeight w:val="285" w:hRule="atLeast"/>
        </w:trPr>
        <w:tc>
          <w:tcPr>
            <w:tcW w:w="1798"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KIRP</w:t>
            </w:r>
          </w:p>
        </w:tc>
        <w:tc>
          <w:tcPr>
            <w:tcW w:w="5196"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Kidney renal papillary cell carcinoma</w:t>
            </w:r>
          </w:p>
        </w:tc>
        <w:tc>
          <w:tcPr>
            <w:tcW w:w="1155"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291</w:t>
            </w:r>
          </w:p>
        </w:tc>
        <w:tc>
          <w:tcPr>
            <w:tcW w:w="113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32</w:t>
            </w:r>
          </w:p>
        </w:tc>
        <w:tc>
          <w:tcPr>
            <w:tcW w:w="138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323</w:t>
            </w:r>
          </w:p>
        </w:tc>
        <w:tc>
          <w:tcPr>
            <w:tcW w:w="218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1.06</w:t>
            </w:r>
          </w:p>
        </w:tc>
      </w:tr>
      <w:tr>
        <w:trPr>
          <w:trHeight w:val="285" w:hRule="atLeast"/>
        </w:trPr>
        <w:tc>
          <w:tcPr>
            <w:tcW w:w="1798"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LIHC</w:t>
            </w:r>
          </w:p>
        </w:tc>
        <w:tc>
          <w:tcPr>
            <w:tcW w:w="5196"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Liver hepatocellular carcinoma</w:t>
            </w:r>
          </w:p>
        </w:tc>
        <w:tc>
          <w:tcPr>
            <w:tcW w:w="1155"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372</w:t>
            </w:r>
          </w:p>
        </w:tc>
        <w:tc>
          <w:tcPr>
            <w:tcW w:w="113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51</w:t>
            </w:r>
          </w:p>
        </w:tc>
        <w:tc>
          <w:tcPr>
            <w:tcW w:w="138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423</w:t>
            </w:r>
          </w:p>
        </w:tc>
        <w:tc>
          <w:tcPr>
            <w:tcW w:w="218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1.5</w:t>
            </w:r>
          </w:p>
        </w:tc>
      </w:tr>
      <w:tr>
        <w:trPr>
          <w:trHeight w:val="285" w:hRule="atLeast"/>
        </w:trPr>
        <w:tc>
          <w:tcPr>
            <w:tcW w:w="1798"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LUAD</w:t>
            </w:r>
          </w:p>
        </w:tc>
        <w:tc>
          <w:tcPr>
            <w:tcW w:w="5196"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Lung adenocarcinoma</w:t>
            </w:r>
          </w:p>
        </w:tc>
        <w:tc>
          <w:tcPr>
            <w:tcW w:w="1155"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517</w:t>
            </w:r>
          </w:p>
        </w:tc>
        <w:tc>
          <w:tcPr>
            <w:tcW w:w="113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59</w:t>
            </w:r>
          </w:p>
        </w:tc>
        <w:tc>
          <w:tcPr>
            <w:tcW w:w="138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576</w:t>
            </w:r>
          </w:p>
        </w:tc>
        <w:tc>
          <w:tcPr>
            <w:tcW w:w="218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3.34</w:t>
            </w:r>
          </w:p>
        </w:tc>
      </w:tr>
      <w:tr>
        <w:trPr>
          <w:trHeight w:val="285" w:hRule="atLeast"/>
        </w:trPr>
        <w:tc>
          <w:tcPr>
            <w:tcW w:w="1798"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LUSC</w:t>
            </w:r>
          </w:p>
        </w:tc>
        <w:tc>
          <w:tcPr>
            <w:tcW w:w="5196"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Lung squamous cell carcinoma</w:t>
            </w:r>
          </w:p>
        </w:tc>
        <w:tc>
          <w:tcPr>
            <w:tcW w:w="1155"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501</w:t>
            </w:r>
          </w:p>
        </w:tc>
        <w:tc>
          <w:tcPr>
            <w:tcW w:w="113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51</w:t>
            </w:r>
          </w:p>
        </w:tc>
        <w:tc>
          <w:tcPr>
            <w:tcW w:w="138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552</w:t>
            </w:r>
          </w:p>
        </w:tc>
        <w:tc>
          <w:tcPr>
            <w:tcW w:w="218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4.04</w:t>
            </w:r>
          </w:p>
        </w:tc>
      </w:tr>
      <w:tr>
        <w:trPr>
          <w:trHeight w:val="198" w:hRule="atLeast"/>
        </w:trPr>
        <w:tc>
          <w:tcPr>
            <w:tcW w:w="1798"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PRAD</w:t>
            </w:r>
          </w:p>
        </w:tc>
        <w:tc>
          <w:tcPr>
            <w:tcW w:w="5196"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Prostate adenocarcinoma</w:t>
            </w:r>
          </w:p>
        </w:tc>
        <w:tc>
          <w:tcPr>
            <w:tcW w:w="1155"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499</w:t>
            </w:r>
          </w:p>
        </w:tc>
        <w:tc>
          <w:tcPr>
            <w:tcW w:w="113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51</w:t>
            </w:r>
          </w:p>
        </w:tc>
        <w:tc>
          <w:tcPr>
            <w:tcW w:w="138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550</w:t>
            </w:r>
          </w:p>
        </w:tc>
        <w:tc>
          <w:tcPr>
            <w:tcW w:w="218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0.47</w:t>
            </w:r>
          </w:p>
        </w:tc>
      </w:tr>
      <w:tr>
        <w:trPr>
          <w:trHeight w:val="285" w:hRule="atLeast"/>
        </w:trPr>
        <w:tc>
          <w:tcPr>
            <w:tcW w:w="1798"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THCA</w:t>
            </w:r>
          </w:p>
        </w:tc>
        <w:tc>
          <w:tcPr>
            <w:tcW w:w="5196"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Thyroid carcinoma</w:t>
            </w:r>
          </w:p>
        </w:tc>
        <w:tc>
          <w:tcPr>
            <w:tcW w:w="1155"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511</w:t>
            </w:r>
          </w:p>
        </w:tc>
        <w:tc>
          <w:tcPr>
            <w:tcW w:w="113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57</w:t>
            </w:r>
          </w:p>
        </w:tc>
        <w:tc>
          <w:tcPr>
            <w:tcW w:w="138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568</w:t>
            </w:r>
          </w:p>
        </w:tc>
        <w:tc>
          <w:tcPr>
            <w:tcW w:w="218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0.18</w:t>
            </w:r>
          </w:p>
        </w:tc>
      </w:tr>
      <w:tr>
        <w:trPr>
          <w:trHeight w:val="285" w:hRule="atLeast"/>
        </w:trPr>
        <w:tc>
          <w:tcPr>
            <w:tcW w:w="1798"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UCEC</w:t>
            </w:r>
          </w:p>
        </w:tc>
        <w:tc>
          <w:tcPr>
            <w:tcW w:w="5196" w:type="dxa"/>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Uterine Corpus Endometrial Carcinoma</w:t>
            </w:r>
          </w:p>
        </w:tc>
        <w:tc>
          <w:tcPr>
            <w:tcW w:w="1155"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370</w:t>
            </w:r>
          </w:p>
        </w:tc>
        <w:tc>
          <w:tcPr>
            <w:tcW w:w="113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11</w:t>
            </w:r>
          </w:p>
        </w:tc>
        <w:tc>
          <w:tcPr>
            <w:tcW w:w="138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381</w:t>
            </w:r>
          </w:p>
        </w:tc>
        <w:tc>
          <w:tcPr>
            <w:tcW w:w="2189"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1.71</w:t>
            </w:r>
          </w:p>
        </w:tc>
      </w:tr>
      <w:tr>
        <w:trPr>
          <w:trHeight w:val="90" w:hRule="atLeast"/>
        </w:trPr>
        <w:tc>
          <w:tcPr>
            <w:tcW w:w="1798" w:type="dxa"/>
            <w:tcBorders>
              <w:bottom w:val="single" w:color="auto" w:sz="4" w:space="0"/>
            </w:tcBorders>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STAD</w:t>
            </w:r>
          </w:p>
        </w:tc>
        <w:tc>
          <w:tcPr>
            <w:tcW w:w="5196" w:type="dxa"/>
            <w:tcBorders>
              <w:bottom w:val="single" w:color="auto" w:sz="4" w:space="0"/>
            </w:tcBorders>
            <w:shd w:val="clear" w:color="auto" w:fill="auto"/>
            <w:vAlign w:val="center"/>
          </w:tcPr>
          <w:p>
            <w:pPr>
              <w:widowControl/>
              <w:snapToGrid w:val="0"/>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Stomach and Esophageal carcinoma</w:t>
            </w:r>
          </w:p>
        </w:tc>
        <w:tc>
          <w:tcPr>
            <w:tcW w:w="1155" w:type="dxa"/>
            <w:tcBorders>
              <w:bottom w:val="single" w:color="auto" w:sz="4" w:space="0"/>
            </w:tcBorders>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415</w:t>
            </w:r>
          </w:p>
        </w:tc>
        <w:tc>
          <w:tcPr>
            <w:tcW w:w="1139" w:type="dxa"/>
            <w:tcBorders>
              <w:bottom w:val="single" w:color="auto" w:sz="4" w:space="0"/>
            </w:tcBorders>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46</w:t>
            </w:r>
          </w:p>
        </w:tc>
        <w:tc>
          <w:tcPr>
            <w:tcW w:w="1380" w:type="dxa"/>
            <w:tcBorders>
              <w:bottom w:val="single" w:color="auto" w:sz="4" w:space="0"/>
            </w:tcBorders>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461</w:t>
            </w:r>
          </w:p>
        </w:tc>
        <w:tc>
          <w:tcPr>
            <w:tcW w:w="2189" w:type="dxa"/>
            <w:tcBorders>
              <w:bottom w:val="single" w:color="auto" w:sz="4" w:space="0"/>
            </w:tcBorders>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2.16</w:t>
            </w:r>
          </w:p>
        </w:tc>
      </w:tr>
      <w:tr>
        <w:trPr>
          <w:trHeight w:val="340" w:hRule="atLeast"/>
        </w:trPr>
        <w:tc>
          <w:tcPr>
            <w:tcW w:w="1798" w:type="dxa"/>
            <w:tcBorders>
              <w:top w:val="single" w:color="auto" w:sz="4" w:space="0"/>
            </w:tcBorders>
            <w:shd w:val="clear" w:color="auto" w:fill="auto"/>
            <w:vAlign w:val="center"/>
          </w:tcPr>
          <w:p>
            <w:pPr>
              <w:rPr>
                <w:rFonts w:ascii="宋体" w:hAnsi="宋体" w:eastAsia="宋体" w:cs="宋体"/>
                <w:color w:val="000000"/>
                <w:sz w:val="24"/>
              </w:rPr>
            </w:pPr>
          </w:p>
        </w:tc>
        <w:tc>
          <w:tcPr>
            <w:tcW w:w="5196" w:type="dxa"/>
            <w:tcBorders>
              <w:top w:val="single" w:color="auto" w:sz="4" w:space="0"/>
            </w:tcBorders>
            <w:shd w:val="clear" w:color="auto" w:fill="auto"/>
            <w:vAlign w:val="center"/>
          </w:tcPr>
          <w:p>
            <w:pPr>
              <w:rPr>
                <w:rFonts w:ascii="宋体" w:hAnsi="宋体" w:eastAsia="宋体" w:cs="宋体"/>
                <w:color w:val="000000"/>
                <w:sz w:val="24"/>
              </w:rPr>
            </w:pPr>
          </w:p>
        </w:tc>
        <w:tc>
          <w:tcPr>
            <w:tcW w:w="1155" w:type="dxa"/>
            <w:tcBorders>
              <w:top w:val="single" w:color="auto" w:sz="4" w:space="0"/>
            </w:tcBorders>
            <w:shd w:val="clear" w:color="auto" w:fill="auto"/>
            <w:vAlign w:val="center"/>
          </w:tcPr>
          <w:p>
            <w:pPr>
              <w:rPr>
                <w:rFonts w:ascii="宋体" w:hAnsi="宋体" w:eastAsia="宋体" w:cs="宋体"/>
                <w:color w:val="000000"/>
                <w:sz w:val="24"/>
              </w:rPr>
            </w:pPr>
          </w:p>
        </w:tc>
        <w:tc>
          <w:tcPr>
            <w:tcW w:w="1139" w:type="dxa"/>
            <w:tcBorders>
              <w:top w:val="single" w:color="auto" w:sz="4" w:space="0"/>
            </w:tcBorders>
            <w:shd w:val="clear" w:color="auto" w:fill="auto"/>
            <w:vAlign w:val="center"/>
          </w:tcPr>
          <w:p>
            <w:pPr>
              <w:rPr>
                <w:rFonts w:ascii="宋体" w:hAnsi="宋体" w:eastAsia="宋体" w:cs="宋体"/>
                <w:color w:val="000000"/>
                <w:sz w:val="24"/>
              </w:rPr>
            </w:pPr>
          </w:p>
        </w:tc>
        <w:tc>
          <w:tcPr>
            <w:tcW w:w="1380" w:type="dxa"/>
            <w:tcBorders>
              <w:top w:val="single" w:color="auto" w:sz="4" w:space="0"/>
            </w:tcBorders>
            <w:shd w:val="clear" w:color="auto" w:fill="auto"/>
            <w:vAlign w:val="center"/>
          </w:tcPr>
          <w:p>
            <w:pPr>
              <w:rPr>
                <w:rFonts w:ascii="宋体" w:hAnsi="宋体" w:eastAsia="宋体" w:cs="宋体"/>
                <w:color w:val="000000"/>
                <w:sz w:val="24"/>
              </w:rPr>
            </w:pPr>
          </w:p>
        </w:tc>
        <w:tc>
          <w:tcPr>
            <w:tcW w:w="2189" w:type="dxa"/>
            <w:tcBorders>
              <w:top w:val="single" w:color="auto" w:sz="4" w:space="0"/>
            </w:tcBorders>
            <w:shd w:val="clear" w:color="auto" w:fill="auto"/>
            <w:vAlign w:val="center"/>
          </w:tcPr>
          <w:p>
            <w:pPr>
              <w:rPr>
                <w:rFonts w:ascii="宋体" w:hAnsi="宋体" w:eastAsia="宋体" w:cs="宋体"/>
                <w:color w:val="000000"/>
                <w:sz w:val="24"/>
              </w:rPr>
            </w:pPr>
          </w:p>
        </w:tc>
      </w:tr>
    </w:tbl>
    <w:p/>
    <w:p/>
    <w:p/>
    <w:p/>
    <w:tbl>
      <w:tblPr>
        <w:tblStyle w:val="3"/>
        <w:tblW w:w="13890" w:type="dxa"/>
        <w:tblInd w:w="0" w:type="dxa"/>
        <w:tblLayout w:type="autofit"/>
        <w:tblCellMar>
          <w:top w:w="15" w:type="dxa"/>
          <w:left w:w="15" w:type="dxa"/>
          <w:bottom w:w="15" w:type="dxa"/>
          <w:right w:w="15" w:type="dxa"/>
        </w:tblCellMar>
      </w:tblPr>
      <w:tblGrid>
        <w:gridCol w:w="1109"/>
        <w:gridCol w:w="681"/>
        <w:gridCol w:w="710"/>
        <w:gridCol w:w="743"/>
        <w:gridCol w:w="743"/>
        <w:gridCol w:w="885"/>
        <w:gridCol w:w="1048"/>
        <w:gridCol w:w="1070"/>
        <w:gridCol w:w="1493"/>
        <w:gridCol w:w="1882"/>
        <w:gridCol w:w="340"/>
        <w:gridCol w:w="681"/>
        <w:gridCol w:w="710"/>
        <w:gridCol w:w="1051"/>
        <w:gridCol w:w="744"/>
      </w:tblGrid>
      <w:tr>
        <w:trPr>
          <w:trHeight w:val="380" w:hRule="atLeast"/>
        </w:trPr>
        <w:tc>
          <w:tcPr>
            <w:tcW w:w="13146" w:type="dxa"/>
            <w:gridSpan w:val="14"/>
            <w:shd w:val="clear" w:color="auto" w:fill="auto"/>
            <w:vAlign w:val="center"/>
          </w:tcPr>
          <w:p>
            <w:pPr>
              <w:widowControl/>
              <w:jc w:val="left"/>
              <w:textAlignment w:val="center"/>
              <w:rPr>
                <w:rFonts w:ascii="Times New Roman" w:hAnsi="Times New Roman" w:eastAsia="宋体" w:cs="Times New Roman"/>
                <w:b/>
                <w:color w:val="000000"/>
                <w:kern w:val="0"/>
                <w:sz w:val="28"/>
                <w:szCs w:val="28"/>
                <w:lang w:bidi="ar"/>
              </w:rPr>
            </w:pPr>
          </w:p>
          <w:p>
            <w:pPr>
              <w:widowControl/>
              <w:jc w:val="left"/>
              <w:textAlignment w:val="center"/>
              <w:rPr>
                <w:rFonts w:ascii="Times New Roman" w:hAnsi="Times New Roman" w:eastAsia="宋体" w:cs="Times New Roman"/>
                <w:b/>
                <w:color w:val="000000"/>
                <w:sz w:val="28"/>
                <w:szCs w:val="28"/>
              </w:rPr>
            </w:pPr>
            <w:r>
              <w:rPr>
                <w:rFonts w:ascii="Times New Roman" w:hAnsi="Times New Roman" w:cs="Times New Roman"/>
                <w:b/>
                <w:bCs/>
                <w:sz w:val="28"/>
                <w:szCs w:val="28"/>
              </w:rPr>
              <w:t xml:space="preserve">Supplementary </w:t>
            </w:r>
            <w:r>
              <w:rPr>
                <w:rFonts w:ascii="Times New Roman" w:hAnsi="Times New Roman" w:eastAsia="宋体" w:cs="Times New Roman"/>
                <w:b/>
                <w:color w:val="000000"/>
                <w:kern w:val="0"/>
                <w:sz w:val="28"/>
                <w:szCs w:val="28"/>
                <w:lang w:bidi="ar"/>
              </w:rPr>
              <w:t>Table S2 the number of secretome genes associated with clinical outcomes across 14 solid tumors</w:t>
            </w:r>
          </w:p>
        </w:tc>
        <w:tc>
          <w:tcPr>
            <w:tcW w:w="744" w:type="dxa"/>
            <w:shd w:val="clear" w:color="auto" w:fill="auto"/>
            <w:vAlign w:val="center"/>
          </w:tcPr>
          <w:p>
            <w:pPr>
              <w:rPr>
                <w:rFonts w:ascii="宋体" w:hAnsi="宋体" w:eastAsia="宋体" w:cs="宋体"/>
                <w:color w:val="000000"/>
                <w:sz w:val="24"/>
              </w:rPr>
            </w:pPr>
          </w:p>
        </w:tc>
      </w:tr>
      <w:tr>
        <w:trPr>
          <w:trHeight w:val="170" w:hRule="atLeast"/>
        </w:trPr>
        <w:tc>
          <w:tcPr>
            <w:tcW w:w="1109" w:type="dxa"/>
            <w:vMerge w:val="restart"/>
            <w:tcBorders>
              <w:top w:val="single" w:color="000000" w:sz="4" w:space="0"/>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Cancer Type</w:t>
            </w:r>
          </w:p>
        </w:tc>
        <w:tc>
          <w:tcPr>
            <w:tcW w:w="9255" w:type="dxa"/>
            <w:gridSpan w:val="9"/>
            <w:tcBorders>
              <w:top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Expression ~ clinical outcomes</w:t>
            </w:r>
          </w:p>
        </w:tc>
        <w:tc>
          <w:tcPr>
            <w:tcW w:w="340" w:type="dxa"/>
            <w:tcBorders>
              <w:top w:val="single" w:color="000000" w:sz="4" w:space="0"/>
            </w:tcBorders>
            <w:shd w:val="clear" w:color="auto" w:fill="auto"/>
            <w:vAlign w:val="center"/>
          </w:tcPr>
          <w:p>
            <w:pPr>
              <w:widowControl/>
              <w:snapToGrid w:val="0"/>
              <w:jc w:val="center"/>
              <w:rPr>
                <w:rFonts w:ascii="Times New Roman" w:hAnsi="Times New Roman" w:eastAsia="宋体" w:cs="Times New Roman"/>
                <w:b/>
                <w:color w:val="000000"/>
                <w:sz w:val="28"/>
                <w:szCs w:val="28"/>
              </w:rPr>
            </w:pPr>
          </w:p>
        </w:tc>
        <w:tc>
          <w:tcPr>
            <w:tcW w:w="3186" w:type="dxa"/>
            <w:gridSpan w:val="4"/>
            <w:tcBorders>
              <w:top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Mutation ~ clinical outcomes</w:t>
            </w:r>
          </w:p>
        </w:tc>
      </w:tr>
      <w:tr>
        <w:trPr>
          <w:trHeight w:val="285" w:hRule="atLeast"/>
        </w:trPr>
        <w:tc>
          <w:tcPr>
            <w:tcW w:w="1109" w:type="dxa"/>
            <w:vMerge w:val="continue"/>
            <w:tcBorders>
              <w:top w:val="single" w:color="000000" w:sz="4" w:space="0"/>
              <w:bottom w:val="single" w:color="000000" w:sz="4" w:space="0"/>
            </w:tcBorders>
            <w:shd w:val="clear" w:color="auto" w:fill="auto"/>
            <w:vAlign w:val="center"/>
          </w:tcPr>
          <w:p>
            <w:pPr>
              <w:widowControl/>
              <w:snapToGrid w:val="0"/>
              <w:jc w:val="center"/>
              <w:rPr>
                <w:rFonts w:ascii="Times New Roman" w:hAnsi="Times New Roman" w:eastAsia="宋体" w:cs="Times New Roman"/>
                <w:b/>
                <w:color w:val="000000"/>
                <w:sz w:val="28"/>
                <w:szCs w:val="28"/>
              </w:rPr>
            </w:pPr>
          </w:p>
        </w:tc>
        <w:tc>
          <w:tcPr>
            <w:tcW w:w="681" w:type="dxa"/>
            <w:tcBorders>
              <w:top w:val="single" w:color="000000" w:sz="4" w:space="0"/>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OS</w:t>
            </w:r>
          </w:p>
        </w:tc>
        <w:tc>
          <w:tcPr>
            <w:tcW w:w="710" w:type="dxa"/>
            <w:tcBorders>
              <w:top w:val="single" w:color="000000" w:sz="4" w:space="0"/>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DFS</w:t>
            </w:r>
          </w:p>
        </w:tc>
        <w:tc>
          <w:tcPr>
            <w:tcW w:w="743" w:type="dxa"/>
            <w:tcBorders>
              <w:top w:val="single" w:color="000000" w:sz="4" w:space="0"/>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Stage</w:t>
            </w:r>
          </w:p>
        </w:tc>
        <w:tc>
          <w:tcPr>
            <w:tcW w:w="743" w:type="dxa"/>
            <w:tcBorders>
              <w:top w:val="single" w:color="000000" w:sz="4" w:space="0"/>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TNM</w:t>
            </w:r>
          </w:p>
        </w:tc>
        <w:tc>
          <w:tcPr>
            <w:tcW w:w="885" w:type="dxa"/>
            <w:tcBorders>
              <w:top w:val="single" w:color="000000" w:sz="4" w:space="0"/>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AGE</w:t>
            </w:r>
          </w:p>
        </w:tc>
        <w:tc>
          <w:tcPr>
            <w:tcW w:w="1048" w:type="dxa"/>
            <w:tcBorders>
              <w:top w:val="single" w:color="000000" w:sz="4" w:space="0"/>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Necrosis</w:t>
            </w:r>
          </w:p>
        </w:tc>
        <w:tc>
          <w:tcPr>
            <w:tcW w:w="1070" w:type="dxa"/>
            <w:tcBorders>
              <w:top w:val="single" w:color="000000" w:sz="4" w:space="0"/>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Nuclei</w:t>
            </w:r>
          </w:p>
        </w:tc>
        <w:tc>
          <w:tcPr>
            <w:tcW w:w="1493" w:type="dxa"/>
            <w:tcBorders>
              <w:top w:val="single" w:color="000000" w:sz="4" w:space="0"/>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Tumor_Cell</w:t>
            </w:r>
          </w:p>
        </w:tc>
        <w:tc>
          <w:tcPr>
            <w:tcW w:w="1882" w:type="dxa"/>
            <w:tcBorders>
              <w:top w:val="single" w:color="000000" w:sz="4" w:space="0"/>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Tumor_Weight</w:t>
            </w:r>
          </w:p>
        </w:tc>
        <w:tc>
          <w:tcPr>
            <w:tcW w:w="340" w:type="dxa"/>
            <w:tcBorders>
              <w:bottom w:val="single" w:color="000000" w:sz="4" w:space="0"/>
            </w:tcBorders>
            <w:shd w:val="clear" w:color="auto" w:fill="auto"/>
            <w:vAlign w:val="center"/>
          </w:tcPr>
          <w:p>
            <w:pPr>
              <w:widowControl/>
              <w:snapToGrid w:val="0"/>
              <w:jc w:val="center"/>
              <w:rPr>
                <w:rFonts w:ascii="Times New Roman" w:hAnsi="Times New Roman" w:eastAsia="宋体" w:cs="Times New Roman"/>
                <w:b/>
                <w:color w:val="000000"/>
                <w:sz w:val="28"/>
                <w:szCs w:val="28"/>
              </w:rPr>
            </w:pPr>
          </w:p>
        </w:tc>
        <w:tc>
          <w:tcPr>
            <w:tcW w:w="681" w:type="dxa"/>
            <w:tcBorders>
              <w:top w:val="single" w:color="000000" w:sz="4" w:space="0"/>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OS</w:t>
            </w:r>
          </w:p>
        </w:tc>
        <w:tc>
          <w:tcPr>
            <w:tcW w:w="710" w:type="dxa"/>
            <w:tcBorders>
              <w:top w:val="single" w:color="000000" w:sz="4" w:space="0"/>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DFS</w:t>
            </w:r>
          </w:p>
        </w:tc>
        <w:tc>
          <w:tcPr>
            <w:tcW w:w="1051" w:type="dxa"/>
            <w:tcBorders>
              <w:top w:val="single" w:color="000000" w:sz="4" w:space="0"/>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Stage</w:t>
            </w:r>
          </w:p>
        </w:tc>
        <w:tc>
          <w:tcPr>
            <w:tcW w:w="744" w:type="dxa"/>
            <w:tcBorders>
              <w:top w:val="single" w:color="000000" w:sz="4" w:space="0"/>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TNM</w:t>
            </w:r>
          </w:p>
        </w:tc>
      </w:tr>
      <w:tr>
        <w:trPr>
          <w:trHeight w:val="285" w:hRule="atLeast"/>
        </w:trPr>
        <w:tc>
          <w:tcPr>
            <w:tcW w:w="1109" w:type="dxa"/>
            <w:shd w:val="clear" w:color="auto" w:fill="auto"/>
            <w:vAlign w:val="center"/>
          </w:tcPr>
          <w:p>
            <w:pPr>
              <w:widowControl/>
              <w:snapToGrid w:val="0"/>
              <w:jc w:val="left"/>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1 Type</w:t>
            </w:r>
          </w:p>
        </w:tc>
        <w:tc>
          <w:tcPr>
            <w:tcW w:w="68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486</w:t>
            </w:r>
          </w:p>
        </w:tc>
        <w:tc>
          <w:tcPr>
            <w:tcW w:w="71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508</w:t>
            </w:r>
          </w:p>
        </w:tc>
        <w:tc>
          <w:tcPr>
            <w:tcW w:w="74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308</w:t>
            </w:r>
          </w:p>
        </w:tc>
        <w:tc>
          <w:tcPr>
            <w:tcW w:w="74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301</w:t>
            </w:r>
          </w:p>
        </w:tc>
        <w:tc>
          <w:tcPr>
            <w:tcW w:w="885"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410</w:t>
            </w:r>
          </w:p>
        </w:tc>
        <w:tc>
          <w:tcPr>
            <w:tcW w:w="1048"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323</w:t>
            </w:r>
          </w:p>
        </w:tc>
        <w:tc>
          <w:tcPr>
            <w:tcW w:w="107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343</w:t>
            </w:r>
          </w:p>
        </w:tc>
        <w:tc>
          <w:tcPr>
            <w:tcW w:w="149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305</w:t>
            </w:r>
          </w:p>
        </w:tc>
        <w:tc>
          <w:tcPr>
            <w:tcW w:w="1882"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434</w:t>
            </w:r>
          </w:p>
        </w:tc>
        <w:tc>
          <w:tcPr>
            <w:tcW w:w="340" w:type="dxa"/>
            <w:shd w:val="clear" w:color="auto" w:fill="auto"/>
            <w:vAlign w:val="center"/>
          </w:tcPr>
          <w:p>
            <w:pPr>
              <w:widowControl/>
              <w:snapToGrid w:val="0"/>
              <w:jc w:val="center"/>
              <w:rPr>
                <w:rFonts w:ascii="Times New Roman" w:hAnsi="Times New Roman" w:eastAsia="宋体" w:cs="Times New Roman"/>
                <w:color w:val="000000"/>
                <w:sz w:val="28"/>
                <w:szCs w:val="28"/>
              </w:rPr>
            </w:pPr>
          </w:p>
        </w:tc>
        <w:tc>
          <w:tcPr>
            <w:tcW w:w="68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117</w:t>
            </w:r>
          </w:p>
        </w:tc>
        <w:tc>
          <w:tcPr>
            <w:tcW w:w="71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125</w:t>
            </w:r>
          </w:p>
        </w:tc>
        <w:tc>
          <w:tcPr>
            <w:tcW w:w="105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302</w:t>
            </w:r>
          </w:p>
        </w:tc>
        <w:tc>
          <w:tcPr>
            <w:tcW w:w="744"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187</w:t>
            </w:r>
          </w:p>
        </w:tc>
      </w:tr>
      <w:tr>
        <w:trPr>
          <w:trHeight w:val="285" w:hRule="atLeast"/>
        </w:trPr>
        <w:tc>
          <w:tcPr>
            <w:tcW w:w="1109" w:type="dxa"/>
            <w:shd w:val="clear" w:color="auto" w:fill="auto"/>
            <w:vAlign w:val="center"/>
          </w:tcPr>
          <w:p>
            <w:pPr>
              <w:widowControl/>
              <w:snapToGrid w:val="0"/>
              <w:jc w:val="left"/>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2 Types</w:t>
            </w:r>
          </w:p>
        </w:tc>
        <w:tc>
          <w:tcPr>
            <w:tcW w:w="68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296</w:t>
            </w:r>
          </w:p>
        </w:tc>
        <w:tc>
          <w:tcPr>
            <w:tcW w:w="71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289</w:t>
            </w:r>
          </w:p>
        </w:tc>
        <w:tc>
          <w:tcPr>
            <w:tcW w:w="74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346</w:t>
            </w:r>
          </w:p>
        </w:tc>
        <w:tc>
          <w:tcPr>
            <w:tcW w:w="74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297</w:t>
            </w:r>
          </w:p>
        </w:tc>
        <w:tc>
          <w:tcPr>
            <w:tcW w:w="885"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377</w:t>
            </w:r>
          </w:p>
        </w:tc>
        <w:tc>
          <w:tcPr>
            <w:tcW w:w="1048"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345</w:t>
            </w:r>
          </w:p>
        </w:tc>
        <w:tc>
          <w:tcPr>
            <w:tcW w:w="107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370</w:t>
            </w:r>
          </w:p>
        </w:tc>
        <w:tc>
          <w:tcPr>
            <w:tcW w:w="149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227</w:t>
            </w:r>
          </w:p>
        </w:tc>
        <w:tc>
          <w:tcPr>
            <w:tcW w:w="1882"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338</w:t>
            </w:r>
          </w:p>
        </w:tc>
        <w:tc>
          <w:tcPr>
            <w:tcW w:w="340" w:type="dxa"/>
            <w:shd w:val="clear" w:color="auto" w:fill="auto"/>
            <w:vAlign w:val="center"/>
          </w:tcPr>
          <w:p>
            <w:pPr>
              <w:widowControl/>
              <w:snapToGrid w:val="0"/>
              <w:jc w:val="center"/>
              <w:rPr>
                <w:rFonts w:ascii="Times New Roman" w:hAnsi="Times New Roman" w:eastAsia="宋体" w:cs="Times New Roman"/>
                <w:color w:val="000000"/>
                <w:sz w:val="28"/>
                <w:szCs w:val="28"/>
              </w:rPr>
            </w:pPr>
          </w:p>
        </w:tc>
        <w:tc>
          <w:tcPr>
            <w:tcW w:w="68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18</w:t>
            </w:r>
          </w:p>
        </w:tc>
        <w:tc>
          <w:tcPr>
            <w:tcW w:w="71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23</w:t>
            </w:r>
          </w:p>
        </w:tc>
        <w:tc>
          <w:tcPr>
            <w:tcW w:w="105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79</w:t>
            </w:r>
          </w:p>
        </w:tc>
        <w:tc>
          <w:tcPr>
            <w:tcW w:w="744"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37</w:t>
            </w:r>
          </w:p>
        </w:tc>
      </w:tr>
      <w:tr>
        <w:trPr>
          <w:trHeight w:val="285" w:hRule="atLeast"/>
        </w:trPr>
        <w:tc>
          <w:tcPr>
            <w:tcW w:w="1109" w:type="dxa"/>
            <w:shd w:val="clear" w:color="auto" w:fill="auto"/>
            <w:vAlign w:val="center"/>
          </w:tcPr>
          <w:p>
            <w:pPr>
              <w:widowControl/>
              <w:snapToGrid w:val="0"/>
              <w:jc w:val="left"/>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3 Types</w:t>
            </w:r>
          </w:p>
        </w:tc>
        <w:tc>
          <w:tcPr>
            <w:tcW w:w="68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132</w:t>
            </w:r>
          </w:p>
        </w:tc>
        <w:tc>
          <w:tcPr>
            <w:tcW w:w="71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84</w:t>
            </w:r>
          </w:p>
        </w:tc>
        <w:tc>
          <w:tcPr>
            <w:tcW w:w="74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277</w:t>
            </w:r>
          </w:p>
        </w:tc>
        <w:tc>
          <w:tcPr>
            <w:tcW w:w="74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220</w:t>
            </w:r>
          </w:p>
        </w:tc>
        <w:tc>
          <w:tcPr>
            <w:tcW w:w="885"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226</w:t>
            </w:r>
          </w:p>
        </w:tc>
        <w:tc>
          <w:tcPr>
            <w:tcW w:w="1048"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251</w:t>
            </w:r>
          </w:p>
        </w:tc>
        <w:tc>
          <w:tcPr>
            <w:tcW w:w="107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254</w:t>
            </w:r>
          </w:p>
        </w:tc>
        <w:tc>
          <w:tcPr>
            <w:tcW w:w="149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171</w:t>
            </w:r>
          </w:p>
        </w:tc>
        <w:tc>
          <w:tcPr>
            <w:tcW w:w="1882"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205</w:t>
            </w:r>
          </w:p>
        </w:tc>
        <w:tc>
          <w:tcPr>
            <w:tcW w:w="340" w:type="dxa"/>
            <w:shd w:val="clear" w:color="auto" w:fill="auto"/>
            <w:vAlign w:val="center"/>
          </w:tcPr>
          <w:p>
            <w:pPr>
              <w:widowControl/>
              <w:snapToGrid w:val="0"/>
              <w:jc w:val="center"/>
              <w:rPr>
                <w:rFonts w:ascii="Times New Roman" w:hAnsi="Times New Roman" w:eastAsia="宋体" w:cs="Times New Roman"/>
                <w:color w:val="000000"/>
                <w:sz w:val="28"/>
                <w:szCs w:val="28"/>
              </w:rPr>
            </w:pPr>
          </w:p>
        </w:tc>
        <w:tc>
          <w:tcPr>
            <w:tcW w:w="68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4</w:t>
            </w:r>
          </w:p>
        </w:tc>
        <w:tc>
          <w:tcPr>
            <w:tcW w:w="71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6</w:t>
            </w:r>
          </w:p>
        </w:tc>
        <w:tc>
          <w:tcPr>
            <w:tcW w:w="105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13</w:t>
            </w:r>
          </w:p>
        </w:tc>
        <w:tc>
          <w:tcPr>
            <w:tcW w:w="744"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7</w:t>
            </w:r>
          </w:p>
        </w:tc>
      </w:tr>
      <w:tr>
        <w:trPr>
          <w:trHeight w:val="285" w:hRule="atLeast"/>
        </w:trPr>
        <w:tc>
          <w:tcPr>
            <w:tcW w:w="1109" w:type="dxa"/>
            <w:shd w:val="clear" w:color="auto" w:fill="auto"/>
            <w:vAlign w:val="center"/>
          </w:tcPr>
          <w:p>
            <w:pPr>
              <w:widowControl/>
              <w:snapToGrid w:val="0"/>
              <w:jc w:val="left"/>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4 Types</w:t>
            </w:r>
          </w:p>
        </w:tc>
        <w:tc>
          <w:tcPr>
            <w:tcW w:w="68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34</w:t>
            </w:r>
          </w:p>
        </w:tc>
        <w:tc>
          <w:tcPr>
            <w:tcW w:w="71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18</w:t>
            </w:r>
          </w:p>
        </w:tc>
        <w:tc>
          <w:tcPr>
            <w:tcW w:w="74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162</w:t>
            </w:r>
          </w:p>
        </w:tc>
        <w:tc>
          <w:tcPr>
            <w:tcW w:w="74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157</w:t>
            </w:r>
          </w:p>
        </w:tc>
        <w:tc>
          <w:tcPr>
            <w:tcW w:w="885"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110</w:t>
            </w:r>
          </w:p>
        </w:tc>
        <w:tc>
          <w:tcPr>
            <w:tcW w:w="1048"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130</w:t>
            </w:r>
          </w:p>
        </w:tc>
        <w:tc>
          <w:tcPr>
            <w:tcW w:w="107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113</w:t>
            </w:r>
          </w:p>
        </w:tc>
        <w:tc>
          <w:tcPr>
            <w:tcW w:w="149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156</w:t>
            </w:r>
          </w:p>
        </w:tc>
        <w:tc>
          <w:tcPr>
            <w:tcW w:w="1882"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91</w:t>
            </w:r>
          </w:p>
        </w:tc>
        <w:tc>
          <w:tcPr>
            <w:tcW w:w="340" w:type="dxa"/>
            <w:shd w:val="clear" w:color="auto" w:fill="auto"/>
            <w:vAlign w:val="center"/>
          </w:tcPr>
          <w:p>
            <w:pPr>
              <w:widowControl/>
              <w:snapToGrid w:val="0"/>
              <w:jc w:val="center"/>
              <w:rPr>
                <w:rFonts w:ascii="Times New Roman" w:hAnsi="Times New Roman" w:eastAsia="宋体" w:cs="Times New Roman"/>
                <w:color w:val="000000"/>
                <w:sz w:val="28"/>
                <w:szCs w:val="28"/>
              </w:rPr>
            </w:pPr>
          </w:p>
        </w:tc>
        <w:tc>
          <w:tcPr>
            <w:tcW w:w="68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1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w:t>
            </w:r>
          </w:p>
        </w:tc>
        <w:tc>
          <w:tcPr>
            <w:tcW w:w="105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w:t>
            </w:r>
          </w:p>
        </w:tc>
        <w:tc>
          <w:tcPr>
            <w:tcW w:w="744"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r>
      <w:tr>
        <w:trPr>
          <w:trHeight w:val="285" w:hRule="atLeast"/>
        </w:trPr>
        <w:tc>
          <w:tcPr>
            <w:tcW w:w="1109" w:type="dxa"/>
            <w:shd w:val="clear" w:color="auto" w:fill="auto"/>
            <w:vAlign w:val="center"/>
          </w:tcPr>
          <w:p>
            <w:pPr>
              <w:widowControl/>
              <w:snapToGrid w:val="0"/>
              <w:jc w:val="left"/>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5 Types</w:t>
            </w:r>
          </w:p>
        </w:tc>
        <w:tc>
          <w:tcPr>
            <w:tcW w:w="68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11</w:t>
            </w:r>
          </w:p>
        </w:tc>
        <w:tc>
          <w:tcPr>
            <w:tcW w:w="71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w:t>
            </w:r>
          </w:p>
        </w:tc>
        <w:tc>
          <w:tcPr>
            <w:tcW w:w="74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52</w:t>
            </w:r>
          </w:p>
        </w:tc>
        <w:tc>
          <w:tcPr>
            <w:tcW w:w="74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77</w:t>
            </w:r>
          </w:p>
        </w:tc>
        <w:tc>
          <w:tcPr>
            <w:tcW w:w="885"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33</w:t>
            </w:r>
          </w:p>
        </w:tc>
        <w:tc>
          <w:tcPr>
            <w:tcW w:w="1048"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61</w:t>
            </w:r>
          </w:p>
        </w:tc>
        <w:tc>
          <w:tcPr>
            <w:tcW w:w="107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36</w:t>
            </w:r>
          </w:p>
        </w:tc>
        <w:tc>
          <w:tcPr>
            <w:tcW w:w="149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112</w:t>
            </w:r>
          </w:p>
        </w:tc>
        <w:tc>
          <w:tcPr>
            <w:tcW w:w="1882"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15</w:t>
            </w:r>
          </w:p>
        </w:tc>
        <w:tc>
          <w:tcPr>
            <w:tcW w:w="340" w:type="dxa"/>
            <w:shd w:val="clear" w:color="auto" w:fill="auto"/>
            <w:vAlign w:val="center"/>
          </w:tcPr>
          <w:p>
            <w:pPr>
              <w:widowControl/>
              <w:snapToGrid w:val="0"/>
              <w:jc w:val="center"/>
              <w:rPr>
                <w:rFonts w:ascii="Times New Roman" w:hAnsi="Times New Roman" w:eastAsia="宋体" w:cs="Times New Roman"/>
                <w:color w:val="000000"/>
                <w:sz w:val="28"/>
                <w:szCs w:val="28"/>
              </w:rPr>
            </w:pPr>
          </w:p>
        </w:tc>
        <w:tc>
          <w:tcPr>
            <w:tcW w:w="68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1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05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w:t>
            </w:r>
          </w:p>
        </w:tc>
        <w:tc>
          <w:tcPr>
            <w:tcW w:w="744"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r>
      <w:tr>
        <w:trPr>
          <w:trHeight w:val="285" w:hRule="atLeast"/>
        </w:trPr>
        <w:tc>
          <w:tcPr>
            <w:tcW w:w="1109" w:type="dxa"/>
            <w:shd w:val="clear" w:color="auto" w:fill="auto"/>
            <w:vAlign w:val="center"/>
          </w:tcPr>
          <w:p>
            <w:pPr>
              <w:widowControl/>
              <w:snapToGrid w:val="0"/>
              <w:jc w:val="left"/>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6 Types</w:t>
            </w:r>
          </w:p>
        </w:tc>
        <w:tc>
          <w:tcPr>
            <w:tcW w:w="68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w:t>
            </w:r>
          </w:p>
        </w:tc>
        <w:tc>
          <w:tcPr>
            <w:tcW w:w="71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4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18</w:t>
            </w:r>
          </w:p>
        </w:tc>
        <w:tc>
          <w:tcPr>
            <w:tcW w:w="74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49</w:t>
            </w:r>
          </w:p>
        </w:tc>
        <w:tc>
          <w:tcPr>
            <w:tcW w:w="885"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6</w:t>
            </w:r>
          </w:p>
        </w:tc>
        <w:tc>
          <w:tcPr>
            <w:tcW w:w="1048"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15</w:t>
            </w:r>
          </w:p>
        </w:tc>
        <w:tc>
          <w:tcPr>
            <w:tcW w:w="107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10</w:t>
            </w:r>
          </w:p>
        </w:tc>
        <w:tc>
          <w:tcPr>
            <w:tcW w:w="149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78</w:t>
            </w:r>
          </w:p>
        </w:tc>
        <w:tc>
          <w:tcPr>
            <w:tcW w:w="1882"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w:t>
            </w:r>
          </w:p>
        </w:tc>
        <w:tc>
          <w:tcPr>
            <w:tcW w:w="340" w:type="dxa"/>
            <w:shd w:val="clear" w:color="auto" w:fill="auto"/>
            <w:vAlign w:val="center"/>
          </w:tcPr>
          <w:p>
            <w:pPr>
              <w:widowControl/>
              <w:snapToGrid w:val="0"/>
              <w:jc w:val="center"/>
              <w:rPr>
                <w:rFonts w:ascii="Times New Roman" w:hAnsi="Times New Roman" w:eastAsia="宋体" w:cs="Times New Roman"/>
                <w:color w:val="000000"/>
                <w:sz w:val="28"/>
                <w:szCs w:val="28"/>
              </w:rPr>
            </w:pPr>
          </w:p>
        </w:tc>
        <w:tc>
          <w:tcPr>
            <w:tcW w:w="68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1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05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44"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r>
      <w:tr>
        <w:trPr>
          <w:trHeight w:val="285" w:hRule="atLeast"/>
        </w:trPr>
        <w:tc>
          <w:tcPr>
            <w:tcW w:w="1109" w:type="dxa"/>
            <w:shd w:val="clear" w:color="auto" w:fill="auto"/>
            <w:vAlign w:val="center"/>
          </w:tcPr>
          <w:p>
            <w:pPr>
              <w:widowControl/>
              <w:snapToGrid w:val="0"/>
              <w:jc w:val="left"/>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7 Types</w:t>
            </w:r>
          </w:p>
        </w:tc>
        <w:tc>
          <w:tcPr>
            <w:tcW w:w="68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1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4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5</w:t>
            </w:r>
          </w:p>
        </w:tc>
        <w:tc>
          <w:tcPr>
            <w:tcW w:w="74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22</w:t>
            </w:r>
          </w:p>
        </w:tc>
        <w:tc>
          <w:tcPr>
            <w:tcW w:w="885"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w:t>
            </w:r>
          </w:p>
        </w:tc>
        <w:tc>
          <w:tcPr>
            <w:tcW w:w="1048"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w:t>
            </w:r>
          </w:p>
        </w:tc>
        <w:tc>
          <w:tcPr>
            <w:tcW w:w="107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w:t>
            </w:r>
          </w:p>
        </w:tc>
        <w:tc>
          <w:tcPr>
            <w:tcW w:w="149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30</w:t>
            </w:r>
          </w:p>
        </w:tc>
        <w:tc>
          <w:tcPr>
            <w:tcW w:w="1882"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w:t>
            </w:r>
          </w:p>
        </w:tc>
        <w:tc>
          <w:tcPr>
            <w:tcW w:w="340" w:type="dxa"/>
            <w:shd w:val="clear" w:color="auto" w:fill="auto"/>
            <w:vAlign w:val="center"/>
          </w:tcPr>
          <w:p>
            <w:pPr>
              <w:widowControl/>
              <w:snapToGrid w:val="0"/>
              <w:jc w:val="center"/>
              <w:rPr>
                <w:rFonts w:ascii="Times New Roman" w:hAnsi="Times New Roman" w:eastAsia="宋体" w:cs="Times New Roman"/>
                <w:color w:val="000000"/>
                <w:sz w:val="28"/>
                <w:szCs w:val="28"/>
              </w:rPr>
            </w:pPr>
          </w:p>
        </w:tc>
        <w:tc>
          <w:tcPr>
            <w:tcW w:w="68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1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05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44"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r>
      <w:tr>
        <w:trPr>
          <w:trHeight w:val="285" w:hRule="atLeast"/>
        </w:trPr>
        <w:tc>
          <w:tcPr>
            <w:tcW w:w="1109" w:type="dxa"/>
            <w:shd w:val="clear" w:color="auto" w:fill="auto"/>
            <w:vAlign w:val="center"/>
          </w:tcPr>
          <w:p>
            <w:pPr>
              <w:widowControl/>
              <w:snapToGrid w:val="0"/>
              <w:jc w:val="left"/>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8 Types</w:t>
            </w:r>
          </w:p>
        </w:tc>
        <w:tc>
          <w:tcPr>
            <w:tcW w:w="68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1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4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4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4</w:t>
            </w:r>
          </w:p>
        </w:tc>
        <w:tc>
          <w:tcPr>
            <w:tcW w:w="885"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048"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w:t>
            </w:r>
          </w:p>
        </w:tc>
        <w:tc>
          <w:tcPr>
            <w:tcW w:w="107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49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3</w:t>
            </w:r>
          </w:p>
        </w:tc>
        <w:tc>
          <w:tcPr>
            <w:tcW w:w="1882"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340" w:type="dxa"/>
            <w:shd w:val="clear" w:color="auto" w:fill="auto"/>
            <w:vAlign w:val="center"/>
          </w:tcPr>
          <w:p>
            <w:pPr>
              <w:widowControl/>
              <w:snapToGrid w:val="0"/>
              <w:jc w:val="center"/>
              <w:rPr>
                <w:rFonts w:ascii="Times New Roman" w:hAnsi="Times New Roman" w:eastAsia="宋体" w:cs="Times New Roman"/>
                <w:color w:val="000000"/>
                <w:sz w:val="28"/>
                <w:szCs w:val="28"/>
              </w:rPr>
            </w:pPr>
          </w:p>
        </w:tc>
        <w:tc>
          <w:tcPr>
            <w:tcW w:w="68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1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05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44"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r>
      <w:tr>
        <w:trPr>
          <w:trHeight w:val="285" w:hRule="atLeast"/>
        </w:trPr>
        <w:tc>
          <w:tcPr>
            <w:tcW w:w="1109" w:type="dxa"/>
            <w:shd w:val="clear" w:color="auto" w:fill="auto"/>
            <w:vAlign w:val="center"/>
          </w:tcPr>
          <w:p>
            <w:pPr>
              <w:widowControl/>
              <w:snapToGrid w:val="0"/>
              <w:jc w:val="left"/>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9 Types</w:t>
            </w:r>
          </w:p>
        </w:tc>
        <w:tc>
          <w:tcPr>
            <w:tcW w:w="68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1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4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4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885"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048"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w:t>
            </w:r>
          </w:p>
        </w:tc>
        <w:tc>
          <w:tcPr>
            <w:tcW w:w="107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493"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w:t>
            </w:r>
          </w:p>
        </w:tc>
        <w:tc>
          <w:tcPr>
            <w:tcW w:w="1882"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340" w:type="dxa"/>
            <w:shd w:val="clear" w:color="auto" w:fill="auto"/>
            <w:vAlign w:val="center"/>
          </w:tcPr>
          <w:p>
            <w:pPr>
              <w:widowControl/>
              <w:snapToGrid w:val="0"/>
              <w:jc w:val="center"/>
              <w:rPr>
                <w:rFonts w:ascii="Times New Roman" w:hAnsi="Times New Roman" w:eastAsia="宋体" w:cs="Times New Roman"/>
                <w:color w:val="000000"/>
                <w:sz w:val="28"/>
                <w:szCs w:val="28"/>
              </w:rPr>
            </w:pPr>
          </w:p>
        </w:tc>
        <w:tc>
          <w:tcPr>
            <w:tcW w:w="68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10"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051"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44" w:type="dxa"/>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r>
      <w:tr>
        <w:trPr>
          <w:trHeight w:val="285" w:hRule="atLeast"/>
        </w:trPr>
        <w:tc>
          <w:tcPr>
            <w:tcW w:w="1109" w:type="dxa"/>
            <w:tcBorders>
              <w:bottom w:val="single" w:color="000000" w:sz="4" w:space="0"/>
            </w:tcBorders>
            <w:shd w:val="clear" w:color="auto" w:fill="auto"/>
            <w:vAlign w:val="center"/>
          </w:tcPr>
          <w:p>
            <w:pPr>
              <w:widowControl/>
              <w:snapToGrid w:val="0"/>
              <w:jc w:val="left"/>
              <w:textAlignment w:val="center"/>
              <w:rPr>
                <w:rFonts w:ascii="Times New Roman" w:hAnsi="Times New Roman" w:eastAsia="宋体" w:cs="Times New Roman"/>
                <w:b/>
                <w:color w:val="000000"/>
                <w:sz w:val="28"/>
                <w:szCs w:val="28"/>
              </w:rPr>
            </w:pPr>
            <w:r>
              <w:rPr>
                <w:rFonts w:ascii="Times New Roman" w:hAnsi="Times New Roman" w:eastAsia="宋体" w:cs="Times New Roman"/>
                <w:b/>
                <w:color w:val="000000"/>
                <w:kern w:val="0"/>
                <w:sz w:val="28"/>
                <w:szCs w:val="28"/>
                <w:lang w:bidi="ar"/>
              </w:rPr>
              <w:t>10 Types</w:t>
            </w:r>
          </w:p>
        </w:tc>
        <w:tc>
          <w:tcPr>
            <w:tcW w:w="681" w:type="dxa"/>
            <w:tcBorders>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10" w:type="dxa"/>
            <w:tcBorders>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43" w:type="dxa"/>
            <w:tcBorders>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43" w:type="dxa"/>
            <w:tcBorders>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885" w:type="dxa"/>
            <w:tcBorders>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048" w:type="dxa"/>
            <w:tcBorders>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070" w:type="dxa"/>
            <w:tcBorders>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493" w:type="dxa"/>
            <w:tcBorders>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w:t>
            </w:r>
          </w:p>
        </w:tc>
        <w:tc>
          <w:tcPr>
            <w:tcW w:w="1882" w:type="dxa"/>
            <w:tcBorders>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340" w:type="dxa"/>
            <w:tcBorders>
              <w:bottom w:val="single" w:color="000000" w:sz="4" w:space="0"/>
            </w:tcBorders>
            <w:shd w:val="clear" w:color="auto" w:fill="auto"/>
            <w:vAlign w:val="center"/>
          </w:tcPr>
          <w:p>
            <w:pPr>
              <w:widowControl/>
              <w:snapToGrid w:val="0"/>
              <w:jc w:val="center"/>
              <w:rPr>
                <w:rFonts w:ascii="Times New Roman" w:hAnsi="Times New Roman" w:eastAsia="宋体" w:cs="Times New Roman"/>
                <w:color w:val="000000"/>
                <w:sz w:val="28"/>
                <w:szCs w:val="28"/>
              </w:rPr>
            </w:pPr>
          </w:p>
        </w:tc>
        <w:tc>
          <w:tcPr>
            <w:tcW w:w="681" w:type="dxa"/>
            <w:tcBorders>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10" w:type="dxa"/>
            <w:tcBorders>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051" w:type="dxa"/>
            <w:tcBorders>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44" w:type="dxa"/>
            <w:tcBorders>
              <w:bottom w:val="single" w:color="000000" w:sz="4" w:space="0"/>
            </w:tcBorders>
            <w:shd w:val="clear" w:color="auto" w:fill="auto"/>
            <w:vAlign w:val="center"/>
          </w:tcPr>
          <w:p>
            <w:pPr>
              <w:widowControl/>
              <w:snapToGrid w:val="0"/>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r>
    </w:tbl>
    <w:p/>
    <w:p/>
    <w:p/>
    <w:tbl>
      <w:tblPr>
        <w:tblStyle w:val="3"/>
        <w:tblW w:w="13975" w:type="dxa"/>
        <w:tblInd w:w="0" w:type="dxa"/>
        <w:tblLayout w:type="autofit"/>
        <w:tblCellMar>
          <w:top w:w="15" w:type="dxa"/>
          <w:left w:w="15" w:type="dxa"/>
          <w:bottom w:w="15" w:type="dxa"/>
          <w:right w:w="15" w:type="dxa"/>
        </w:tblCellMar>
      </w:tblPr>
      <w:tblGrid>
        <w:gridCol w:w="1213"/>
        <w:gridCol w:w="960"/>
        <w:gridCol w:w="842"/>
        <w:gridCol w:w="737"/>
        <w:gridCol w:w="737"/>
        <w:gridCol w:w="695"/>
        <w:gridCol w:w="1041"/>
        <w:gridCol w:w="890"/>
        <w:gridCol w:w="1664"/>
        <w:gridCol w:w="1439"/>
        <w:gridCol w:w="407"/>
        <w:gridCol w:w="36"/>
        <w:gridCol w:w="341"/>
        <w:gridCol w:w="1026"/>
        <w:gridCol w:w="1947"/>
      </w:tblGrid>
      <w:tr>
        <w:trPr>
          <w:trHeight w:val="285" w:hRule="atLeast"/>
        </w:trPr>
        <w:tc>
          <w:tcPr>
            <w:tcW w:w="13975" w:type="dxa"/>
            <w:gridSpan w:val="15"/>
            <w:tcBorders>
              <w:bottom w:val="single" w:color="auto" w:sz="4" w:space="0"/>
            </w:tcBorders>
            <w:shd w:val="clear" w:color="auto" w:fill="auto"/>
            <w:vAlign w:val="center"/>
          </w:tcPr>
          <w:p>
            <w:pPr>
              <w:widowControl/>
              <w:jc w:val="left"/>
              <w:textAlignment w:val="center"/>
              <w:rPr>
                <w:rFonts w:ascii="Times New Roman" w:hAnsi="Times New Roman" w:eastAsia="宋体" w:cs="Times New Roman"/>
                <w:b/>
                <w:color w:val="000000"/>
                <w:kern w:val="0"/>
                <w:sz w:val="28"/>
                <w:szCs w:val="28"/>
                <w:lang w:bidi="ar"/>
              </w:rPr>
            </w:pPr>
            <w:r>
              <w:rPr>
                <w:sz w:val="28"/>
              </w:rPr>
              <mc:AlternateContent>
                <mc:Choice Requires="wps">
                  <w:drawing>
                    <wp:anchor distT="0" distB="0" distL="114300" distR="114300" simplePos="0" relativeHeight="251659264" behindDoc="0" locked="0" layoutInCell="1" allowOverlap="1">
                      <wp:simplePos x="0" y="0"/>
                      <wp:positionH relativeFrom="column">
                        <wp:posOffset>-126365</wp:posOffset>
                      </wp:positionH>
                      <wp:positionV relativeFrom="paragraph">
                        <wp:posOffset>217170</wp:posOffset>
                      </wp:positionV>
                      <wp:extent cx="9065895" cy="229870"/>
                      <wp:effectExtent l="0" t="0" r="1905" b="24130"/>
                      <wp:wrapNone/>
                      <wp:docPr id="3" name="矩形 3"/>
                      <wp:cNvGraphicFramePr/>
                      <a:graphic xmlns:a="http://schemas.openxmlformats.org/drawingml/2006/main">
                        <a:graphicData uri="http://schemas.microsoft.com/office/word/2010/wordprocessingShape">
                          <wps:wsp>
                            <wps:cNvSpPr/>
                            <wps:spPr>
                              <a:xfrm>
                                <a:off x="786765" y="6083300"/>
                                <a:ext cx="9065895" cy="2298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95pt;margin-top:17.1pt;height:18.1pt;width:713.85pt;z-index:251659264;v-text-anchor:middle;mso-width-relative:page;mso-height-relative:page;" fillcolor="#FFFFFF [3212]" filled="t" stroked="f" coordsize="21600,21600" o:gfxdata="UEsFBgAAAAAAAAAAAAAAAAAAAAAAAFBLAwQKAAAAAACHTuJAAAAAAAAAAAAAAAAABAAAAGRycy9Q&#10;SwMEFAAAAAgAh07iQOvVHbbaAAAACgEAAA8AAABkcnMvZG93bnJldi54bWxNjz1PwzAURXck/oP1&#10;kNhaO20gNMTpUIkhAxK0DIxu/EhC4ucodj7673EnOj69o3vPzfaL6diEg2ssSYjWAhhSaXVDlYSv&#10;09vqBZjzirTqLKGECzrY5/d3mUq1nekTp6OvWAghlyoJtfd9yrkrazTKrW2PFH4/djDKh3OouB7U&#10;HMJNxzdCPHOjGgoNterxUGPZHkcjoS0KMy5P5VR8vCe/22G+tKfvg5SPD5F4BeZx8f8wXPWDOuTB&#10;6WxH0o51ElbRbhdQCdt4A+wKxCIJY84SEhEDzzN+OyH/A1BLAwQUAAAACACHTuJArfnILVsCAACI&#10;BAAADgAAAGRycy9lMm9Eb2MueG1srVRJbtswFN0X6B0I7hvJduIJkQMjgYsCQRMgLbqmKcoiwKkk&#10;bTm9TIHueogep+g1+kgpQ4dVUS3o//Wf//D4vs4vjlqRg/BBWlPR0UlJiTDc1tLsKvr+3ebVnJIQ&#10;mamZskZU9F4EerF6+eK8c0sxtq1VtfAESUxYdq6ibYxuWRSBt0KzcGKdMAg21msW4fpdUXvWIbtW&#10;xbgsp0Vnfe285SIEvL3qg3SV8zeN4PGmaYKIRFUUvcV8+nxu01msztly55lrJR/aYP/QhWbSoOhj&#10;qisWGdl7+UcqLbm3wTbxhFtd2KaRXOQZMM2o/G2au5Y5kWcBOcE90hT+X1r+9nDriawrOqHEMI0r&#10;+vH56/dvX8gkcdO5sATkzt36wQsw06DHxuv0ixHIsaKz+XQ2PaPkvqLTcj6ZlAO14hgJR3xRTs/m&#10;CwA4EOPxYj7LgOIpkfMhvhZWk2RU1OPqMqPscB0iigP6AEl1g1Wy3kilsuN320vlyYHhmjf5Sd3j&#10;L7/AlCEdRDqeoTvCGeTWKBZhagcCgtlRwtQOOubR59rGpgrI1Ne+YqHta+S0vXi0jFCwkrqi8zI9&#10;Q2Vl0EDir2csWVtb34Ntb3sZBsc3EsNesxBvmYfu0BZ2Kd7gaJRFr3awKGmt//S39wkPOSBKSQcd&#10;Y46Pe+YFJeqNgVAWo9PTJPzsnJ7NxnD888j2ecTs9aUFhyNsrePZTPioHszGW/0BK7dOVRFihqN2&#10;z9jgXMZ+v7C0XKzXGQaxOxavzZ3jKXki1Nj1PtpG5rt9YmcgDXLP9zesZtqn535GPX1AVj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FgAA&#10;AGRycy9QSwECFAAUAAAACACHTuJA69UdttoAAAAKAQAADwAAAAAAAAABACAAAAA4AAAAZHJzL2Rv&#10;d25yZXYueG1sUEsBAhQAFAAAAAgAh07iQK35yC1bAgAAiAQAAA4AAAAAAAAAAQAgAAAAPwEAAGRy&#10;cy9lMm9Eb2MueG1sUEsFBgAAAAAGAAYAWQEAAAwGAAAAAA==&#10;">
                      <v:fill on="t" focussize="0,0"/>
                      <v:stroke on="f" weight="1pt" miterlimit="8" joinstyle="miter"/>
                      <v:imagedata o:title=""/>
                      <o:lock v:ext="edit" aspectratio="f"/>
                    </v:rect>
                  </w:pict>
                </mc:Fallback>
              </mc:AlternateContent>
            </w:r>
          </w:p>
          <w:p>
            <w:pPr>
              <w:widowControl/>
              <w:jc w:val="left"/>
              <w:textAlignment w:val="center"/>
              <w:rPr>
                <w:rFonts w:ascii="Times New Roman" w:hAnsi="Times New Roman" w:eastAsia="宋体" w:cs="Times New Roman"/>
                <w:b/>
                <w:color w:val="000000"/>
                <w:kern w:val="0"/>
                <w:sz w:val="28"/>
                <w:szCs w:val="28"/>
                <w:lang w:bidi="ar"/>
              </w:rPr>
            </w:pPr>
            <w:r>
              <w:rPr>
                <w:sz w:val="28"/>
              </w:rPr>
              <mc:AlternateContent>
                <mc:Choice Requires="wps">
                  <w:drawing>
                    <wp:anchor distT="0" distB="0" distL="114300" distR="114300" simplePos="0" relativeHeight="251658240" behindDoc="0" locked="0" layoutInCell="1" allowOverlap="1">
                      <wp:simplePos x="0" y="0"/>
                      <wp:positionH relativeFrom="column">
                        <wp:posOffset>-62865</wp:posOffset>
                      </wp:positionH>
                      <wp:positionV relativeFrom="paragraph">
                        <wp:posOffset>311785</wp:posOffset>
                      </wp:positionV>
                      <wp:extent cx="8968105" cy="148590"/>
                      <wp:effectExtent l="0" t="0" r="23495" b="3810"/>
                      <wp:wrapNone/>
                      <wp:docPr id="2" name="矩形 2"/>
                      <wp:cNvGraphicFramePr/>
                      <a:graphic xmlns:a="http://schemas.openxmlformats.org/drawingml/2006/main">
                        <a:graphicData uri="http://schemas.microsoft.com/office/word/2010/wordprocessingShape">
                          <wps:wsp>
                            <wps:cNvSpPr/>
                            <wps:spPr>
                              <a:xfrm>
                                <a:off x="850265" y="6177915"/>
                                <a:ext cx="8968105" cy="14859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95pt;margin-top:24.55pt;height:11.7pt;width:706.15pt;z-index:251658240;v-text-anchor:middle;mso-width-relative:page;mso-height-relative:page;" fillcolor="#FFFFFF [3212]" filled="t" stroked="f" coordsize="21600,21600" o:gfxdata="UEsFBgAAAAAAAAAAAAAAAAAAAAAAAFBLAwQKAAAAAACHTuJAAAAAAAAAAAAAAAAABAAAAGRycy9Q&#10;SwMEFAAAAAgAh07iQGliQKbZAAAACQEAAA8AAABkcnMvZG93bnJldi54bWxNjz1PwzAYhHck/oP1&#10;IrG1dkJKSZo3HSoxZECCloHRjd0kJLYj2/nov8ed6Hi6091z+X5RPZmkda3RCNGaAZG6MqLVNcL3&#10;6X31BsR5rgXvjZYIV+lgXzw+5DwTZtZfcjr6moQS7TKO0Hg/ZJS6qpGKu7UZpA7exVjFfZC2psLy&#10;OZSrnsaMvVLFWx0WGj7IQyOr7jgqhK4s1bhsqqn8/Nj+vtj52p1+DojPTxHbAfFy8f9huOEHdCgC&#10;09mMWjjSI6zSNCQRkjQCcvMTFidAzgjbeAO0yOn9g+IPUEsDBBQAAAAIAIdO4kBi/B+JWQIAAIgE&#10;AAAOAAAAZHJzL2Uyb0RvYy54bWytVMlu2zAQvRfoPxC8N1rgHZEDI4GLAkETIC16pinSIsCtQ9py&#10;+jMFeutH9HOK/kaHlLJ0ORXVgZ7RjOfNPL7R+cXJaHIUEJSzDa3OSkqE5a5Vdt/Q9++2rxaUhMhs&#10;y7SzoqH3ItCL9csX571fidp1TrcCCBaxYdX7hnYx+lVRBN4Jw8KZ88JiUDowLKIL+6IF1mN1o4u6&#10;LGdF76D14LgIAd9eDUG6zvWlFDzeSBlEJLqh2FvMJ+Rzl85ifc5We2C+U3xsg/1DF4Ypi6CPpa5Y&#10;ZOQA6o9SRnFwwcl4xp0pnJSKizwDTlOVv01z1zEv8ixITvCPNIX/V5a/Pd4CUW1Da0osM3hFPz5/&#10;/f7tC6kTN70PK0y587cwegHNNOhJgkm/OAI5NXQxLevZlJL7hs6q+XxZTQdqxSkSnuLL2aIqMYFj&#10;RjVZTJeZ++KpkIcQXwtnSDIaCnh1mVF2vA4RwTH1ISXhBqdVu1VaZwf2u0sN5Mjwmrf5SfD4l1/S&#10;tCU9otfzEqXAGcpNahbRNB4JCHZPCdN71DGPkLGtSwhYacC+YqEbMHLZYUKjIipYK4NDlukZkbXF&#10;BhJ/A2PJ2rn2HtkGN8gweL5VOOw1C/GWAeoO28Jdijd4SO2wVzdalHQOPv3tfcpHOWCUkh51jHN8&#10;PDAQlOg3FoWyrCaTJPzsTKbzGh14Htk9j9iDuXTIYYVb63k2U37UD6YEZz7gym0SKoaY5Yg9MDY6&#10;l3HYL1xaLjabnIZi9yxe2zvPU/FEqHWbQ3RS5bt9YmckDeWe729czbRPz/2c9fQBWf8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FgAAAGRy&#10;cy9QSwECFAAUAAAACACHTuJAaWJAptkAAAAJAQAADwAAAAAAAAABACAAAAA4AAAAZHJzL2Rvd25y&#10;ZXYueG1sUEsBAhQAFAAAAAgAh07iQGL8H4lZAgAAiAQAAA4AAAAAAAAAAQAgAAAAPgEAAGRycy9l&#10;Mm9Eb2MueG1sUEsFBgAAAAAGAAYAWQEAAAkGAAAAAA==&#10;">
                      <v:fill on="t" focussize="0,0"/>
                      <v:stroke on="f" weight="1pt" miterlimit="8" joinstyle="miter"/>
                      <v:imagedata o:title=""/>
                      <o:lock v:ext="edit" aspectratio="f"/>
                    </v:rect>
                  </w:pict>
                </mc:Fallback>
              </mc:AlternateContent>
            </w:r>
          </w:p>
          <w:p>
            <w:pPr>
              <w:widowControl/>
              <w:jc w:val="left"/>
              <w:textAlignment w:val="center"/>
              <w:rPr>
                <w:rFonts w:ascii="Times New Roman" w:hAnsi="Times New Roman" w:eastAsia="宋体" w:cs="Times New Roman"/>
                <w:b/>
                <w:color w:val="000000"/>
                <w:sz w:val="28"/>
                <w:szCs w:val="28"/>
              </w:rPr>
            </w:pPr>
            <w:r>
              <w:rPr>
                <w:rFonts w:ascii="Times New Roman" w:hAnsi="Times New Roman" w:cs="Times New Roman"/>
                <w:b/>
                <w:bCs/>
                <w:sz w:val="28"/>
                <w:szCs w:val="28"/>
              </w:rPr>
              <w:t xml:space="preserve">Supplementary </w:t>
            </w:r>
            <w:r>
              <w:rPr>
                <w:rFonts w:ascii="Times New Roman" w:hAnsi="Times New Roman" w:eastAsia="宋体" w:cs="Times New Roman"/>
                <w:b/>
                <w:color w:val="000000"/>
                <w:kern w:val="0"/>
                <w:sz w:val="28"/>
                <w:szCs w:val="28"/>
                <w:lang w:bidi="ar"/>
              </w:rPr>
              <w:t>Table S3 Expression and genetic alteration of 6 secretome genes associated with clinical outcomes across 14 solid tumors</w:t>
            </w:r>
          </w:p>
        </w:tc>
      </w:tr>
      <w:tr>
        <w:trPr>
          <w:trHeight w:val="285" w:hRule="atLeast"/>
        </w:trPr>
        <w:tc>
          <w:tcPr>
            <w:tcW w:w="1213" w:type="dxa"/>
            <w:vMerge w:val="restart"/>
            <w:tcBorders>
              <w:top w:val="single" w:color="auto" w:sz="4" w:space="0"/>
            </w:tcBorders>
            <w:shd w:val="clear" w:color="auto" w:fill="auto"/>
            <w:vAlign w:val="center"/>
          </w:tcPr>
          <w:p>
            <w:pPr>
              <w:widowControl/>
              <w:textAlignment w:val="center"/>
              <w:rPr>
                <w:rFonts w:ascii="Times New Roman Bold" w:hAnsi="Times New Roman Bold" w:eastAsia="宋体" w:cs="Times New Roman Bold"/>
                <w:b/>
                <w:bCs/>
                <w:color w:val="000000"/>
                <w:sz w:val="28"/>
                <w:szCs w:val="28"/>
              </w:rPr>
            </w:pPr>
            <w:r>
              <w:rPr>
                <w:rFonts w:ascii="Times New Roman Bold" w:hAnsi="Times New Roman Bold" w:eastAsia="宋体" w:cs="Times New Roman Bold"/>
                <w:b/>
                <w:bCs/>
                <w:color w:val="000000"/>
                <w:kern w:val="0"/>
                <w:sz w:val="28"/>
                <w:szCs w:val="28"/>
                <w:lang w:bidi="ar"/>
              </w:rPr>
              <w:t>gene</w:t>
            </w:r>
          </w:p>
        </w:tc>
        <w:tc>
          <w:tcPr>
            <w:tcW w:w="9005" w:type="dxa"/>
            <w:gridSpan w:val="9"/>
            <w:tcBorders>
              <w:top w:val="single" w:color="auto" w:sz="4" w:space="0"/>
              <w:bottom w:val="single" w:color="auto" w:sz="4" w:space="0"/>
            </w:tcBorders>
            <w:shd w:val="clear" w:color="auto" w:fill="auto"/>
            <w:vAlign w:val="center"/>
          </w:tcPr>
          <w:p>
            <w:pPr>
              <w:widowControl/>
              <w:snapToGrid w:val="0"/>
              <w:jc w:val="center"/>
              <w:textAlignment w:val="center"/>
              <w:rPr>
                <w:rFonts w:ascii="Times New Roman Bold" w:hAnsi="Times New Roman Bold" w:eastAsia="宋体" w:cs="Times New Roman Bold"/>
                <w:b/>
                <w:bCs/>
                <w:color w:val="000000"/>
                <w:sz w:val="28"/>
                <w:szCs w:val="28"/>
              </w:rPr>
            </w:pPr>
            <w:r>
              <w:rPr>
                <w:rFonts w:ascii="Times New Roman Bold" w:hAnsi="Times New Roman Bold" w:eastAsia="宋体" w:cs="Times New Roman Bold"/>
                <w:b/>
                <w:bCs/>
                <w:color w:val="000000"/>
                <w:kern w:val="0"/>
                <w:sz w:val="28"/>
                <w:szCs w:val="28"/>
                <w:lang w:bidi="ar"/>
              </w:rPr>
              <w:t>Expression ~ clinical outcome</w:t>
            </w:r>
          </w:p>
        </w:tc>
        <w:tc>
          <w:tcPr>
            <w:tcW w:w="407" w:type="dxa"/>
            <w:tcBorders>
              <w:top w:val="single" w:color="auto" w:sz="4" w:space="0"/>
            </w:tcBorders>
            <w:shd w:val="clear" w:color="auto" w:fill="auto"/>
            <w:vAlign w:val="center"/>
          </w:tcPr>
          <w:p>
            <w:pPr>
              <w:widowControl/>
              <w:snapToGrid w:val="0"/>
              <w:jc w:val="center"/>
              <w:rPr>
                <w:rFonts w:ascii="Times New Roman Bold" w:hAnsi="Times New Roman Bold" w:eastAsia="宋体" w:cs="Times New Roman Bold"/>
                <w:b/>
                <w:bCs/>
                <w:color w:val="000000"/>
                <w:sz w:val="28"/>
                <w:szCs w:val="28"/>
              </w:rPr>
            </w:pPr>
          </w:p>
        </w:tc>
        <w:tc>
          <w:tcPr>
            <w:tcW w:w="3350" w:type="dxa"/>
            <w:gridSpan w:val="4"/>
            <w:tcBorders>
              <w:top w:val="single" w:color="auto" w:sz="4" w:space="0"/>
              <w:bottom w:val="single" w:color="auto" w:sz="4" w:space="0"/>
            </w:tcBorders>
            <w:shd w:val="clear" w:color="auto" w:fill="auto"/>
            <w:vAlign w:val="center"/>
          </w:tcPr>
          <w:p>
            <w:pPr>
              <w:widowControl/>
              <w:snapToGrid w:val="0"/>
              <w:jc w:val="center"/>
              <w:textAlignment w:val="center"/>
              <w:rPr>
                <w:rFonts w:ascii="Times New Roman Bold" w:hAnsi="Times New Roman Bold" w:eastAsia="宋体" w:cs="Times New Roman Bold"/>
                <w:b/>
                <w:bCs/>
                <w:color w:val="000000"/>
                <w:sz w:val="28"/>
                <w:szCs w:val="28"/>
              </w:rPr>
            </w:pPr>
            <w:r>
              <w:rPr>
                <w:rFonts w:ascii="Times New Roman Bold" w:hAnsi="Times New Roman Bold" w:eastAsia="宋体" w:cs="Times New Roman Bold"/>
                <w:b/>
                <w:bCs/>
                <w:color w:val="000000"/>
                <w:kern w:val="0"/>
                <w:sz w:val="28"/>
                <w:szCs w:val="28"/>
                <w:lang w:bidi="ar"/>
              </w:rPr>
              <w:t>Mutation ~ survival</w:t>
            </w:r>
          </w:p>
        </w:tc>
      </w:tr>
      <w:tr>
        <w:trPr>
          <w:trHeight w:val="285" w:hRule="atLeast"/>
        </w:trPr>
        <w:tc>
          <w:tcPr>
            <w:tcW w:w="1213" w:type="dxa"/>
            <w:vMerge w:val="continue"/>
            <w:tcBorders>
              <w:bottom w:val="single" w:color="auto" w:sz="4" w:space="0"/>
            </w:tcBorders>
            <w:shd w:val="clear" w:color="auto" w:fill="auto"/>
            <w:vAlign w:val="center"/>
          </w:tcPr>
          <w:p>
            <w:pPr>
              <w:jc w:val="center"/>
              <w:rPr>
                <w:rFonts w:ascii="Times New Roman Bold" w:hAnsi="Times New Roman Bold" w:eastAsia="宋体" w:cs="Times New Roman Bold"/>
                <w:b/>
                <w:bCs/>
                <w:color w:val="000000"/>
                <w:sz w:val="28"/>
                <w:szCs w:val="28"/>
              </w:rPr>
            </w:pPr>
          </w:p>
        </w:tc>
        <w:tc>
          <w:tcPr>
            <w:tcW w:w="960" w:type="dxa"/>
            <w:tcBorders>
              <w:top w:val="single" w:color="auto" w:sz="4" w:space="0"/>
              <w:bottom w:val="single" w:color="auto" w:sz="4" w:space="0"/>
            </w:tcBorders>
            <w:shd w:val="clear" w:color="auto" w:fill="auto"/>
            <w:vAlign w:val="center"/>
          </w:tcPr>
          <w:p>
            <w:pPr>
              <w:widowControl/>
              <w:snapToGrid w:val="0"/>
              <w:jc w:val="center"/>
              <w:textAlignment w:val="center"/>
              <w:rPr>
                <w:rFonts w:ascii="Times New Roman Bold" w:hAnsi="Times New Roman Bold" w:eastAsia="宋体" w:cs="Times New Roman Bold"/>
                <w:b/>
                <w:bCs/>
                <w:color w:val="000000"/>
                <w:sz w:val="28"/>
                <w:szCs w:val="28"/>
              </w:rPr>
            </w:pPr>
            <w:r>
              <w:rPr>
                <w:rFonts w:ascii="Times New Roman Bold" w:hAnsi="Times New Roman Bold" w:eastAsia="宋体" w:cs="Times New Roman Bold"/>
                <w:b/>
                <w:bCs/>
                <w:color w:val="000000"/>
                <w:kern w:val="0"/>
                <w:sz w:val="28"/>
                <w:szCs w:val="28"/>
                <w:lang w:bidi="ar"/>
              </w:rPr>
              <w:t>DFS</w:t>
            </w:r>
          </w:p>
        </w:tc>
        <w:tc>
          <w:tcPr>
            <w:tcW w:w="842" w:type="dxa"/>
            <w:tcBorders>
              <w:top w:val="single" w:color="auto" w:sz="4" w:space="0"/>
              <w:bottom w:val="single" w:color="auto" w:sz="4" w:space="0"/>
            </w:tcBorders>
            <w:shd w:val="clear" w:color="auto" w:fill="auto"/>
            <w:vAlign w:val="center"/>
          </w:tcPr>
          <w:p>
            <w:pPr>
              <w:widowControl/>
              <w:snapToGrid w:val="0"/>
              <w:jc w:val="center"/>
              <w:textAlignment w:val="center"/>
              <w:rPr>
                <w:rFonts w:ascii="Times New Roman Bold" w:hAnsi="Times New Roman Bold" w:eastAsia="宋体" w:cs="Times New Roman Bold"/>
                <w:b/>
                <w:bCs/>
                <w:color w:val="000000"/>
                <w:sz w:val="28"/>
                <w:szCs w:val="28"/>
              </w:rPr>
            </w:pPr>
            <w:r>
              <w:rPr>
                <w:rFonts w:ascii="Times New Roman Bold" w:hAnsi="Times New Roman Bold" w:eastAsia="宋体" w:cs="Times New Roman Bold"/>
                <w:b/>
                <w:bCs/>
                <w:color w:val="000000"/>
                <w:kern w:val="0"/>
                <w:sz w:val="28"/>
                <w:szCs w:val="28"/>
                <w:lang w:bidi="ar"/>
              </w:rPr>
              <w:t>OS</w:t>
            </w:r>
          </w:p>
        </w:tc>
        <w:tc>
          <w:tcPr>
            <w:tcW w:w="737" w:type="dxa"/>
            <w:tcBorders>
              <w:top w:val="single" w:color="auto" w:sz="4" w:space="0"/>
              <w:bottom w:val="single" w:color="auto" w:sz="4" w:space="0"/>
            </w:tcBorders>
            <w:shd w:val="clear" w:color="auto" w:fill="auto"/>
            <w:vAlign w:val="center"/>
          </w:tcPr>
          <w:p>
            <w:pPr>
              <w:widowControl/>
              <w:snapToGrid w:val="0"/>
              <w:jc w:val="center"/>
              <w:textAlignment w:val="center"/>
              <w:rPr>
                <w:rFonts w:ascii="Times New Roman Bold" w:hAnsi="Times New Roman Bold" w:eastAsia="宋体" w:cs="Times New Roman Bold"/>
                <w:b/>
                <w:bCs/>
                <w:color w:val="000000"/>
                <w:sz w:val="28"/>
                <w:szCs w:val="28"/>
              </w:rPr>
            </w:pPr>
            <w:r>
              <w:rPr>
                <w:rFonts w:ascii="Times New Roman Bold" w:hAnsi="Times New Roman Bold" w:eastAsia="宋体" w:cs="Times New Roman Bold"/>
                <w:b/>
                <w:bCs/>
                <w:color w:val="000000"/>
                <w:kern w:val="0"/>
                <w:sz w:val="28"/>
                <w:szCs w:val="28"/>
                <w:lang w:bidi="ar"/>
              </w:rPr>
              <w:t>Stage</w:t>
            </w:r>
          </w:p>
        </w:tc>
        <w:tc>
          <w:tcPr>
            <w:tcW w:w="737" w:type="dxa"/>
            <w:tcBorders>
              <w:top w:val="single" w:color="auto" w:sz="4" w:space="0"/>
              <w:bottom w:val="single" w:color="auto" w:sz="4" w:space="0"/>
            </w:tcBorders>
            <w:shd w:val="clear" w:color="auto" w:fill="auto"/>
            <w:vAlign w:val="center"/>
          </w:tcPr>
          <w:p>
            <w:pPr>
              <w:widowControl/>
              <w:snapToGrid w:val="0"/>
              <w:jc w:val="center"/>
              <w:textAlignment w:val="center"/>
              <w:rPr>
                <w:rFonts w:ascii="Times New Roman Bold" w:hAnsi="Times New Roman Bold" w:eastAsia="宋体" w:cs="Times New Roman Bold"/>
                <w:b/>
                <w:bCs/>
                <w:color w:val="000000"/>
                <w:sz w:val="28"/>
                <w:szCs w:val="28"/>
              </w:rPr>
            </w:pPr>
            <w:r>
              <w:rPr>
                <w:rFonts w:ascii="Times New Roman Bold" w:hAnsi="Times New Roman Bold" w:eastAsia="宋体" w:cs="Times New Roman Bold"/>
                <w:b/>
                <w:bCs/>
                <w:color w:val="000000"/>
                <w:kern w:val="0"/>
                <w:sz w:val="28"/>
                <w:szCs w:val="28"/>
                <w:lang w:bidi="ar"/>
              </w:rPr>
              <w:t>TNM</w:t>
            </w:r>
          </w:p>
        </w:tc>
        <w:tc>
          <w:tcPr>
            <w:tcW w:w="695" w:type="dxa"/>
            <w:tcBorders>
              <w:top w:val="single" w:color="auto" w:sz="4" w:space="0"/>
              <w:bottom w:val="single" w:color="auto" w:sz="4" w:space="0"/>
            </w:tcBorders>
            <w:shd w:val="clear" w:color="auto" w:fill="auto"/>
            <w:vAlign w:val="center"/>
          </w:tcPr>
          <w:p>
            <w:pPr>
              <w:widowControl/>
              <w:snapToGrid w:val="0"/>
              <w:jc w:val="center"/>
              <w:textAlignment w:val="center"/>
              <w:rPr>
                <w:rFonts w:ascii="Times New Roman Bold" w:hAnsi="Times New Roman Bold" w:eastAsia="宋体" w:cs="Times New Roman Bold"/>
                <w:b/>
                <w:bCs/>
                <w:color w:val="000000"/>
                <w:sz w:val="28"/>
                <w:szCs w:val="28"/>
              </w:rPr>
            </w:pPr>
            <w:r>
              <w:rPr>
                <w:rFonts w:ascii="Times New Roman Bold" w:hAnsi="Times New Roman Bold" w:eastAsia="宋体" w:cs="Times New Roman Bold"/>
                <w:b/>
                <w:bCs/>
                <w:color w:val="000000"/>
                <w:kern w:val="0"/>
                <w:sz w:val="28"/>
                <w:szCs w:val="28"/>
                <w:lang w:bidi="ar"/>
              </w:rPr>
              <w:t>Age</w:t>
            </w:r>
          </w:p>
        </w:tc>
        <w:tc>
          <w:tcPr>
            <w:tcW w:w="1041" w:type="dxa"/>
            <w:tcBorders>
              <w:top w:val="single" w:color="auto" w:sz="4" w:space="0"/>
              <w:bottom w:val="single" w:color="auto" w:sz="4" w:space="0"/>
            </w:tcBorders>
            <w:shd w:val="clear" w:color="auto" w:fill="auto"/>
            <w:vAlign w:val="center"/>
          </w:tcPr>
          <w:p>
            <w:pPr>
              <w:widowControl/>
              <w:snapToGrid w:val="0"/>
              <w:jc w:val="center"/>
              <w:textAlignment w:val="center"/>
              <w:rPr>
                <w:rFonts w:ascii="Times New Roman Bold" w:hAnsi="Times New Roman Bold" w:eastAsia="宋体" w:cs="Times New Roman Bold"/>
                <w:b/>
                <w:bCs/>
                <w:color w:val="000000"/>
                <w:sz w:val="28"/>
                <w:szCs w:val="28"/>
              </w:rPr>
            </w:pPr>
            <w:r>
              <w:rPr>
                <w:rFonts w:ascii="Times New Roman Bold" w:hAnsi="Times New Roman Bold" w:eastAsia="宋体" w:cs="Times New Roman Bold"/>
                <w:b/>
                <w:bCs/>
                <w:color w:val="000000"/>
                <w:kern w:val="0"/>
                <w:sz w:val="28"/>
                <w:szCs w:val="28"/>
                <w:lang w:bidi="ar"/>
              </w:rPr>
              <w:t>Necrosis</w:t>
            </w:r>
          </w:p>
        </w:tc>
        <w:tc>
          <w:tcPr>
            <w:tcW w:w="890" w:type="dxa"/>
            <w:tcBorders>
              <w:top w:val="single" w:color="auto" w:sz="4" w:space="0"/>
              <w:bottom w:val="single" w:color="auto" w:sz="4" w:space="0"/>
            </w:tcBorders>
            <w:shd w:val="clear" w:color="auto" w:fill="auto"/>
            <w:vAlign w:val="center"/>
          </w:tcPr>
          <w:p>
            <w:pPr>
              <w:widowControl/>
              <w:snapToGrid w:val="0"/>
              <w:jc w:val="center"/>
              <w:textAlignment w:val="center"/>
              <w:rPr>
                <w:rFonts w:ascii="Times New Roman Bold" w:hAnsi="Times New Roman Bold" w:eastAsia="宋体" w:cs="Times New Roman Bold"/>
                <w:b/>
                <w:bCs/>
                <w:color w:val="000000"/>
                <w:sz w:val="28"/>
                <w:szCs w:val="28"/>
              </w:rPr>
            </w:pPr>
            <w:r>
              <w:rPr>
                <w:rFonts w:ascii="Times New Roman Bold" w:hAnsi="Times New Roman Bold" w:eastAsia="宋体" w:cs="Times New Roman Bold"/>
                <w:b/>
                <w:bCs/>
                <w:color w:val="000000"/>
                <w:kern w:val="0"/>
                <w:sz w:val="28"/>
                <w:szCs w:val="28"/>
                <w:lang w:bidi="ar"/>
              </w:rPr>
              <w:t>Nuclei</w:t>
            </w:r>
          </w:p>
        </w:tc>
        <w:tc>
          <w:tcPr>
            <w:tcW w:w="1664" w:type="dxa"/>
            <w:tcBorders>
              <w:top w:val="single" w:color="auto" w:sz="4" w:space="0"/>
              <w:bottom w:val="single" w:color="auto" w:sz="4" w:space="0"/>
            </w:tcBorders>
            <w:shd w:val="clear" w:color="auto" w:fill="auto"/>
            <w:vAlign w:val="center"/>
          </w:tcPr>
          <w:p>
            <w:pPr>
              <w:widowControl/>
              <w:tabs>
                <w:tab w:val="left" w:pos="1260"/>
              </w:tabs>
              <w:snapToGrid w:val="0"/>
              <w:ind w:right="-109" w:rightChars="-52"/>
              <w:jc w:val="center"/>
              <w:textAlignment w:val="center"/>
              <w:rPr>
                <w:rFonts w:ascii="Times New Roman Bold" w:hAnsi="Times New Roman Bold" w:eastAsia="宋体" w:cs="Times New Roman Bold"/>
                <w:b/>
                <w:bCs/>
                <w:color w:val="000000"/>
                <w:sz w:val="28"/>
                <w:szCs w:val="28"/>
              </w:rPr>
            </w:pPr>
            <w:r>
              <w:rPr>
                <w:rFonts w:ascii="Times New Roman Bold" w:hAnsi="Times New Roman Bold" w:eastAsia="宋体" w:cs="Times New Roman Bold"/>
                <w:b/>
                <w:bCs/>
                <w:color w:val="000000"/>
                <w:kern w:val="0"/>
                <w:sz w:val="28"/>
                <w:szCs w:val="28"/>
                <w:lang w:bidi="ar"/>
              </w:rPr>
              <w:t>Tumor_Cell</w:t>
            </w:r>
          </w:p>
        </w:tc>
        <w:tc>
          <w:tcPr>
            <w:tcW w:w="1882" w:type="dxa"/>
            <w:gridSpan w:val="3"/>
            <w:tcBorders>
              <w:top w:val="single" w:color="auto" w:sz="4" w:space="0"/>
              <w:bottom w:val="single" w:color="auto" w:sz="4" w:space="0"/>
            </w:tcBorders>
            <w:shd w:val="clear" w:color="auto" w:fill="auto"/>
            <w:vAlign w:val="center"/>
          </w:tcPr>
          <w:p>
            <w:pPr>
              <w:widowControl/>
              <w:snapToGrid w:val="0"/>
              <w:jc w:val="center"/>
              <w:textAlignment w:val="center"/>
              <w:rPr>
                <w:rFonts w:ascii="Times New Roman Bold" w:hAnsi="Times New Roman Bold" w:eastAsia="宋体" w:cs="Times New Roman Bold"/>
                <w:b/>
                <w:bCs/>
                <w:color w:val="000000"/>
                <w:sz w:val="28"/>
                <w:szCs w:val="28"/>
              </w:rPr>
            </w:pPr>
            <w:r>
              <w:rPr>
                <w:rFonts w:ascii="Times New Roman Bold" w:hAnsi="Times New Roman Bold" w:eastAsia="宋体" w:cs="Times New Roman Bold"/>
                <w:b/>
                <w:bCs/>
                <w:color w:val="000000"/>
                <w:kern w:val="0"/>
                <w:sz w:val="28"/>
                <w:szCs w:val="28"/>
                <w:lang w:bidi="ar"/>
              </w:rPr>
              <w:t>Tumor_Weight</w:t>
            </w:r>
          </w:p>
        </w:tc>
        <w:tc>
          <w:tcPr>
            <w:tcW w:w="341" w:type="dxa"/>
            <w:tcBorders>
              <w:bottom w:val="single" w:color="auto" w:sz="4" w:space="0"/>
            </w:tcBorders>
            <w:shd w:val="clear" w:color="auto" w:fill="auto"/>
            <w:vAlign w:val="center"/>
          </w:tcPr>
          <w:p>
            <w:pPr>
              <w:widowControl/>
              <w:snapToGrid w:val="0"/>
              <w:jc w:val="center"/>
              <w:rPr>
                <w:rFonts w:ascii="Times New Roman Bold" w:hAnsi="Times New Roman Bold" w:eastAsia="宋体" w:cs="Times New Roman Bold"/>
                <w:b/>
                <w:bCs/>
                <w:color w:val="000000"/>
                <w:sz w:val="28"/>
                <w:szCs w:val="28"/>
              </w:rPr>
            </w:pPr>
          </w:p>
        </w:tc>
        <w:tc>
          <w:tcPr>
            <w:tcW w:w="1026" w:type="dxa"/>
            <w:tcBorders>
              <w:top w:val="single" w:color="auto" w:sz="4" w:space="0"/>
              <w:bottom w:val="single" w:color="auto" w:sz="4" w:space="0"/>
            </w:tcBorders>
            <w:shd w:val="clear" w:color="auto" w:fill="auto"/>
            <w:vAlign w:val="center"/>
          </w:tcPr>
          <w:p>
            <w:pPr>
              <w:widowControl/>
              <w:snapToGrid w:val="0"/>
              <w:jc w:val="center"/>
              <w:textAlignment w:val="center"/>
              <w:rPr>
                <w:rFonts w:ascii="Times New Roman Bold" w:hAnsi="Times New Roman Bold" w:eastAsia="宋体" w:cs="Times New Roman Bold"/>
                <w:b/>
                <w:bCs/>
                <w:color w:val="000000"/>
                <w:sz w:val="28"/>
                <w:szCs w:val="28"/>
              </w:rPr>
            </w:pPr>
            <w:r>
              <w:rPr>
                <w:rFonts w:ascii="Times New Roman Bold" w:hAnsi="Times New Roman Bold" w:eastAsia="宋体" w:cs="Times New Roman Bold"/>
                <w:b/>
                <w:bCs/>
                <w:color w:val="000000"/>
                <w:kern w:val="0"/>
                <w:sz w:val="28"/>
                <w:szCs w:val="28"/>
                <w:lang w:bidi="ar"/>
              </w:rPr>
              <w:t>OS</w:t>
            </w:r>
          </w:p>
        </w:tc>
        <w:tc>
          <w:tcPr>
            <w:tcW w:w="1947" w:type="dxa"/>
            <w:tcBorders>
              <w:top w:val="single" w:color="auto" w:sz="4" w:space="0"/>
              <w:bottom w:val="single" w:color="auto" w:sz="4" w:space="0"/>
            </w:tcBorders>
            <w:shd w:val="clear" w:color="auto" w:fill="auto"/>
            <w:vAlign w:val="center"/>
          </w:tcPr>
          <w:p>
            <w:pPr>
              <w:widowControl/>
              <w:snapToGrid w:val="0"/>
              <w:ind w:firstLine="701" w:firstLineChars="250"/>
              <w:textAlignment w:val="center"/>
              <w:rPr>
                <w:rFonts w:ascii="Times New Roman Bold" w:hAnsi="Times New Roman Bold" w:eastAsia="宋体" w:cs="Times New Roman Bold"/>
                <w:b/>
                <w:bCs/>
                <w:color w:val="000000"/>
                <w:sz w:val="28"/>
                <w:szCs w:val="28"/>
              </w:rPr>
            </w:pPr>
            <w:r>
              <w:rPr>
                <w:rFonts w:ascii="Times New Roman Bold" w:hAnsi="Times New Roman Bold" w:eastAsia="宋体" w:cs="Times New Roman Bold"/>
                <w:b/>
                <w:bCs/>
                <w:color w:val="000000"/>
                <w:kern w:val="0"/>
                <w:sz w:val="28"/>
                <w:szCs w:val="28"/>
                <w:lang w:bidi="ar"/>
              </w:rPr>
              <w:t>DFS</w:t>
            </w:r>
          </w:p>
        </w:tc>
      </w:tr>
      <w:tr>
        <w:trPr>
          <w:trHeight w:val="285" w:hRule="atLeast"/>
        </w:trPr>
        <w:tc>
          <w:tcPr>
            <w:tcW w:w="1213" w:type="dxa"/>
            <w:tcBorders>
              <w:top w:val="single" w:color="auto" w:sz="4" w:space="0"/>
            </w:tcBorders>
            <w:shd w:val="clear" w:color="auto" w:fill="auto"/>
            <w:vAlign w:val="center"/>
          </w:tcPr>
          <w:p>
            <w:pPr>
              <w:widowControl/>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CLEC18B</w:t>
            </w:r>
          </w:p>
        </w:tc>
        <w:tc>
          <w:tcPr>
            <w:tcW w:w="960"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842"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37"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37"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695"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041"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890"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w:t>
            </w:r>
          </w:p>
        </w:tc>
        <w:tc>
          <w:tcPr>
            <w:tcW w:w="1664" w:type="dxa"/>
            <w:tcBorders>
              <w:top w:val="single" w:color="auto" w:sz="4" w:space="0"/>
            </w:tcBorders>
            <w:shd w:val="clear" w:color="auto" w:fill="auto"/>
            <w:vAlign w:val="center"/>
          </w:tcPr>
          <w:p>
            <w:pPr>
              <w:widowControl/>
              <w:ind w:right="-109" w:rightChars="-52"/>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w:t>
            </w:r>
          </w:p>
        </w:tc>
        <w:tc>
          <w:tcPr>
            <w:tcW w:w="1882" w:type="dxa"/>
            <w:gridSpan w:val="3"/>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341" w:type="dxa"/>
            <w:tcBorders>
              <w:top w:val="single" w:color="auto" w:sz="4" w:space="0"/>
            </w:tcBorders>
            <w:shd w:val="clear" w:color="auto" w:fill="auto"/>
            <w:vAlign w:val="center"/>
          </w:tcPr>
          <w:p>
            <w:pPr>
              <w:jc w:val="center"/>
              <w:rPr>
                <w:rFonts w:ascii="Times New Roman" w:hAnsi="Times New Roman" w:eastAsia="宋体" w:cs="Times New Roman"/>
                <w:color w:val="000000"/>
                <w:sz w:val="28"/>
                <w:szCs w:val="28"/>
              </w:rPr>
            </w:pPr>
          </w:p>
        </w:tc>
        <w:tc>
          <w:tcPr>
            <w:tcW w:w="1026"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947"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r>
      <w:tr>
        <w:trPr>
          <w:trHeight w:val="285" w:hRule="atLeast"/>
        </w:trPr>
        <w:tc>
          <w:tcPr>
            <w:tcW w:w="1213" w:type="dxa"/>
            <w:shd w:val="clear" w:color="auto" w:fill="auto"/>
            <w:vAlign w:val="center"/>
          </w:tcPr>
          <w:p>
            <w:pPr>
              <w:widowControl/>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COL21A1</w:t>
            </w:r>
          </w:p>
        </w:tc>
        <w:tc>
          <w:tcPr>
            <w:tcW w:w="960"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842"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37"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37"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695"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w:t>
            </w:r>
          </w:p>
        </w:tc>
        <w:tc>
          <w:tcPr>
            <w:tcW w:w="1041"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w:t>
            </w:r>
          </w:p>
        </w:tc>
        <w:tc>
          <w:tcPr>
            <w:tcW w:w="890"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664" w:type="dxa"/>
            <w:shd w:val="clear" w:color="auto" w:fill="auto"/>
            <w:vAlign w:val="center"/>
          </w:tcPr>
          <w:p>
            <w:pPr>
              <w:widowControl/>
              <w:ind w:right="-109" w:rightChars="-52"/>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w:t>
            </w:r>
          </w:p>
        </w:tc>
        <w:tc>
          <w:tcPr>
            <w:tcW w:w="1882" w:type="dxa"/>
            <w:gridSpan w:val="3"/>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w:t>
            </w:r>
          </w:p>
        </w:tc>
        <w:tc>
          <w:tcPr>
            <w:tcW w:w="341" w:type="dxa"/>
            <w:shd w:val="clear" w:color="auto" w:fill="auto"/>
            <w:vAlign w:val="center"/>
          </w:tcPr>
          <w:p>
            <w:pPr>
              <w:jc w:val="center"/>
              <w:rPr>
                <w:rFonts w:ascii="Times New Roman" w:hAnsi="Times New Roman" w:eastAsia="宋体" w:cs="Times New Roman"/>
                <w:color w:val="000000"/>
                <w:sz w:val="28"/>
                <w:szCs w:val="28"/>
              </w:rPr>
            </w:pPr>
          </w:p>
        </w:tc>
        <w:tc>
          <w:tcPr>
            <w:tcW w:w="1026"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947"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r>
      <w:tr>
        <w:trPr>
          <w:trHeight w:val="285" w:hRule="atLeast"/>
        </w:trPr>
        <w:tc>
          <w:tcPr>
            <w:tcW w:w="1213" w:type="dxa"/>
            <w:shd w:val="clear" w:color="auto" w:fill="auto"/>
            <w:vAlign w:val="center"/>
          </w:tcPr>
          <w:p>
            <w:pPr>
              <w:widowControl/>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FGA</w:t>
            </w:r>
          </w:p>
        </w:tc>
        <w:tc>
          <w:tcPr>
            <w:tcW w:w="960"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w:t>
            </w:r>
          </w:p>
        </w:tc>
        <w:tc>
          <w:tcPr>
            <w:tcW w:w="842"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37"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w:t>
            </w:r>
          </w:p>
        </w:tc>
        <w:tc>
          <w:tcPr>
            <w:tcW w:w="737"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w:t>
            </w:r>
          </w:p>
        </w:tc>
        <w:tc>
          <w:tcPr>
            <w:tcW w:w="695"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041"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890"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664" w:type="dxa"/>
            <w:shd w:val="clear" w:color="auto" w:fill="auto"/>
            <w:vAlign w:val="center"/>
          </w:tcPr>
          <w:p>
            <w:pPr>
              <w:widowControl/>
              <w:ind w:right="-109" w:rightChars="-52"/>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882" w:type="dxa"/>
            <w:gridSpan w:val="3"/>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341" w:type="dxa"/>
            <w:shd w:val="clear" w:color="auto" w:fill="auto"/>
            <w:vAlign w:val="center"/>
          </w:tcPr>
          <w:p>
            <w:pPr>
              <w:jc w:val="center"/>
              <w:rPr>
                <w:rFonts w:ascii="Times New Roman" w:hAnsi="Times New Roman" w:eastAsia="宋体" w:cs="Times New Roman"/>
                <w:color w:val="000000"/>
                <w:sz w:val="28"/>
                <w:szCs w:val="28"/>
              </w:rPr>
            </w:pPr>
          </w:p>
        </w:tc>
        <w:tc>
          <w:tcPr>
            <w:tcW w:w="1026"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w:t>
            </w:r>
          </w:p>
        </w:tc>
        <w:tc>
          <w:tcPr>
            <w:tcW w:w="1947"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r>
      <w:tr>
        <w:trPr>
          <w:trHeight w:val="285" w:hRule="atLeast"/>
        </w:trPr>
        <w:tc>
          <w:tcPr>
            <w:tcW w:w="1213" w:type="dxa"/>
            <w:shd w:val="clear" w:color="auto" w:fill="auto"/>
            <w:vAlign w:val="center"/>
          </w:tcPr>
          <w:p>
            <w:pPr>
              <w:widowControl/>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KNG1</w:t>
            </w:r>
          </w:p>
        </w:tc>
        <w:tc>
          <w:tcPr>
            <w:tcW w:w="960"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842"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37"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w:t>
            </w:r>
          </w:p>
        </w:tc>
        <w:tc>
          <w:tcPr>
            <w:tcW w:w="737"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w:t>
            </w:r>
          </w:p>
        </w:tc>
        <w:tc>
          <w:tcPr>
            <w:tcW w:w="695"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041"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890"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664" w:type="dxa"/>
            <w:shd w:val="clear" w:color="auto" w:fill="auto"/>
            <w:vAlign w:val="center"/>
          </w:tcPr>
          <w:p>
            <w:pPr>
              <w:widowControl/>
              <w:ind w:right="-109" w:rightChars="-52"/>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882" w:type="dxa"/>
            <w:gridSpan w:val="3"/>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341" w:type="dxa"/>
            <w:shd w:val="clear" w:color="auto" w:fill="auto"/>
            <w:vAlign w:val="center"/>
          </w:tcPr>
          <w:p>
            <w:pPr>
              <w:jc w:val="center"/>
              <w:rPr>
                <w:rFonts w:ascii="Times New Roman" w:hAnsi="Times New Roman" w:eastAsia="宋体" w:cs="Times New Roman"/>
                <w:color w:val="000000"/>
                <w:sz w:val="28"/>
                <w:szCs w:val="28"/>
              </w:rPr>
            </w:pPr>
          </w:p>
        </w:tc>
        <w:tc>
          <w:tcPr>
            <w:tcW w:w="1026"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w:t>
            </w:r>
          </w:p>
        </w:tc>
        <w:tc>
          <w:tcPr>
            <w:tcW w:w="1947"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r>
      <w:tr>
        <w:trPr>
          <w:trHeight w:val="285" w:hRule="atLeast"/>
        </w:trPr>
        <w:tc>
          <w:tcPr>
            <w:tcW w:w="1213" w:type="dxa"/>
            <w:shd w:val="clear" w:color="auto" w:fill="auto"/>
            <w:vAlign w:val="center"/>
          </w:tcPr>
          <w:p>
            <w:pPr>
              <w:widowControl/>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REG3G</w:t>
            </w:r>
          </w:p>
        </w:tc>
        <w:tc>
          <w:tcPr>
            <w:tcW w:w="960"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842"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37"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w:t>
            </w:r>
          </w:p>
        </w:tc>
        <w:tc>
          <w:tcPr>
            <w:tcW w:w="737"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w:t>
            </w:r>
          </w:p>
        </w:tc>
        <w:tc>
          <w:tcPr>
            <w:tcW w:w="695"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041"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890"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664" w:type="dxa"/>
            <w:shd w:val="clear" w:color="auto" w:fill="auto"/>
            <w:vAlign w:val="center"/>
          </w:tcPr>
          <w:p>
            <w:pPr>
              <w:widowControl/>
              <w:ind w:right="-109" w:rightChars="-52"/>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882" w:type="dxa"/>
            <w:gridSpan w:val="3"/>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341" w:type="dxa"/>
            <w:shd w:val="clear" w:color="auto" w:fill="auto"/>
            <w:vAlign w:val="center"/>
          </w:tcPr>
          <w:p>
            <w:pPr>
              <w:jc w:val="center"/>
              <w:rPr>
                <w:rFonts w:ascii="Times New Roman" w:hAnsi="Times New Roman" w:eastAsia="宋体" w:cs="Times New Roman"/>
                <w:color w:val="000000"/>
                <w:sz w:val="28"/>
                <w:szCs w:val="28"/>
              </w:rPr>
            </w:pPr>
          </w:p>
        </w:tc>
        <w:tc>
          <w:tcPr>
            <w:tcW w:w="1026"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2</w:t>
            </w:r>
          </w:p>
        </w:tc>
        <w:tc>
          <w:tcPr>
            <w:tcW w:w="1947" w:type="dxa"/>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r>
      <w:tr>
        <w:trPr>
          <w:trHeight w:val="285" w:hRule="atLeast"/>
        </w:trPr>
        <w:tc>
          <w:tcPr>
            <w:tcW w:w="1213" w:type="dxa"/>
            <w:tcBorders>
              <w:bottom w:val="single" w:color="auto" w:sz="4" w:space="0"/>
            </w:tcBorders>
            <w:shd w:val="clear" w:color="auto" w:fill="auto"/>
            <w:vAlign w:val="center"/>
          </w:tcPr>
          <w:p>
            <w:pPr>
              <w:widowControl/>
              <w:jc w:val="left"/>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TG</w:t>
            </w:r>
          </w:p>
        </w:tc>
        <w:tc>
          <w:tcPr>
            <w:tcW w:w="960" w:type="dxa"/>
            <w:tcBorders>
              <w:bottom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w:t>
            </w:r>
          </w:p>
        </w:tc>
        <w:tc>
          <w:tcPr>
            <w:tcW w:w="842" w:type="dxa"/>
            <w:tcBorders>
              <w:bottom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737" w:type="dxa"/>
            <w:tcBorders>
              <w:bottom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w:t>
            </w:r>
          </w:p>
        </w:tc>
        <w:tc>
          <w:tcPr>
            <w:tcW w:w="737" w:type="dxa"/>
            <w:tcBorders>
              <w:bottom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w:t>
            </w:r>
          </w:p>
        </w:tc>
        <w:tc>
          <w:tcPr>
            <w:tcW w:w="695" w:type="dxa"/>
            <w:tcBorders>
              <w:bottom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041" w:type="dxa"/>
            <w:tcBorders>
              <w:bottom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890" w:type="dxa"/>
            <w:tcBorders>
              <w:bottom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1</w:t>
            </w:r>
          </w:p>
        </w:tc>
        <w:tc>
          <w:tcPr>
            <w:tcW w:w="1664" w:type="dxa"/>
            <w:tcBorders>
              <w:bottom w:val="single" w:color="auto" w:sz="4" w:space="0"/>
            </w:tcBorders>
            <w:shd w:val="clear" w:color="auto" w:fill="auto"/>
            <w:vAlign w:val="center"/>
          </w:tcPr>
          <w:p>
            <w:pPr>
              <w:widowControl/>
              <w:ind w:right="-109" w:rightChars="-52"/>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1882" w:type="dxa"/>
            <w:gridSpan w:val="3"/>
            <w:tcBorders>
              <w:bottom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c>
          <w:tcPr>
            <w:tcW w:w="341" w:type="dxa"/>
            <w:tcBorders>
              <w:bottom w:val="single" w:color="auto" w:sz="4" w:space="0"/>
            </w:tcBorders>
            <w:shd w:val="clear" w:color="auto" w:fill="auto"/>
            <w:vAlign w:val="center"/>
          </w:tcPr>
          <w:p>
            <w:pPr>
              <w:jc w:val="center"/>
              <w:rPr>
                <w:rFonts w:ascii="Times New Roman" w:hAnsi="Times New Roman" w:eastAsia="宋体" w:cs="Times New Roman"/>
                <w:color w:val="000000"/>
                <w:sz w:val="28"/>
                <w:szCs w:val="28"/>
              </w:rPr>
            </w:pPr>
          </w:p>
        </w:tc>
        <w:tc>
          <w:tcPr>
            <w:tcW w:w="1026" w:type="dxa"/>
            <w:tcBorders>
              <w:bottom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6</w:t>
            </w:r>
          </w:p>
        </w:tc>
        <w:tc>
          <w:tcPr>
            <w:tcW w:w="1947" w:type="dxa"/>
            <w:tcBorders>
              <w:bottom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sz w:val="28"/>
                <w:szCs w:val="28"/>
              </w:rPr>
            </w:pPr>
            <w:r>
              <w:rPr>
                <w:rFonts w:ascii="Times New Roman" w:hAnsi="Times New Roman" w:eastAsia="宋体" w:cs="Times New Roman"/>
                <w:color w:val="000000"/>
                <w:kern w:val="0"/>
                <w:sz w:val="28"/>
                <w:szCs w:val="28"/>
                <w:lang w:bidi="ar"/>
              </w:rPr>
              <w:t>0</w:t>
            </w:r>
          </w:p>
        </w:tc>
      </w:tr>
    </w:tbl>
    <w:p/>
    <w:p/>
    <w:p/>
    <w:p/>
    <w:p>
      <w:pPr>
        <w:sectPr>
          <w:pgSz w:w="16838" w:h="11906" w:orient="landscape"/>
          <w:pgMar w:top="1800" w:right="1440" w:bottom="1800" w:left="1440" w:header="851" w:footer="992" w:gutter="0"/>
          <w:cols w:space="425" w:num="1"/>
          <w:docGrid w:type="lines" w:linePitch="312" w:charSpace="0"/>
        </w:sectPr>
      </w:pPr>
    </w:p>
    <w:p>
      <w:pPr>
        <w:spacing w:line="360" w:lineRule="auto"/>
        <w:rPr>
          <w:rFonts w:ascii="Times New Roman" w:hAnsi="Times New Roman"/>
          <w:b/>
          <w:bCs/>
        </w:rPr>
      </w:pPr>
      <w:r>
        <w:rPr>
          <w:rFonts w:ascii="Times New Roman" w:hAnsi="Times New Roman" w:cs="Times New Roman"/>
          <w:b/>
          <w:bCs/>
          <w:sz w:val="28"/>
          <w:szCs w:val="28"/>
        </w:rPr>
        <w:t>Supplementary T</w:t>
      </w:r>
      <w:r>
        <w:rPr>
          <w:rFonts w:ascii="Times New Roman" w:hAnsi="Times New Roman"/>
          <w:b/>
          <w:bCs/>
          <w:sz w:val="28"/>
          <w:szCs w:val="28"/>
        </w:rPr>
        <w:t xml:space="preserve">able S4 Literature support for the 21 core secretome genes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1789"/>
        <w:gridCol w:w="4854"/>
        <w:gridCol w:w="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b/>
                <w:bCs/>
                <w:sz w:val="18"/>
                <w:szCs w:val="18"/>
              </w:rPr>
            </w:pPr>
            <w:r>
              <w:rPr>
                <w:rFonts w:ascii="Times New Roman" w:hAnsi="Times New Roman" w:cs="Times New Roman"/>
                <w:b/>
                <w:bCs/>
                <w:sz w:val="18"/>
                <w:szCs w:val="18"/>
              </w:rPr>
              <w:t>Name</w:t>
            </w:r>
          </w:p>
        </w:tc>
        <w:tc>
          <w:tcPr>
            <w:tcW w:w="1789" w:type="dxa"/>
            <w:shd w:val="clear" w:color="auto" w:fill="auto"/>
          </w:tcPr>
          <w:p>
            <w:pPr>
              <w:rPr>
                <w:rFonts w:ascii="Times New Roman" w:hAnsi="Times New Roman" w:cs="Times New Roman"/>
                <w:b/>
                <w:bCs/>
                <w:sz w:val="18"/>
                <w:szCs w:val="18"/>
              </w:rPr>
            </w:pPr>
            <w:r>
              <w:rPr>
                <w:rFonts w:ascii="Times New Roman" w:hAnsi="Times New Roman" w:cs="Times New Roman"/>
                <w:b/>
                <w:bCs/>
                <w:sz w:val="18"/>
                <w:szCs w:val="18"/>
              </w:rPr>
              <w:t>Cancer Type</w:t>
            </w:r>
          </w:p>
        </w:tc>
        <w:tc>
          <w:tcPr>
            <w:tcW w:w="4854" w:type="dxa"/>
            <w:shd w:val="clear" w:color="auto" w:fill="auto"/>
          </w:tcPr>
          <w:p>
            <w:pPr>
              <w:rPr>
                <w:rFonts w:ascii="Times New Roman" w:hAnsi="Times New Roman" w:cs="Times New Roman"/>
                <w:b/>
                <w:bCs/>
                <w:sz w:val="18"/>
                <w:szCs w:val="18"/>
              </w:rPr>
            </w:pPr>
            <w:r>
              <w:rPr>
                <w:rFonts w:ascii="Times New Roman" w:hAnsi="Times New Roman" w:cs="Times New Roman"/>
                <w:b/>
                <w:bCs/>
                <w:sz w:val="18"/>
                <w:szCs w:val="18"/>
              </w:rPr>
              <w:t>Note</w:t>
            </w:r>
          </w:p>
        </w:tc>
        <w:tc>
          <w:tcPr>
            <w:tcW w:w="710" w:type="dxa"/>
            <w:shd w:val="clear" w:color="auto" w:fill="auto"/>
          </w:tcPr>
          <w:p>
            <w:pPr>
              <w:rPr>
                <w:rFonts w:ascii="Times New Roman" w:hAnsi="Times New Roman" w:cs="Times New Roman"/>
                <w:b/>
                <w:bCs/>
                <w:sz w:val="18"/>
                <w:szCs w:val="18"/>
              </w:rPr>
            </w:pPr>
            <w:r>
              <w:rPr>
                <w:rFonts w:ascii="Times New Roman" w:hAnsi="Times New Roman" w:cs="Times New Roman"/>
                <w:b/>
                <w:bCs/>
                <w:sz w:val="18"/>
                <w:szCs w:val="18"/>
              </w:rPr>
              <w:t>Ref.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snapToGrid w:val="0"/>
              <w:rPr>
                <w:rFonts w:ascii="Times New Roman" w:hAnsi="Times New Roman" w:cs="Times New Roman"/>
                <w:sz w:val="16"/>
                <w:szCs w:val="16"/>
              </w:rPr>
            </w:pPr>
            <w:r>
              <w:rPr>
                <w:rFonts w:ascii="Times New Roman" w:hAnsi="Times New Roman" w:cs="Times New Roman"/>
                <w:sz w:val="16"/>
                <w:szCs w:val="16"/>
              </w:rPr>
              <w:t>A2M</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Lung squamous cell carcinoma</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The current study showed that CENPE, NCAPH, MYH11, LRRK2, HSD17B6, and A2M might be the key genes contributed to tumorigenesis or tumor progression in non-small cell lung cancer.</w:t>
            </w:r>
          </w:p>
        </w:tc>
        <w:tc>
          <w:tcPr>
            <w:tcW w:w="710" w:type="dxa"/>
            <w:shd w:val="clear" w:color="auto" w:fill="auto"/>
          </w:tcPr>
          <w:p>
            <w:pPr>
              <w:snapToGrid w:val="0"/>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{"citationID":"BrtXjciD","properties":{"formattedCitation":"\\super 1\\nosupersub{}","plainCitation":"1","noteIndex":0},"citationItems":[{"id":3100,"uris":["http://zotero.org/users/1985415/items/X969IYPM"],"uri":["http://zotero.org/users/1985415/items/X969IYPM"],"itemData":{"id":3100,"type":"article-journal","abstract":"Non-small-cell lung cancer (NSCLC) is one of the main causes of death induced by cancer globally. However, the molecular aberrations in NSCLC patients remain unclearly. In the present study, four messenger RNA microarray datasets (GSE18842, GSE40275, GSE43458, and GSE102287) were downloaded from the Gene Expression Omnibus (GEO) database. Differentially expressed genes (DEGs) between NSCLC tissues and adjacent lung tissues were obtained from GEO2R and the overlapping DEGs were identified. Moreover, functional and pathway enrichment were performed by Funrich, while the protein-protein interaction (PPI) network construction were obtained from STRING and hub genes were visualized and identified by Cytoscape software. Furthermore, validation, overall survival (OS) and tumor staging analysis of selected hub genes were performed by GEPIA. A total of 367 DEGs (95 upregulated and 272 downregulated) were obtained through gene integration analysis. The PPI network consisted of 94 nodes and 1036 edges in the upregulated DEGs and 272 nodes and 464 edges in the downregulated DEGs, respectively. The PPI network identified 46 upregulated and 27 downregulated hub genes among the DEGs, and six (such as CENPE, NCAPH, MYH11, LRRK2, HSD17B6, and A2M) of that have not been identified to be associated with NSCLC so far. Moreover, the expression differences of the mentioned hub genes were consistent with that in lung adenocarcinoma and lung squamous cell carcinoma in the TCGA database. Further analysis showed that all the six hub genes were associated with tumor staging except MYH11, while only the upregulated DEG CENPE was associated with the worse OS of patients with NSCLC. In conclusion, the current study showed that CENPE, NCAPH, MYH11, LRRK2, HSD17B6, and A2M might be the key genes contributed to tumorigenesis or tumor progression in NSCLC, further functional study is needed to explore the involved mechanisms.","container-title":"Journal of Cellular Physiology","DOI":"10.1002/jcp.28839","ISSN":"1097-4652","issue":"12","journalAbbreviation":"J Cell Physiol","language":"eng","note":"PMID: 31127628","page":"22742-22752","source":"PubMed","title":"Identification and validation of key genes associated with non-small-cell lung cancer","volume":"234","author":[{"family":"Ma","given":"Qiang"},{"family":"Xu","given":"Yuan"},{"family":"Liao","given":"Hebin"},{"family":"Cai","given":"Yan"},{"family":"Xu","given":"Lei"},{"family":"Xiao","given":"Dan"},{"family":"Liu","given":"Chang"},{"family":"Pu","given":"Wenjie"},{"family":"Zhong","given":"Xiaowu"},{"family":"Guo","given":"Xiaolan"}],"issued":{"date-parts":[["2019"]]}}}],"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1</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A2M</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Prostate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Sufficient Prostate‐Specific Antigen is produced in advanced prostate cancer to alter total A2M levels, and can degrade circulating peptide hormones.</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{"citationID":"0JMkQxim","properties":{"formattedCitation":"\\super 2\\nosupersub{}","plainCitation":"2","noteIndex":0},"citationItems":[{"id":3105,"uris":["http://zotero.org/users/1985415/items/G474G6TL"],"uri":["http://zotero.org/users/1985415/items/G474G6TL"],"itemData":{"id":3105,"type":"article-journal","abstract":"Background Prostate cancer cells produce high levels of the serine protease Prostate-Specific Antigen (PSA). PSA is enzymatically active in the tumor microenvironment but is presumed to be enzymatically inactive in the blood due to complex formation with serum protease inhibitors α-1-antichymotrypsin and α-2-macroglobulin (A2M). PSA-A2M complexes cannot be measured by standard ELISA assays and are also rapidly cleared from the circulation. Thus the exact magnitude of PSA production by prostate cancer cells is not easily measured. The PSA complexed to A2M is unable to cleave proteins but maintains the ability to cleave small peptide substrates. Thus, in advanced prostate cancer, sufficient PSA-A2M may be in circulation to effect total A2M levels, levels of cytokines bound to A2M and hydrolyze small circulating peptide hormones. Methods Total A2M levels in men with advanced prostate cancer and PSA levels above 1000 ng/mL were measured by ELISA and compared to controls. Additional ELISA assays were used to measure levels of IL-6 and TGF-beta which can bind to A2M. The ability of PSA-A2M complexes to hydrolyze protein and peptide substrates was analyzed ± PSA inhibitor. Enzymatic activity of PSA-A2M in serum of men with high PSA levels was also assayed. Results Serum A2M levels are inversely correlated with PSA levels in men with advanced prostate cancer. Il-6 Levels are significantly elevated in men with PSA &gt;1000 ng/mL compared to controls with PSA &lt;0.1 ng/mL. PSA-A2M complex in serum of men with PSA levels &gt;1000 ng/mL can hydrolyze small fluorescently labeled peptide substrates but not large proteins that are PSA substrates. PSA can hydrolyze small peptide hormones like PTHrP and osteocalcin. PSA complexed to A2M retains the ability to degrade PTHrP. Conclusions In advanced prostate cancer with PSA levels &gt;1000 ng/mL, sufficient PSA-A2M is present in circulation to produce enzymatic activity against circulating small peptide hormones. Sufficient PSA is produced in advanced prostate cancer to alter total A2M levels, which can potentially alter levels of a variety of growth factors such as IL-6, TGF-beta, basic FGF, and PDGF. Alterations in levels of these cytokines and proteolytic degradation of small peptide hormones may have profound effect on host-cancer interaction.","container-title":"The Prostate","DOI":"https://doi.org/10.1002/pros.23539","ISSN":"1097-0045","issue":"11","language":"en","note":"_eprint: https://onlinelibrary.wiley.com/doi/pdf/10.1002/pros.23539","page":"819-829","source":"Wiley Online Library","title":"PSA-alpha-2-macroglobulin complex is enzymatically active in the serum of patients with advanced prostate cancer and can degrade circulating peptide hormones","volume":"78","author":[{"family":"Kostova","given":"Maya B."},{"family":"Brennen","given":"William Nathaniel"},{"family":"Lopez","given":"David"},{"family":"Anthony","given":"Lizamma"},{"family":"Wang","given":"Hao"},{"family":"Platz","given":"Elizabeth"},{"family":"Denmeade","given":"Samuel R."}],"issued":{"date-parts":[["2018"]]}}}],"schema":"https://github.com/citation-style-language/schema/raw/master/csl-citation.json"}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2</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A2M</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Pancreatic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Three (MMP7, FOS and A2M) out of the seven predicted gene markers were found to encode proteins secreted into urine, providing potential diagnostic evidences for pancreatic cancer.</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{"citationID":"4zRVQwqP","properties":{"formattedCitation":"\\super 3\\nosupersub{}","plainCitation":"3","noteIndex":0},"citationItems":[{"id":3109,"uris":["http://zotero.org/users/1985415/items/GWJYEHBX"],"uri":["http://zotero.org/users/1985415/items/GWJYEHBX"],"itemData":{"id":3109,"type":"article-journal","abstract":"AIM: Pancreatic cancer is one of the worst malignant tumors in prognosis. Therefore, to reduce the mortality rate of pancreatic cancer, early diagnosis and prompt treatment are particularly important.\nRESULTS: We put forward a new feature-selection method that was used to find clinical markers for pancreatic cancer by combination of Support Vector Machine Recursive Feature Elimination (SVM-RFE) and Large Margin Distribution Machine Recursive Feature Elimination (LDM-RFE) algorithms. As a result, seven differentially expressed genes were predicted as specific biomarkers for pancreatic cancer because of their highest accuracy of classification on cancer and normal samples.\nCONCLUSION: Three (MMP7, FOS and A2M) out of the seven predicted gene markers were found to encode proteins secreted into urine, providing potential diagnostic evidences for pancreatic cancer.","container-title":"Biomarkers in Medicine","DOI":"10.2217/bmm-2018-0273","ISSN":"1752-0371","issue":"2","journalAbbreviation":"Biomark Med","language":"eng","note":"PMID: 30767554\nPMCID: PMC6737501","page":"105-121","source":"PubMed","title":"Pancreatic cancer biomarker detection by two support vector strategies for recursive feature elimination","volume":"13","author":[{"family":"Wang","given":"Yan"},{"family":"Liu","given":"Keke"},{"family":"Ma","given":"Qin"},{"family":"Tan","given":"Yongfei"},{"family":"Du","given":"Wei"},{"family":"Lv","given":"Yidan"},{"family":"Tian","given":"Yuan"},{"family":"Wang","given":"Hao"}],"issued":{"date-parts":[["2019"]]}}}],"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3</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A2M</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gastric adenocarcinoma</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Circulating A2M elevation may be implicated in the development of postoperative depression in these patients.</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{"citationID":"u2XbcGgp","properties":{"formattedCitation":"\\super 4\\nosupersub{}","plainCitation":"4","noteIndex":0},"citationItems":[{"id":3118,"uris":["http://zotero.org/users/1985415/items/RNLZMMMB"],"uri":["http://zotero.org/users/1985415/items/RNLZMMMB"],"itemData":{"id":3118,"type":"article-journal","abstract":"BACKGROUND: Although depression is a predominant health care problem, it is difficult to diagnose in patients who underwent abdominal cancer surgery. Relevance of elevated levels of serum of alpha-2-macroglobulin (A2M) to psychological depression has been recently suggested.\nPATIENTS AND METHODS: Serum A2M levels were measured and depression scores were determined by the Hospital Anxiety and Depression Scale before and 1 year after abdominal cancer surgery in 45 patients.\nRESULTS: Serum levels of A2M and depression scores were significantly (P = 0.0006, P = 0.0045, respectively) increased after total gastrectomy compared with preoperative values, whereas there was no interval change in both measurements of patients having colorectal resection. Of the patients who had undergone distal or total gastrectomy for gastric cancer, serum A2M concentrations in a depressed group were significantly higher (P = 0.028) than those in non-depressed group.\nCONCLUSIONS: Patients with total gastrectomy are predisposed to depression, and circulating A2M elevation may be implicated in the development of postoperative depression in these patients.","container-title":"The Journal of Surgical Research","DOI":"10.1016/s0022-4804(03)00194-x","ISSN":"0022-4804","issue":"1","journalAbbreviation":"J Surg Res","language":"eng","note":"PMID: 13678703","page":"90-94","source":"PubMed","title":"Circulating alpha-2-macroglobulin levels and depression scores in patients who underwent abdominal cancer surgery","volume":"114","author":[{"family":"Fujita","given":"Tetsuji"},{"family":"Nagayama","given":"Akira"},{"family":"Anazawa","given":"Sadao"}],"issued":{"date-parts":[["2003",9]]}}}],"schema":"https://github.com/citation-style-language/schema/raw/master/csl-citation.json"}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4</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A2M</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Breast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A2M modulates tumour cell adhesion, migration and growth by inhibition of tumour promoting signalling pathways.</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{"citationID":"qahr2EIj","properties":{"formattedCitation":"\\super 5\\nosupersub{}","plainCitation":"5","noteIndex":0},"citationItems":[{"id":3115,"uris":["http://zotero.org/users/1985415/items/36XCHPMW"],"uri":["http://zotero.org/users/1985415/items/36XCHPMW"],"itemData":{"id":3115,"type":"article-journal","abstract":"Cancer resistance is a major cause for longevity of the naked mole-rat. Recent liver transcriptome analysis in this animal compared to wild-derived mice revealed higher expression of alpha2-macroglobulin (A2M) and cell adhesion molecules, which contribute to the naked mole-rat's cancer resistance. Notably, A2M is known to dramatically decrease with age in humans. We hypothesize that this might facilitate tumour development. Here we found that A2M modulates tumour cell adhesion, migration and growth by inhibition of tumour promoting signalling pathways, e.g. PI3K / AKT, SMAD and up-regulated PTEN via down-regulation of miR-21, in vitro and in tumour xenografts. A2M increases the expression of CD29 and CD44 but did not evoke EMT. Transcriptome analysis of A2M-treated tumour cells, xenografts and mouse liver demonstrated a multifaceted regulation of tumour promoting signalling pathways indicating a less tumorigenic environment mediated by A2M. By virtue of these multiple actions the naturally occurring A2M has strong potential as a novel therapeutic agent.","container-title":"PloS One","DOI":"10.1371/journal.pone.0189514","ISSN":"1932-6203","issue":"12","journalAbbreviation":"PLoS One","language":"eng","note":"PMID: 29281661\nPMCID: PMC5744951","page":"e0189514","source":"PubMed","title":"The anti-tumorigenic activity of A2M-A lesson from the naked mole-rat","volume":"12","author":[{"family":"Kurz","given":"Susanne"},{"family":"Thieme","given":"René"},{"family":"Amberg","given":"Ronny"},{"family":"Groth","given":"Marco"},{"family":"Jahnke","given":"Heinz-Georg"},{"family":"Pieroh","given":"Philipp"},{"family":"Horn","given":"Lars-Christian"},{"family":"Kolb","given":"Marlen"},{"family":"Huse","given":"Klaus"},{"family":"Platzer","given":"Matthias"},{"family":"Volke","given":"Daniela"},{"family":"Dehghani","given":"Faramarz"},{"family":"Buzdin","given":"Anton"},{"family":"Engel","given":"Kathrin"},{"family":"Robitzki","given":"Andrea"},{"family":"Hoffmann","given":"Ralf"},{"family":"Gockel","given":"Ines"},{"family":"Birkenmeier","given":"Gerd"}],"issued":{"date-parts":[["2017"]]}}}],"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5</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A2M</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Gliomas</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α2-Macroglobulin Inhibits the Malignant Properties of Astrocytoma Cells by Impeding β-Catenin Signaling.</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{"citationID":"KwIvimYg","properties":{"formattedCitation":"\\super 6\\nosupersub{}","plainCitation":"6","noteIndex":0},"citationItems":[{"id":3120,"uris":["http://zotero.org/users/1985415/items/DC89WRB6"],"uri":["http://zotero.org/users/1985415/items/DC89WRB6"],"itemData":{"id":3120,"type":"article-journal","abstract":"Targets that could improve the treatment of brain tumors remain important to define. This study of a transformation-associated isoform of alpha2-macroglobulin (A2M*) and its interaction with the low-density lipoprotein receptor-related protein-1 (LRP1) suggests a new mechanism for abrogating the malignant potential of astrocytoma cells. LRP1 bound A2M* found to be associated with an inhibition of tumor cell proliferation, migration, invasion, spheroid formation, and anchorage-independent growth. Transcriptional studies implicated effects on the Wnt/beta-catenin signaling pathway. Notably, LRP1 antibodies could phenocopy the effects of A2M*. Our findings suggest a pathway of tumor suppression in astrocytoma that might be tractable to therapeutic exploitation.","container-title":"Cancer Research","DOI":"10.1158/0008-5472.CAN-09-1462","ISSN":"1538-7445","issue":"1","journalAbbreviation":"Cancer Res","language":"eng","note":"PMID: 20048078","page":"277-287","source":"PubMed","title":"Alpha2-macroglobulin inhibits the malignant properties of astrocytoma cells by impeding beta-catenin signaling","volume":"70","author":[{"family":"Lindner","given":"Inge"},{"family":"Hemdan","given":"Nasr Y. A."},{"family":"Buchold","given":"Martin"},{"family":"Huse","given":"Klaus"},{"family":"Bigl","given":"Marina"},{"family":"Oerlecke","given":"Ilka"},{"family":"Ricken","given":"Albert"},{"family":"Gaunitz","given":"Frank"},{"family":"Sack","given":"Ulrich"},{"family":"Naumann","given":"Andreas"},{"family":"Hollborn","given":"Margrit"},{"family":"Thal","given":"Dietmar"},{"family":"Gebhardt","given":"Rolf"},{"family":"Birkenmeier","given":"Gerd"}],"issued":{"date-parts":[["2010",1,1]]}}}],"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6</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ADAMTS12</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Colorectal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ADAMTS12 expression may be a good prognostic marker for colorectal cancer.</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{"citationID":"0CSXZbHh","properties":{"formattedCitation":"\\super 7\\nosupersub{}","plainCitation":"7","noteIndex":0},"citationItems":[{"id":3123,"uris":["http://zotero.org/users/1985415/items/K3ZLUBMQ"],"uri":["http://zotero.org/users/1985415/items/K3ZLUBMQ"],"itemData":{"id":3123,"type":"article-journal","abstract":"AIM: The aim of this study was to investigate the role of ADAMTS12 in colorectal cancer progression and to examine whether ADAMTS-12 can be considered as a prognostic indicator for colorectal cancer.\nMETHODS: This study was performed on formalin-fixed paraffin-embedded resected specimens obtained from 112 patients with colorectal cancer. The expression level of ADAMTS12 was investigated by immunohistochemical staining to assess the relationship between ADAMTS12 expression and the clinicopathologic factors and to study the prognostic significance of ADAMTS12 in colorectal cancer patients.\nRESULTS: ADAMTS12 expression was mainly localized in the fibroblasts adjacent to the tumor cells or in macrophages in front of the invasive cancer margins. The ADAMTS12 expression was significantly correlated with the tumor histological grade, depth of tumor invasion, lymph node metastasis, and Dukes' stage. Patients with low or no ADAMTS12 expression in the tumor stroma had a significantly poor overall survival or disease-free survival.\nCONCLUSION: The expression of ADAMTS12 in colorectal cancer stroma plays an important role in inhibiting tumor development. Patients with ADAMTS12 expression showed better prognosis than those without ADAMTS12 expression. Thus, ADAMTS12 expression may be a good prognostic marker for colorectal cancer.","container-title":"Digestive Diseases and Sciences","DOI":"10.1007/s10620-011-1723-x","ISSN":"1573-2568","issue":"11","journalAbbreviation":"Dig Dis Sci","language":"eng","note":"PMID: 21559743","page":"3281-3287","source":"PubMed","title":"Expression of ADAMTS12 in colorectal cancer-associated stroma prevents cancer development and is a good prognostic indicator of colorectal cancer","volume":"56","author":[{"family":"Wang","given":"Da"},{"family":"Zhu","given":"Tao"},{"family":"Zhang","given":"Fu-Biao"},{"family":"He","given":"Chao"}],"issued":{"date-parts":[["2011",11]]}}}],"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7</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ADAMTS12</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Breast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Concomitant detection of ADAMTS-12 and fibulin-2 could be a good prognosis marker in breast cancer diagnosis.</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{"citationID":"iJw955vk","properties":{"formattedCitation":"\\super 8\\nosupersub{}","plainCitation":"8","noteIndex":0},"citationItems":[{"id":3125,"uris":["http://zotero.org/users/1985415/items/NHE74EBP"],"uri":["http://zotero.org/users/1985415/items/NHE74EBP"],"itemData":{"id":3125,"type":"article-journal","abstract":"Balance between pro-tumor and anti-tumor effects may be affected by molecular interactions within tumor microenvironment. On this basis we searched for molecular partners of ADAMTS-12, a secreted metalloprotease that shows both oncogenic and tumor-suppressive effects. Using its spacer region as a bait in a yeast two-hybrid screen, we identified fibulin-2 as a potential ADAMTS-12-interacting protein. Fibulins are components of basement membranes and elastic matrix fibers in connective tissue. Besides this structural function, fibulins also play crucial roles in different biological events, including tumorigenesis. To examine the functional consequences of the ADAMTS-12/fibulin-2 interaction, we performed different in vitro assays using two breast cancer cell lines: the poorly invasive MCF-7 and the highly invasive MDA-MB-231. Overall our data indicate that this interaction promotes anti-tumor effects in breast cancer cells. To assess the in vivo relevance of this interaction, we induced tumors in nude mice using MCF-7 cells expressing both ADAMTS-12 and fibulin-2 that showed a remarkable growth deficiency. Additionally, we also found that ADAMTS-12 may elicit pro-tumor effects in the absence of fibulin-2. Immunohistochemical staining of breast cancer samples allowed the detection of both ADAMTS-12 and fibulin-2 in the connective tissue surrounding tumor area in less aggressive carcinomas. However, both proteins are hardly detected in more aggressive tumors. These data and survival analysis plots of breast cancer patients suggest that concomitant detection of ADAMTS-12 and fibulin-2 could be a good prognosis marker in breast cancer diagnosis.","container-title":"Oncotarget","DOI":"10.18632/oncotarget.1690","ISSN":"1949-2553","issue":"5","journalAbbreviation":"Oncotarget","language":"eng","note":"PMID: 24457941\nPMCID: PMC4012729","page":"1253-1264","source":"PubMed","title":"Interaction between the ADAMTS-12 metalloprotease and fibulin-2 induces tumor-suppressive effects in breast cancer cells","volume":"5","author":[{"family":"Fontanil","given":"Tania"},{"family":"Rúa","given":"Susana"},{"family":"Llamazares","given":"María"},{"family":"Moncada-Pazos","given":"Angela"},{"family":"Quirós","given":"Pedro M."},{"family":"García-Suárez","given":"Olivia"},{"family":"Vega","given":"Jose A."},{"family":"Sasaki","given":"Takako"},{"family":"Mohamedi","given":"Yamina"},{"family":"Esteban","given":"Manuel M."},{"family":"Obaya","given":"Alvaro J."},{"family":"Cal","given":"Santiago"}],"issued":{"date-parts":[["2014",3,15]]}}}],"schema":"https://github.com/citation-style-language/schema/raw/master/csl-citation.json"}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8</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ADAMTS12</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Gastric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The ADAMTS family (6, 7, 12, 15, and 18) of genes was closely related to the prognosis of GC, and their high expression levels were associated with poor prognosis and survival time.</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{"citationID":"dQAqfRHB","properties":{"formattedCitation":"\\super 9\\nosupersub{}","plainCitation":"9","noteIndex":0},"citationItems":[{"id":3130,"uris":["http://zotero.org/users/1985415/items/DJRSC62S"],"uri":["http://zotero.org/users/1985415/items/DJRSC62S"],"itemData":{"id":3130,"type":"article-journal","abstract":"The \"A Disintegrin and Metalloproteinase with Thrombospondin Motif\" (ADAMTS) family of genes is involved in the occurrence and development of different cancers. However, the prognostic value of these genes in gastric cancer (GC) has not been revealed. The present study was thus conducted to determine the prognostic value for the ADAMTS family of genes in GC. First, we evaluated the mRNA expression levels of the ADAMTS family in GC patients using a GEPIA dataset. Thereafter, we determined the prognostic value of these genes by analyzing their mRNA level using the Kaplan-Meier Plotter database. The mRNA expression level of ADAMTS12 was randomly validated by qRT-PCR and meta-analysis while its coexpression genes were derived using Coexpedia. Finally, we performed Gene Ontology (GO) annotation and Kyoto Encyclopedia of Genes and Genomes (KEGG) pathway enrichment analyses using the OmicShare Tools. Compared to normal tissues, expression of ADAMTS2 and 12 was significantly higher while that of ADAMTS1, 13, and 15 was significantly lower in GC tissues. According to the RNA-seq and gene chip data, the ADAMTS family (6, 7, 12, 15, and 18) of genes was closely related to the prognosis of GC, and their high expression levels were associated with poor prognosis and survival time. In addition, ADAMTS12 was highly expressed in 20 pairs of GC tissues based on RT-PCR (P=0.016) and meta-analysis (SMD: 0.73, 95% CI: 0.32-1.14, P &lt; 0.001). GO and KEGG pathway analyses indicated that the ADAMTS12 coexpressed genes were enriched in the pathways of extracellular matrix organization, extracellular matrix structural constituent, extracellular matrix, and protein digestion and absorption. Herein, we discovered the prognostic values and biological roles of the ADAMTS genes in GC.","container-title":"Journal of Oncology","DOI":"10.1155/2020/9431560","ISSN":"1687-8450","journalAbbreviation":"J Oncol","language":"eng","note":"PMID: 32884571\nPMCID: PMC7455834","page":"9431560","source":"PubMed","title":"Prognostic Values for the mRNA Expression of the ADAMTS Family of Genes in Gastric Cancer","volume":"2020","author":[{"family":"Liang","given":"Liang"},{"family":"Zhu","given":"Jin-Hui"},{"family":"Chen","given":"Gang"},{"family":"Qin","given":"Xin-Gan"},{"family":"Chen","given":"Jun-Qiang"}],"issued":{"date-parts":[["2020"]]}}}],"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9</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ADAMTS12</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Ovarian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Tumor levels of ADAM12 mRNA were also associated with shorter progression-free and overall survival as well as with lymphatic and vascular invasion, and residual tumor volume following cytoreductive surgery.</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{"citationID":"mJtpdPUV","properties":{"formattedCitation":"\\super 10\\nosupersub{}","plainCitation":"10","noteIndex":0},"citationItems":[{"id":3007,"uris":["http://zotero.org/users/1985415/items/8V4BYVR9"],"uri":["http://zotero.org/users/1985415/items/8V4BYVR9"],"itemData":{"id":3007,"type":"article-journal","abstract":"ADAM metallopeptidase domain 12 (ADAM12) is a promising biomarker because of its low expression in normal tissues and high expression in a variety of human cancers. However, ADAM12 levels in ovarian cancer have not been well characterized. We previously identified ADAM12 as one of the signature genes associated with poor survival in high-grade serous ovarian carcinoma (HGSOC). Here, we sought to determine if high levels of the ADAM12 protein and/or messenger RNA (mRNA) are associated with clinical variables in HGSOC. We show that high protein levels of ADAM12 in banked preoperative sera are associated with shorter progression-free and overall survival. Tumor levels of ADAM12 mRNA were also associated with shorter progression-free and overall survival as well as with lymphatic and vascular invasion, and residual tumor volume following cytoreductive surgery. The majority of genes co-expressed with ADAM12 in HGSOC were transforming growth factor (TGF)β signaling targets that function in collagen remodeling and cell-matrix adhesion. In tumor sections, the ADAM12 protein and mRNA were expressed in epithelial cancer cells and surrounding stromal cells. In vitro data showed that ADAM12 mRNA levels can be increased by TGFβ signaling and direct contact between epithelial and stromal cells. High tumor levels of ADAM12 mRNA were characteristic of the mesenchymal/desmoplastic molecular subtype of HGSOC, which is known to have the poorest prognosis. Thus, ADAM12 may be a useful biomarker of aggressive ovarian cancer for which standard treatment is not effective.","container-title":"Carcinogenesis","DOI":"10.1093/carcin/bgv059","ISSN":"1460-2180","issue":"7","journalAbbreviation":"Carcinogenesis","language":"eng","note":"PMID: 25926422","page":"739-747","source":"PubMed","title":"ADAM12 is a prognostic factor associated with an aggressive molecular subtype of high-grade serous ovarian carcinoma","volume":"36","author":[{"family":"Cheon","given":"Dong-Joo"},{"family":"Li","given":"Andrew J."},{"family":"Beach","given":"Jessica A."},{"family":"Walts","given":"Ann E."},{"family":"Tran","given":"Hang"},{"family":"Lester","given":"Jenny"},{"family":"Karlan","given":"Beth Y."},{"family":"Orsulic","given":"Sandra"}],"issued":{"date-parts":[["2015",7]]}}}],"schema":"https://github.com/citation-style-language/schema/raw/master/csl-citation.json"}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10</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AEBP1</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Gastric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AEBP1 might be served as a promising prognostic indicator and a potential therapeutic target in human gastric cancer.</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{"citationID":"xmEkkGlw","properties":{"formattedCitation":"\\super 11\\nosupersub{}","plainCitation":"11","noteIndex":0},"citationItems":[{"id":3136,"uris":["http://zotero.org/users/1985415/items/Y2XXYUJH"],"uri":["http://zotero.org/users/1985415/items/Y2XXYUJH"],"itemData":{"id":3136,"type":"article-journal","abstract":"Adipocyte enhancer binding protein 1 (AEBP1) is a transcriptional repressor that plays a critical role in regulating adipogenesis. Recent studies have indicated that AEBP1 might function as a candidate oncogene and is overexpressed in several human malignancies. However, the role of AEBP1 in gastric cancer (GC) remains largely unknown. This study aimed to investigate the expression pattern, prognostic significance and biological function of AEBP1 in human gastric cancer and to explore the underlying mechanism. We found that both the mRNA and protein levels of AEBP1 were significantly increased in human GC tissues. Elevated AEBP1 expression was significantly correlated with poor overall survival in patients with both early-stage (Tumor, Node, Metastases (TNM) TNM I and II) and late-stage (TNM III and IV) GC. Silencing AEBP1 markedly suppressed the proliferation, migration, invasion, metastasis and epithelial-mesenchymal transition of GC cells. Moreover, we demonstrated that knockdown of AEBP1 in GC cells led to inhibition of the NF-κB pathway by hampering the degradation of IκBα. Thus, AEBP1 might be served as a promising prognostic indicator and a potential therapeutic target in human GC.","container-title":"Scientific Reports","DOI":"10.1038/s41598-018-29878-6","ISSN":"2045-2322","issue":"1","journalAbbreviation":"Sci Rep","language":"eng","note":"PMID: 30097586\nPMCID: PMC6086860","page":"11955","source":"PubMed","title":"AEBP1 promotes epithelial-mesenchymal transition of gastric cancer cells by activating the NF-κB pathway and predicts poor outcome of the patients","volume":"8","author":[{"family":"Liu","given":"Jun-Yan"},{"family":"Jiang","given":"Lei"},{"family":"Liu","given":"Jia-Jia"},{"family":"He","given":"Tao"},{"family":"Cui","given":"You-Hong"},{"family":"Qian","given":"Feng"},{"family":"Yu","given":"Pei-Wu"}],"issued":{"date-parts":[["2018"]],"season":"10"}}}],"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11</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AEBP1</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colon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EBP1 silencing suppressed colon adenocarcinoma cell proliferation, migration, and invasion, whereas the upregulation of AEBP1 promoted these behaviors.</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{"citationID":"NoGLLH8w","properties":{"formattedCitation":"\\super 12\\nosupersub{}","plainCitation":"12","noteIndex":0},"citationItems":[{"id":3139,"uris":["http://zotero.org/users/1985415/items/4ZS459FW"],"uri":["http://zotero.org/users/1985415/items/4ZS459FW"],"itemData":{"id":3139,"type":"article-journal","abstract":"The abnormal expression of adipocyte enhancer binding protein 1 (AEBP1) has been implicated in the carcinogenesis and progression of various types of human tumors. However, the role of AEBP1 in colon adenocarcinoma (COAD) remains largely unelucidated. In this study, we explored the clinical significance and biological function of AEBP1 in COAD. We observed that AEBP1 was overexpressed in COAD tissues and cells and that the expression of AEBP1 was correlated with tumor size, the level of histologic differentiation, lymph node metastasis, and cancer stage in COAD patients. In addition, univariate and multivariate Cox regression analyses revealed that high AEBP1 expression suggested poor prognosis in COAD. Moreover, AEBP1 silencing suppressed COAD cell proliferation, migration, and invasion, whereas the upregulation of AEBP1 promoted these behaviors. Additionally, mechanistic studies further demonstrated that AEBP1 promoted COAD cell proliferation, migration, and invasion by upregulating the expression of matrix metalloproteinase-2, vimentin, and TWIST whereas downregulating that of E-cadherin through the nuclear factor-κB pathway. Collectively, these data indicated that AEBP1 may be a new prognostic factor and a potential gene therapy target in COAD.","container-title":"Molecular Carcinogenesis","DOI":"10.1002/mc.23066","ISSN":"1098-2744","issue":"10","journalAbbreviation":"Mol Carcinog","language":"eng","note":"PMID: 31219650","page":"1795-1808","source":"PubMed","title":"AEBP1, a prognostic indicator, promotes colon adenocarcinoma cell growth and metastasis through the NF-κB pathway","volume":"58","author":[{"family":"Xing","given":"Yanwei"},{"family":"Zhang","given":"Zhiqiang"},{"family":"Chi","given":"Fengxu"},{"family":"Zhou","given":"Yang"},{"family":"Ren","given":"Shuo"},{"family":"Zhao","given":"Zhiwei"},{"family":"Zhu","given":"Yuekun"},{"family":"Piao","given":"Daxun"}],"issued":{"date-parts":[["2019"]]}}}],"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12</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AEBP1</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Gliomas</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AEBP1 exerts its tumor-promoting effects by mainly activating mTOR pathway in Glioma.</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{"citationID":"zm6j6zqY","properties":{"formattedCitation":"\\super 13\\nosupersub{}","plainCitation":"13","noteIndex":0},"citationItems":[{"id":3141,"uris":["http://zotero.org/users/1985415/items/JTF88I3P"],"uri":["http://zotero.org/users/1985415/items/JTF88I3P"],"itemData":{"id":3141,"type":"article-journal","abstract":"BACKGROUND: Glioblastoma multiforme (GBM) is one of the most common malignant brain tumors and its average survival time is less than 1 year after diagnosis.\nRESULTS: Firstly, this study aims to develop the novel survival analysis algorithms to explore the key genes and proteins related to GBM. Then, we explore the significant correlation between AEBP1 upregulation and increased EGFR expression in primary glioma, and employ a glioma cell line LN229 to identify relevant proteins and molecular pathways through protein network analysis. Finally, we identify that AEBP1 exerts its tumor-promoting effects by mainly activating mTOR pathway in Glioma.\nCONCLUSIONS: We summarize the whole process of the experiment and discuss how to expand our experiment in the future.","container-title":"BMC bioinformatics","DOI":"10.1186/s12859-020-03674-4","ISSN":"1471-2105","issue":"Suppl 13","journalAbbreviation":"BMC Bioinformatics","language":"eng","note":"PMID: 32938364\nPMCID: PMC7646399","page":"383","source":"PubMed","title":"Developing the novel bioinformatics algorithms to systematically investigate the connections among survival time, key genes and proteins for Glioblastoma multiforme","volume":"21","author":[{"family":"You","given":"Yujie"},{"family":"Ru","given":"Xufang"},{"family":"Lei","given":"Wanjing"},{"family":"Li","given":"Tingting"},{"family":"Xiao","given":"Ming"},{"family":"Zheng","given":"Huiru"},{"family":"Chen","given":"Yujie"},{"family":"Zhang","given":"Le"}],"issued":{"date-parts":[["2020",9,17]]}}}],"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13</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COL12A1</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gastric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The results highlighted the importance of COL12A1 in gastric cancer and suggested its potential role as a candidate for clinical outcome prediction and targeted therapy in patients with gastric cancer</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{"citationID":"wO12Vr3S","properties":{"formattedCitation":"\\super 14\\nosupersub{}","plainCitation":"14","noteIndex":0},"citationItems":[{"id":3144,"uris":["http://zotero.org/users/1985415/items/BVYU8PCT"],"uri":["http://zotero.org/users/1985415/items/BVYU8PCT"],"itemData":{"id":3144,"type":"article-journal","abstract":"Dysregulation of collagen type XII α1 chain (COL12A1) has been found in several cancer types and could be involved in tumor progression. However, its clinical significance in gastric cancer (GC) remains under exploration. Online databases (Gene Expression Omnibus and UALCAN), reverse transcription‑quantitative PCR and immunohistochemistry were utilized in the present study to evaluate the expression of COL12A1 in GC tissues and cell lines. It was found that COL12A1 expression was notably upregulated in GC. Clinicopathological analysis showed that elevated COL12A1 expression was positively correlated with tumor invasiveness, metastasis and advanced clinical stage. The prognostic analysis suggested that high COL12A1 expression contributed to poor overall survival. Multivariate Cox analysis indicated that COL12A1 overexpression was a powerful independent prognostic indicator in patients with GC (hazard ratio, 1.896; 95% CI, 1.267‑2.837; P=0.002). The results highlighted the importance of COL12A1 in GC and suggested its potential role as a candidate for clinical outcome prediction and targeted therapy in patients with GC.","container-title":"Molecular Medicine Reports","DOI":"10.3892/mmr.2019.10548","ISSN":"1791-3004","issue":"4","journalAbbreviation":"Mol Med Rep","language":"eng","note":"PMID: 31432110\nPMCID: PMC6755194","page":"3103-3112","source":"PubMed","title":"COL12A1, a novel potential prognostic factor and therapeutic target in gastric cancer","volume":"20","author":[{"family":"Jiang","given":"Xiaoxia"},{"family":"Wu","given":"Mengjie"},{"family":"Xu","given":"Xin"},{"family":"Zhang","given":"Liwei"},{"family":"Huang","given":"Yingying"},{"family":"Xu","given":"Zhenzhen"},{"family":"He","given":"Kuifeng"},{"family":"Wang","given":"Haiyong"},{"family":"Wang","given":"Haohao"},{"family":"Teng","given":"Lisong"}],"issued":{"date-parts":[["2019",10]]}}}],"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14</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COL12A1</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Colorectal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COL12A1 might work as diagnostic, therapeutic, and prognostic biomarker for CRC in the future.</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{"citationID":"MqbaenaD","properties":{"formattedCitation":"\\super 15\\nosupersub{}","plainCitation":"15","noteIndex":0},"citationItems":[{"id":3147,"uris":["http://zotero.org/users/1985415/items/8JLT88GK"],"uri":["http://zotero.org/users/1985415/items/8JLT88GK"],"itemData":{"id":3147,"type":"article-journal","abstract":"The extracellular matrix (ECM) is reported to be involved in tumorigenesis and progression. Collagen IIX is a major ECM protein. Abnormal COL12A1 expression is associated with carcinogenesis of colorectal cancer (CRC), but its clinical value and function have not yet been analyzed. Expression, methylation, and survival were analyzed by using Oncomine, UNCLA, and GEPIA, while COL12A1 alterations and related functional networks were identified using cBioPortal. The gene ontology (GO) and Kyoto Encyclopedia of Genes and Genomes pathways（KEGG）of COL12A1 in CRC were explored using LinkOmics. Gene set enrichment analysis (GSEA) examined target networks of kinases, miRNAs, and transcription factors. We found that COL12A1 was overexpressed in CRC and the COL12A1 gene was often amplified in CRC. Survival analysis revealed that patients with higher COL12A1 expression had a poor prognosis. Expression of COL12A1 was linked to functional networks via regulating pathways involving focal adhesion, PI3K-Akt signaling pathway, and ECM-receptor interaction. Functional network analysis suggested that COL12A1 regulated integrin binding, collage binding, and extracellular matrix structural constituent via pathways involving some several cancer-related kinases, miRNAs, and transcription factor. Furthermore, other FACITs genes (COL1A2, COL3A1, COL5A1, COL5A2, and COL6A3) for ECM in correlation with COL12A1 were identified to be related with the prognosis in CRC. These results suggested that the distinct fibril-associated collagens with interrupted triple helices (FACITs) genes may serve as prognostic and therapeutic biomarkers of CRC in the future.","container-title":"Cancer Medicine","DOI":"10.1002/cam4.2899","ISSN":"2045-7634","issue":"13","journalAbbreviation":"Cancer Med","language":"eng","note":"PMID: 32356618\nPMCID: PMC7333847","page":"4743-4755","source":"PubMed","title":"Integrated bioinformatics analysis of expression and gene regulation network of COL12A1 in colorectal cancer","volume":"9","author":[{"family":"Wu","given":"Yibin"},{"family":"Xu","given":"Ye"}],"issued":{"date-parts":[["2020",7]]}}}],"schema":"https://github.com/citation-style-language/schema/raw/master/csl-citation.json"}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15</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COL15A1</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cervical carcinoma</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COL15A was found to suppress tumorigenesis in a dose- dependent manner in human cervical carcinoma cell line.</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{"citationID":"9GcGH8WU","properties":{"formattedCitation":"\\super 16\\nosupersub{}","plainCitation":"16","noteIndex":0},"citationItems":[{"id":3155,"uris":["http://zotero.org/users/1985415/items/UR3D8JPM"],"uri":["http://zotero.org/users/1985415/items/UR3D8JPM"],"itemData":{"id":3155,"type":"article-journal","abstract":"Suppression of tumorigenicity was first shown in hybrids produced by the fusion of a range of different highly malignant tumor cells with diploid fibroblasts. Cytogenetic analysis of these hybrids revealed that suppression involved a genetic region located in one specific chromosome donated to the hybrid cell by the fibroblast parent. The identity of the gene responsible for this dramatic effect has remained obscure. We now present strong evidence that the primary determinant is the gene specifying collagen XV, a proteoglycan closely associated with the basement membrane. We transfected a line of highly tumorigenic human cervical carcinoma cells with an expression vector carrying the full-length cDNA of the human collagen XV gene. We selected clones making various amounts of collagen XV, examined their growth in vitro, and tested their tumorigenicity in nude mice. High levels of collagen XV altered the growth properties of the cells in three-dimensional cultures. Moreover, we found that, in a dose-dependent manner, the production of collagen XV completely suppressed tumorigenicity in clones that synthesized this molecule at high levels. Immunohistologic studies suggest that suppression is associated with extracellular deposition of the proteoglycan at the cell periphery.","container-title":"Molecular cancer research: MCR","DOI":"10.1158/1541-7786.MCR-07-0200","ISSN":"1541-7786","issue":"12","journalAbbreviation":"Mol Cancer Res","language":"eng","note":"PMID: 18171981\nPMCID: PMC2822624","page":"1241-1245","source":"PubMed","title":"Complete suppression of tumor formation by high levels of basement membrane collagen","volume":"5","author":[{"family":"Harris","given":"Ann"},{"family":"Harris","given":"Henry"},{"family":"Hollingsworth","given":"Michael A."}],"issued":{"date-parts":[["2007",12]]}}}],"schema":"https://github.com/citation-style-language/schema/raw/master/csl-citation.json"}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16</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COL1A2</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Gastric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COL1A2 is a Novel Biomarker to Improve Clinical Prediction in Human Gastric Cancer.</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{"citationID":"fyplADTr","properties":{"formattedCitation":"\\super 17\\nosupersub{}","plainCitation":"17","noteIndex":0},"citationItems":[{"id":3158,"uris":["http://zotero.org/users/1985415/items/9695UFP2"],"uri":["http://zotero.org/users/1985415/items/9695UFP2"],"itemData":{"id":3158,"type":"article-journal","abstract":"Gastric cancer is the third most common cause of cancer-related death in worldwide. It is crucial to target the key genes controlling pathogenesis in the early stage of gastric cancer. This study describes an integrated bioinformatics to identify molecular biomarkers for gastric cancer in patients' cancer tissues. We reports differently expression genes in large gastric cancer cohorts from Gene Expression Ominus (GEO). Our findings revealed that 433 genes were significantly different expressed in human gastric cancer. Differently expression gene profile in gastric cancer was further validated by bioinformatic analyses, co-expression network construction. Based on the co-expression network and top-ranked genes, we identified collagen type I alpha 2 (COL1A2) which encodes the pro-alpha2 chain of type I collagen whose triple helix comprises two alpha1 chains and one alpha2 chain, was the key gene in a 37-gene network that modulates cell motility by interacting with the cytoskeleton. Furthermore, the prognostic role of COL1A2 was determined by use of immunohistochemistry on human gastric cancer tissue. COL1A2 was highly expressed in human gastric cancer as compared with normal gastric tissues. Statistical analysis showed COL1A2 expression level was significantly associated with histological type and lymph node status. However, there were no correlations between COL1A2 expression and age, lymph node numbers, tumor size, or clinical stage. In conclusion, the novel bioinformatics used in this study has led to identification of improving diagnostic biomarkers for human gastric cancer and could benefit further analyses of the key alteration during its progression.","container-title":"Pathology oncology research: POR","DOI":"10.1007/s12253-017-0223-5","ISSN":"1532-2807","issue":"1","journalAbbreviation":"Pathol Oncol Res","language":"eng","note":"PMID: 28401451","page":"129-134","source":"PubMed","title":"COL1A2 is a Novel Biomarker to Improve Clinical Prediction in Human Gastric Cancer: Integrating Bioinformatics and Meta-Analysis","title-short":"COL1A2 is a Novel Biomarker to Improve Clinical Prediction in Human Gastric Cancer","volume":"24","author":[{"family":"Rong","given":"Li"},{"family":"Huang","given":"Wei"},{"family":"Tian","given":"Shangkun"},{"family":"Chi","given":"Xiangbo"},{"family":"Zhao","given":"Pan"},{"family":"Liu","given":"Fengfeng"}],"issued":{"date-parts":[["2018",1]]}}}],"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17</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COL1A2</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Colorectal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COL1A2 as a novel tumor suppressor in colorectal cancer and provided a potential therapeutic approach to treat colorectal cancer.</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{"citationID":"9mztORai","properties":{"formattedCitation":"\\super 18\\nosupersub{}","plainCitation":"18","noteIndex":0},"citationItems":[{"id":3160,"uris":["http://zotero.org/users/1985415/items/E8IYH78Z"],"uri":["http://zotero.org/users/1985415/items/E8IYH78Z"],"itemData":{"id":3160,"type":"article-journal","abstract":"Purpose:\n                     Collagen type I alpha 2 chain (COL1A2) has been shown to participate in the development of various human malignancies. However, the role of COL1A2 in human colorectal cancer (CRC) remains unknown. This study investigated the expression pattern of COL1A2 in primary CRC tissues as well as the correlation of COL1A2 expression with clinicopathological features and prognosis of CRC. The function of COL1A2 in CRC cell proliferation, migration, and invasion as well as the possible mechanisms were also examined. \n                        Methods:\n                     Real-time PCR and immunohistochemical analysis were performed to determine the expression of COL1A2 in primary cancer tissues and adjacent normal tissues from CRC patients. A COL1A2-expressing lentiviral vector was transfected into CRC cells, and cell counting kit-8 and Transwell assays were used to explore the effects of COL1A2 on CRC cell proliferation, migration, and invasion. Microarray-based mRNA expression profile screening was performed to reveal the possible signaling pathways involved in COL1A2-regulated cell behaviors. \n                        Results:\n                     COL1A2 was significantly downregulated in primary CRC tissues. The mRNA levels of COL1A2 in CRC tissues were correlated with tumor differentiation, invasion, and lymph node metastasis. Overexpression of COL1A2 inhibited proliferation, migration, and invasion of CRC cell lines (SW480 and SW620). The microarray analysis showed that COL1A2 overexpression regulated numerous oncogenes and cancer-related signaling pathways. Among them, altered expression of ten representative cancer-related genes in these pathways were further confirmed by western blotting. \n                        Conclusions:\n                     Our study identified COL1A2 as a novel tumor suppressor in CRC and provided a potential therapeutic approach to treat CRC.","container-title":"Journal of Cancer","DOI":"10.7150/jca.25542","ISSN":"1837-9664","issue":"16","journalAbbreviation":"J Cancer","language":"eng","note":"PMID: 30123364\nPMCID: PMC6096367","page":"2953-2962","source":"PubMed","title":"The inhibitory effects of COL1A2 on colorectal cancer cell proliferation, migration, and invasion","volume":"9","author":[{"family":"Yu","given":"Yifan"},{"family":"Liu","given":"Dongliang"},{"family":"Liu","given":"Zhenghao"},{"family":"Li","given":"Shuqiang"},{"family":"Ge","given":"Yang"},{"family":"Sun","given":"Wei"},{"family":"Liu","given":"Baolin"}],"issued":{"date-parts":[["2018"]]}}}],"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18</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COL1A2</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Ovarian cancer</w:t>
            </w:r>
          </w:p>
        </w:tc>
        <w:tc>
          <w:tcPr>
            <w:tcW w:w="4854" w:type="dxa"/>
            <w:shd w:val="clear" w:color="auto" w:fill="auto"/>
          </w:tcPr>
          <w:p>
            <w:pPr>
              <w:rPr>
                <w:rFonts w:ascii="Times New Roman" w:hAnsi="Times New Roman" w:cs="Times New Roman"/>
                <w:sz w:val="16"/>
                <w:szCs w:val="16"/>
              </w:rPr>
            </w:pPr>
            <w:r>
              <w:rPr>
                <w:rFonts w:hint="eastAsia" w:ascii="Times New Roman" w:hAnsi="Times New Roman" w:cs="Times New Roman"/>
                <w:sz w:val="16"/>
                <w:szCs w:val="16"/>
              </w:rPr>
              <w:t>C</w:t>
            </w:r>
            <w:r>
              <w:rPr>
                <w:rFonts w:ascii="Times New Roman" w:hAnsi="Times New Roman" w:cs="Times New Roman"/>
                <w:sz w:val="16"/>
                <w:szCs w:val="16"/>
              </w:rPr>
              <w:t>ertain collagen genes, including COL11A1, COL1A1 and COL1A2, may also influence the metastasis of EOC through the ECM-receptor interaction and cell adhesion signaling pathways.</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{"citationID":"qlB29rlI","properties":{"formattedCitation":"\\super 19\\nosupersub{}","plainCitation":"19","noteIndex":0},"citationItems":[{"id":3319,"uris":["http://zotero.org/users/1985415/items/RADAQWS3"],"uri":["http://zotero.org/users/1985415/items/RADAQWS3"],"itemData":{"id":3319,"type":"article-journal","abstract":"Epithelial ovarian cancer (EOC) is a common cancer in women worldwide. The present study assessed effective biomarkers for the prognosis of EOC metastasis. The GSE30587 dataset, containing 9 EOC primary tumor samples and 9 matched omental metastasis samples, was analyzed. Following normalization, the differentially expressed genes (DEGs) between these samples were identified using the limma package for R. Subsequently, pathway enrichment analysis was performed using ClueGO, and a protein-protein interaction (PPI) network was constructed using the Search Tool for the Retrieval of Interacting Genes database. The microRNA (mRNA/miR)-target network was established using the multiMiR package. A set of 272 DEGs was identified in metastatic EOC samples, including 189 upregulated and 83 downregulated genes. Collagen type I α 1 chain (COL1A1), COL1A2, collagen type XI α 1 chain (COL11A1) and thrombospondin (THBS)1 were enriched in the phosphoinositide 3-kinase/protein kinase B (PI3K/Akt), focal adhesion and extracellular matrix (ECM)-receptor interaction signaling pathways. THBS1 and tissue inhibitor of metalloproteinase (TIMP)3 were two dominant nodes in the PPI network and were key in the miRNA-target network, being targeted by hsa-miR-1. Multiple DEGs and miRNAs were identified as potential biomarkers for the prognosis of EOC metastasis in the present study, which likely affected metastasis by regulating the PI3K/Akt, ECM-receptor interaction and cell adhesion signaling pathways. In addition, THBS1 and TIMP3 were identified as potential targets of hsa-miR-1.","container-title":"Oncology Letters","DOI":"10.3892/ol.2017.6707","ISSN":"1792-1074","issue":"4","journalAbbreviation":"Oncol Lett","note":"PMID: 28943904\nPMCID: PMC5604128","page":"3967-3974","source":"PubMed Central","title":"Identification of candidate biomarkers for epithelial ovarian cancer metastasis using microarray data","volume":"14","author":[{"family":"Li","given":"Su"},{"family":"Li","given":"Hua"},{"family":"Xu","given":"Ying"},{"family":"Lv","given":"Xiaomei"}],"issued":{"date-parts":[["2017",10]]}}}],"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19</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COL1A2</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Lung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COL1A1, COL1A2, COL3A1 and DCN could be regarded as novel potential biomarkers that predict progression from smokers to lung adenocarcinoma.</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{"citationID":"a1ckmokjimc","properties":{"formattedCitation":"\\super 20\\nosupersub{}","plainCitation":"20","noteIndex":0},"citationItems":[{"id":3322,"uris":["http://zotero.org/users/1985415/items/T3GSR85X"],"uri":["http://zotero.org/users/1985415/items/T3GSR85X"],"itemData":{"id":3322,"type":"webpage","abstract":"PDF | Background: To explore novel related genes and potential biomarkers that predict progression from smokers to lung adenocarcinoma (LA). Methods:... | Find, read and cite all the research you need on ResearchGate","container-title":"ResearchGate","language":"en","note":"DOI: 10.21203/rs.3.rs-76976/v1","title":"(PDF) COL1A1, COL1A2, COL3A1 and DCN are Potential Biomarkers to Predict Progression from Smokers to Suffering from Lung Adenocarcinoma","URL":"https://www.researchgate.net/publication/345845210_COL1A1_COL1A2_COL3A1_and_DCN_are_Potential_Biomarkers_to_Predict_Progression_from_Smokers_to_Suffering_from_Lung_Adenocarcinoma","accessed":{"date-parts":[["2020",12,29]]}}}],"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20</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COL1A2</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Breast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The combined studies highlight the importance of these osteogenic genes, COL1A1 and COL1A2, and their relationship to both breast cancer development and later spinal metastases.</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{"citationID":"a2arhng3q28","properties":{"formattedCitation":"\\super 21\\nosupersub{}","plainCitation":"21","noteIndex":0},"citationItems":[{"id":3325,"uris":["http://zotero.org/users/1985415/items/IET7XQTP"],"uri":["http://zotero.org/users/1985415/items/IET7XQTP"],"itemData":{"id":3325,"type":"article-journal","abstract":"OBJECTIVE: Bony metastasis predominantly affects the spinal column and has been commonly associated in patients with breast cancer. There are two types of lesions that can occur with spine cancer-osteolytic or osteoblastic. Some patients may have mixed lesions, which include lytic and blastic in one vertebra or lytic and blastic in different vertebrae. Previous studies have shown that patients with breast cancer have an increased likelihood for development of lytic spinal metastases.\nMETHODS: A retrospective chart review was conducted to more closely examine the association between hormone receptor status and spinal lesion type. A total of 195 patients were initially identified through the City of Hope Cancer Registry. Of the 195, only 153 patients had hormone receptor marker status available. Associations between spinal lesion and hormone receptor status were evaluated using χ(2) tests with alpha = 0.05 significance level. In a secondary analysis, the Oncomine Platform was used, which integrated The Cancer Genome Atlas (TCGA) datasets, to identify osteogenic genes that may be relevant to invasive breast cancers.\nRESULTS: Contrary to previous studies, our findings revealed progesterone receptor positive (PR+) patients were significantly more likely to present with blastic than lytic or mixed lesions. Furthermore, using TCGA analysis, COL1A1 and COL1A2 were found to be up-regulated, which could provide a molecular explanation for the development of blastic metastases.\nCONCLUSIONS: By integrating clinical and bioinformatic techniques, this study provides a novel discovery of the relationship between blastic and PR + breast cancers, which may have important implications for diagnostic strategies concerning vertebral metastases.","container-title":"World Neurosurgery","DOI":"10.1016/j.wneu.2015.07.068","ISSN":"1878-8769","journalAbbreviation":"World Neurosurg","language":"eng","note":"PMID: 26260940\nPMCID: PMC5513729","page":"42-48","source":"PubMed","title":"Influence of Hormone Receptor Status on Spinal Metastatic Lesions in Patients with Breast Cancer","volume":"85","author":[{"family":"Lin","given":"Jenny"},{"family":"Goldstein","given":"Leanne"},{"family":"Nesbit","given":"Amanda"},{"family":"Chen","given":"Mike Y."}],"issued":{"date-parts":[["2016",1]]}}}],"schema":"https://github.com/citation-style-language/schema/raw/master/csl-citation.json"}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21</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COL1A2</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Pancreatic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MiR-25-3p could suppress the expression of COL1A2 and inhibit the proliferation, migration and invasion of pancreatic cancercells which provided a new idea for the detection and treatment of pancreatic cancer.</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{"citationID":"1sMrAxyz","properties":{"formattedCitation":"\\super 22\\nosupersub{}","plainCitation":"22","noteIndex":0},"citationItems":[{"id":3166,"uris":["http://zotero.org/users/1985415/items/TU6T45WP"],"uri":["http://zotero.org/users/1985415/items/TU6T45WP"],"itemData":{"id":3166,"type":"article-journal","abstract":"This study aimed to identify genetic biomarkers in pancreatic cancer (PC) and explore its function in PC via a feature-base analysis of bioinformatics. OMIM and DisGeNET databases discovered 209 PC connected genes and then 516 connected genes were identified. We selected 29 genes according to optimal features and chose COL1A2, which had the highest expression, for the following experiment. The expression of COL1A2 was determined by qRT-PCR; cell proliferation was determined by MTT assay; migration and invasion after COL1A2 and miR-25-3p transfection was evaluated by Transwell assay. COL1A2 presented the highest expression in PC tissues, which was validated in functional experiments. MiR-25-3p suppressed the expression of COL1A2 in cell lines and inhibited migration, invasion and proliferation of PC cells. MiR-25-3p could suppress the expression of COL1A2 and inhibit the proliferation, migration and invasion of PC cells which provided a new idea for the detection and treatment of PC.","container-title":"Journal of Enzyme Inhibition and Medicinal Chemistry","DOI":"10.1080/14756366.2018.1484734","ISSN":"1475-6374","issue":"1","journalAbbreviation":"J Enzyme Inhib Med Chem","language":"eng","note":"PMID: 30734598\nPMCID: PMC6327995","page":"420-428","source":"PubMed","title":"A feature-based analysis identifies COL1A2 as a regulator in pancreatic cancer","volume":"34","author":[{"family":"Wu","given":"Jie"},{"family":"Liu","given":"Jing"},{"family":"Wei","given":"XiaoQing"},{"family":"Yu","given":"Qi"},{"family":"Niu","given":"XiangHuan"},{"family":"Tang","given":"ShuHong"},{"family":"Song","given":"Lei"}],"issued":{"date-parts":[["2019",12]]}}}],"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22</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COL1A2</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Head and Neck squamous cell carcinoma</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Hypermethylation of collagen α2 (I) gene (COL1A2) is an independent predictor of survival in head and neck cancer</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{"citationID":"j32AIth0","properties":{"formattedCitation":"\\super 23\\nosupersub{}","plainCitation":"23","noteIndex":0},"citationItems":[{"id":3163,"uris":["http://zotero.org/users/1985415/items/88JCFL3Q"],"uri":["http://zotero.org/users/1985415/items/88JCFL3Q"],"itemData":{"id":3163,"type":"article-journal","abstract":"OBJECTIVES: Collagen production plays a role in the development of tumors from cancer cells. The aim of the present study is to examine the involvement of epigenetic alteration of Collagen α2 (I) (COL1A2) gene expression in cases of head and neck squamous cell carcinoma (HNSCC).\nMETHODS: COL1A2 expression was examined in a panel of cell lines using RT-PCR. The methylation status of the COL1A2 promoter was studied using bisulfate sequencing and methylation-specific PCR (MSP).\nRESULTS: COL1A2 expression was absent in 6 of 11 (54.5%) UM-SCC cell lines, whereas three nonmalignant cell lines had stable expressions. MSP analysis showed that 46/98 (46.9%) contained methylated alleles. COL1A2 methylation was significantly correlated with tumor size (P = 0.041), lymph node status (P = 0.008), tumor stage (P = 0.011), H-cadherin methylation (P = 0.039) and disease-free survival (P = 0.005). On multivariate Cox proportional hazard regression, which included age, sex, smoking status, and alcohol exposure, both tumor stage and COL1A2 methylation remained independent prognostic factors.\nCONCLUSIONS: This study suggests that CpG hypermethylation is a likely mechanism of COL1A2 gene inactivation, supporting the hypothesis that the COL1A2 gene may play a role in the tumorigenesis of HNSCC and may serve as an important biomarker.","container-title":"Cancer Biomarkers: Section A of Disease Markers","DOI":"10.3233/CBM-2012-0242","ISSN":"1875-8592","issue":"3-4","journalAbbreviation":"Cancer Biomark","language":"eng","note":"PMID: 22674299","page":"135-144","source":"PubMed","title":"Hypermethylation of collagen α2 (I) gene (COL1A2) is an independent predictor of survival in head and neck cancer","volume":"10","author":[{"family":"Misawa","given":"Kiyoshi"},{"family":"Kanazawa","given":"Takeharu"},{"family":"Misawa","given":"Yuki"},{"family":"Imai","given":"Atsushi"},{"family":"Endo","given":"Shiori"},{"family":"Hakamada","given":"Katsura"},{"family":"Mineta","given":"Hiroyuki"}],"issued":{"date-parts":[["2011"]],"season":"2012"}}}],"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23</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COL24A1</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Hepatocellular carcinoma </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The overexpression of COL24A1 in hepatocellular carcinoma may help diagnose hepatocellular carcinoma and evaluate prognosis.</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{"citationID":"SFTj03Fi","properties":{"formattedCitation":"\\super 24\\nosupersub{}","plainCitation":"24","noteIndex":0},"citationItems":[{"id":3169,"uris":["http://zotero.org/users/1985415/items/IXJKIC8T"],"uri":["http://zotero.org/users/1985415/items/IXJKIC8T"],"itemData":{"id":3169,"type":"article-journal","abstract":"Purpose: Hepatocellular carcinoma (HCC) ranks as the second leading cause of cancer-related deaths worldwide and its incidence tends to increase globally. Current biomarkers can hardly reflect diagnostic significance and therapeutic efficiency accurately. The role of collagen 24A1 (COL24A1) in HCC, as a member of the collagen family, remains unclear and needs to be proved.\nMethods: HCC-associated RNA sequencing datasets were obtained from The Cancer Genome Atlas (TCGA), International Cancer Genome Consortium (ICGC) and Oncomine databases. R language was used to screen and analyze the differential expression genes (DEGs). Gene Ontology (GO) pathway analyses of DEGs were carried out using g:profiler. Then, the STRING database and cytoscape software were applied to estimate the correlations between DEGs. GEPIA and HCCDB database were used to verify and analyze these results. Finally, qPCR and immunohistochemistry staining on clinical samples and HCC cell lines were conducted to further verify the above results.\nResults: The expression of COL24A1 in HCC tissues was significantly higher than that in normal hepatic (NH) tissues. The analysis of TCGA and Oncomine database samples proved that COL24A1 expression was connected with tumor grade, tumor stage and pathologic stage. Meanwhile, the overall survival (OS) curve also validated that high expression of COL24A1 indicated poor prognosis. And the above results have been verified in our clinical samples and HCC cell lines. Furthermore, there is a significant increase of the expression of COL24A1 in various tumors. COL24A1, together with other interactive proteins, has a significant effect on the prognosis of HCC.\nConclusion: Overall, COL24A1 may be an oncogene in the development of HCC. Also, the overexpression of COL24A1 in HCC may help diagnose HCC and evaluate prognosis.","container-title":"OncoTargets and Therapy","DOI":"10.2147/OTT.S247133","ISSN":"1178-6930","journalAbbreviation":"Onco Targets Ther","language":"eng","note":"PMID: 32308416\nPMCID: PMC7135145","page":"2819-2832","source":"PubMed","title":"Overexpression of COL24A1 in Hepatocellular Carcinoma Predicts Poor Prognosis: A Study Based on Multiple Databases, Clinical Samples and Cell Lines","title-short":"Overexpression of COL24A1 in Hepatocellular Carcinoma Predicts Poor Prognosis","volume":"13","author":[{"family":"Yan","given":"Long"},{"family":"Xu","given":"Feng"},{"family":"Dai","given":"Chaoliu"}],"issued":{"date-parts":[["2020"]]}}}],"schema":"https://github.com/citation-style-language/schema/raw/master/csl-citation.json"}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24</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COL24A1</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Head and Neck squamous cell carcinoma</w:t>
            </w:r>
          </w:p>
          <w:p>
            <w:pPr>
              <w:jc w:val="center"/>
              <w:rPr>
                <w:rFonts w:ascii="Times New Roman" w:hAnsi="Times New Roman" w:cs="Times New Roman"/>
                <w:sz w:val="16"/>
                <w:szCs w:val="16"/>
              </w:rPr>
            </w:pP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the upregulation of COL22A1 and COL24A1 mRNA may play a critical role in the progression of head and neck squamous cell carcinoma and provide useful information as a prognostic predictor for head and neck squamous cell carcinoma patients.</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{"citationID":"QarPH5v7","properties":{"formattedCitation":"\\super 25\\nosupersub{}","plainCitation":"25","noteIndex":0},"citationItems":[{"id":3172,"uris":["http://zotero.org/users/1985415/items/XHIDTQF7"],"uri":["http://zotero.org/users/1985415/items/XHIDTQF7"],"itemData":{"id":3172,"type":"article-journal","abstract":"Squamous cell carcinoma of the head and neck (HNSCC) is the sixth most common type of cancer, affecting ~500,000 individuals worldwide annually. Collagen is the major constituent of the extracellular matrix component in tumors and plays a crucial role in tumor development. The aim of this study was to determine the mRNA expression of type XXI, XXII, XXIII and XXIV α1 collagen (COL21A1, COL22A1, COL23A1 and COL24A1, respectively) in head and neck squamous cell carcinoma (HNSCC) and investigate its correlation with disease progression. This study investigated the mRNA expression levels of COL21A1, COL22A1, COL23A1 and COL24A1 in 70 HNSCC primary samples and 44 matched pairs of tumor and adjacent normal mucosal tissues using quantitative polymerase chain reaction (qPCR). Expression data were compared to the clinicopathological variables in order to determine the correlation between expression and disease progression. Our results demonstrated that the mRNA levels of COL22A1 and COL24A1 were significantly higher in HNSCC tissues compared to those in the corresponding normal tissues from the same individuals (n=44; P&lt;0.001 and P=0.019, respectively). The COL22A1 mRNA levels were found to be significantly associated with lymph node metastasis (P=0.018) and pathological stage (P=0.024), whereas the COL24A1 mRNA levels were significantly associated with tumor size (P=0.045). The high expression levels of COL22A1 and COL24A1 mRNA were statistically correlated with a decrease in disease-free survival (DFS) (log-rank test, P&lt;0.001). The results of the multivariate logistic regression analysis revealed that high expression levels of the COL22A1 and COL24A1 gene pair were associated with a high odds ratio for recurrence of 14.62 (95% confidence interval: 2.77-77.26; P=0.002). Therefore, the upregulation of COL22A1 and COL24A1 mRNA may play a critical role in the progression of HNSCC and provide useful information as a prognostic predictor for HNSCC patients.","container-title":"Molecular and Clinical Oncology","DOI":"10.3892/mco.2013.233","ISSN":"2049-9450","issue":"2","journalAbbreviation":"Mol Clin Oncol","language":"eng","note":"PMID: 24649348\nPMCID: PMC3917764","page":"285-291","source":"PubMed","title":"Prognostic value of type XXII and XXIV collagen mRNA expression in head and neck cancer patients","volume":"2","author":[{"family":"Misawa","given":"Kiyoshi"},{"family":"Kanazawa","given":"Takeharu"},{"family":"Imai","given":"Atsushi"},{"family":"Endo","given":"Shiori"},{"family":"Mochizuki","given":"Daiki"},{"family":"Fukushima","given":"Hirofumi"},{"family":"Misawa","given":"Yuki"},{"family":"Mineta","given":"Hiroyuki"}],"issued":{"date-parts":[["2014",3]]}}}],"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25</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COL4A1</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Gastric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COL4A1 may promote gastric carcinoma recurrence and could be used as a therapeutic target for gastric carcinoma recurrence.</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{"citationID":"hh6JvqwP","properties":{"formattedCitation":"\\super 26\\nosupersub{}","plainCitation":"26","noteIndex":0},"citationItems":[{"id":3178,"uris":["http://zotero.org/users/1985415/items/SRERIBU3"],"uri":["http://zotero.org/users/1985415/items/SRERIBU3"],"itemData":{"id":3178,"type":"article-journal","abstract":"OBJECTIVE: Cancer recurrence is a complicated problem for clinicians that contributes to poor prognosis. This study aimed to use advanced gastric carcinoma genes profiles to predict increased risk of cancer recurrence in order to identify patients in need of adjuvant therapy for prognosis improvement.\nMETHODS: Differentially expressed genes were identified for advanced gastric carcinoma by analyzing the GSE2685 from the Gene Expression Omnibus database (GEO) using R package. The candidate genes were then obtained by gene ontology (GO), Kyoto Encyclopedia of Genes and Genomes (KEGG) pathway, protein-protein interaction analysis and survival analysis. Logistic regression analysis was performed to determine the relationship between candidate genes and the recurrence of gastric carcinoma.\nRESULTS: Collagen type IV alpha 1 (COL4A1) was overexpressed in gastric carcinoma tissue by analyzing the GSE2685 gene expression profiles from the Gene Expression Omnibus database. COL4A1 was also overexpressed in gastric carcinoma tissue from the Cancer Genome Atlas dataset and further determined that higher COL4A1 expression led to poorer overall survival. A univariate analysis suggested that COL4A1 was strongly correlated with T stage and gastric carcinoma recurrence (P = 0.014 and 0.041, respectively). Moreover, a multiple logistic regression analysis indicated that COL4A1 was significantly associated with gastric carcinoma recurrence (hazard ratio 1.605, 95% confidence interval 1.063-2.677, P = 0.008).\nCONCLUSIONS: COL4A1 may promote gastric carcinoma recurrence and could be used as a therapeutic target for gastric carcinoma recurrence.","container-title":"Journal of Digestive Diseases","DOI":"10.1111/1751-2980.12758","ISSN":"1751-2980","issue":"8","journalAbbreviation":"J Dig Dis","language":"eng","note":"PMID: 31069993","page":"391-400","source":"PubMed","title":"Bioinformatics analysis suggests that COL4A1 may play an important role in gastric carcinoma recurrence","volume":"20","author":[{"family":"Li","given":"De Feng"},{"family":"Wang","given":"Nan Nan"},{"family":"Chang","given":"Xin"},{"family":"Wang","given":"Shu Ling"},{"family":"Wang","given":"Li Sheng"},{"family":"Yao","given":"Jun"},{"family":"Li","given":"Zhao Shen"},{"family":"Bai","given":"Yu"}],"issued":{"date-parts":[["2019",8]]}}}],"schema":"https://github.com/citation-style-language/schema/raw/master/csl-citation.json"}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26</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COL4A1</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Breast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COL4A1 expression can be used as a biomarker of better prognosis of breast cancer patients receiving neoadjuvant chemotherapy.</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{"citationID":"j1gjdv7G","properties":{"formattedCitation":"\\super 27\\nosupersub{}","plainCitation":"27","noteIndex":0},"citationItems":[{"id":3180,"uris":["http://zotero.org/users/1985415/items/3VDRM2CX"],"uri":["http://zotero.org/users/1985415/items/3VDRM2CX"],"itemData":{"id":3180,"type":"article-journal","abstract":"Optimal therapy for each patient depends on their subtype, anatomic cancer stage, gene status, and preferences. Neoadjuvant chemotherapy-treated tumors have shown attenuated tumor growth, but the therapy cannot completely reduce tumor cell dissemination to blood stream and distant metastasis. Though it has been indicated that the protein of the collagen type IV alpha 1 (COL4A1) gene is induced by p53 to inhibit angiogenesis and tumorigenic activity in cancer cells, its prognostic significance in breast cancer (BC) patients has not yet been fully elucidated. We analysed 206 BC and fresh paired-match adjacent normal breast tissue from tissue microarrays (TMAs) and COL4A1-stained TMAs using immunohistochemistry. These were used to evaluate COL4A1 expression in BC and to analyse the relationship between this expression and clinicopathological factors and prognosis. The expression of the COL4A1 protein was significantly higher in normal adjacent tissue than in the tumor tissues of BC (P &lt; 0.0001). The low COL4A1 expression of the BC patients had decreased metastasis incidence ratio than those exhibiting high COL4A1 expression (P=0.034). Low COL4A1 expression in the tumor cells of BC patients was found to significantly reduce the overall survival (OS) and relapse-free survival (RFS) rates of neoadjuvant chemotherapy patients (P=0.047 and P=0.025, respectively). We also validated the results to ensure their consistency with a web server program for survival analysis from the Cancer Genome Atlas (TCGA) database (P=0.057). Additionally, COL4A1 expression was positively correlated with p53 expression (P=0.00076). Thus, we present clinical evidence that COL4A1 expression can be used as a biomarker of better prognosis of BC patients receiving neoadjuvant chemotherapy.","container-title":"Journal of Oncology","DOI":"10.1155/2020/5209695","ISSN":"1687-8450","journalAbbreviation":"J Oncol","language":"eng","note":"PMID: 32565804\nPMCID: PMC7255048","page":"5209695","source":"PubMed","title":"Effect of COL4A1 Expression on the Survival of Neoadjuvant Chemotherapy Breast Cancer Patients","volume":"2020","author":[{"family":"Wang","given":"Shin-Mae"},{"family":"Chen","given":"Po-Ming"},{"family":"Sung","given":"Yu-Wen"},{"family":"Huang","given":"Wei-Chieh"},{"family":"Huang","given":"Hung-Sen"},{"family":"Chu","given":"Pei-Yi"}],"issued":{"date-parts":[["2020"]]}}}],"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27</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COL4A1</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Hepatocellular carcinoma </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High level of COL4A1 may be a potential biomarker for diagnosis and treatment with FAK or Src inhibitor for hepatocellular carcinoma.</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{"citationID":"01iQg326","properties":{"formattedCitation":"\\super 28\\nosupersub{}","plainCitation":"28","noteIndex":0},"citationItems":[{"id":3183,"uris":["http://zotero.org/users/1985415/items/WYE4NAFF"],"uri":["http://zotero.org/users/1985415/items/WYE4NAFF"],"itemData":{"id":3183,"type":"article-journal","abstract":"BACKGROUND: Collagens are the most abundant proteins in extra cellular matrix and important components of tumor microenvironment. Recent studies have showed that aberrant expression of collagens can influence tumor cell behaviors. However, their roles in hepatocellular carcinoma (HCC) are poorly understood.\nMETHODS: In this study, we screened all 44 collagen members in HCC using whole transcriptome sequencing data from the public datasets, and collagen type IV alpha1 chain (COL4A1) was identified as most significantly differential expressed gene. Expression of COL4A1 was detected in HCC samples by quantitative real-time polymerase chain reaction (qRT-PCR), western blot and immunohistochemistry (IHC). Finally, functions and potential mechanisms of COL4A1 were explored in HCC progression.\nRESULTS: COL4A1 is the most significantly overexpressed collagen gene in HCC. Upregulation of COL4A1 facilitates the proliferation, migration and invasion of HCC cells through FAK-Src signaling. Expression of COL4A1 is upregulated by RUNX1 in HCC. HCC cells with high COL4A1 expression are sensitive to the treatment with FAK or Src inhibitor.\nCONCLUSION: COL4A1 facilitates growth and metastasis in HCC via activation of FAK-Src signaling. High level of COL4A1 may be a potential biomarker for diagnosis and treatment with FAK or Src inhibitor for HCC.","container-title":"Journal of experimental &amp; clinical cancer research: CR","DOI":"10.1186/s13046-020-01650-7","ISSN":"1756-9966","issue":"1","journalAbbreviation":"J Exp Clin Cancer Res","language":"eng","note":"PMID: 32746865\nPMCID: PMC7398077","page":"148","source":"PubMed","title":"COL4A1 promotes the growth and metastasis of hepatocellular carcinoma cells by activating FAK-Src signaling","volume":"39","author":[{"family":"Wang","given":"Ting"},{"family":"Jin","given":"Haojie"},{"family":"Hu","given":"Jingying"},{"family":"Li","given":"Xi"},{"family":"Ruan","given":"Haoyu"},{"family":"Xu","given":"Huili"},{"family":"Wei","given":"Lin"},{"family":"Dong","given":"Weihua"},{"family":"Teng","given":"Fei"},{"family":"Gu","given":"Jianren"},{"family":"Qin","given":"Wenxin"},{"family":"Luo","given":"Xiaoying"},{"family":"Hao","given":"Yujun"}],"issued":{"date-parts":[["2020",8,3]]}}}],"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28</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COL4A1</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Renal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The MMP2, DCN, COL4A1, CASR, GPR4, UTS2, and LDLR genes might be used as potential targets to improve diagnosis and immunotherapy biomarkers for renal cell carcinoma.</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{"citationID":"ykUmEmdq","properties":{"formattedCitation":"\\super 29\\nosupersub{}","plainCitation":"29","noteIndex":0},"citationItems":[{"id":3186,"uris":["http://zotero.org/users/1985415/items/ZR96F2XZ"],"uri":["http://zotero.org/users/1985415/items/ZR96F2XZ"],"itemData":{"id":3186,"type":"article-journal","abstract":"Renal cell carcinoma (RCC) is the most common form of kidney cancer, caused by renal epithelial cells. RCC remains to be a challenging public health problem worldwide. Metastases that are resistant to radiotherapy and chemotherapy are the major cause of death from cancer. However, the underlying molecular mechanism regulating the metastasis of RCC is poorly known. Publicly available databases of RCC were obtained from Gene Expression Omnibus (GEO) database. The differentially expressed genes (DEGs) were identified using GEO2R analysis, whereas the Gene Ontology (GO) analysis and Kyoto Encyclopedia of Genes and Genomes (KEGG) analysis were performed by Gene Set Enrichment Analysis (GSEA) and Metascape. Protein-protein interaction (PPI) network of DEGs was analyzed by STRING online database, and Cytoscape software was used for visualizing PPI network. Survival analysis of hub genes was conducted using GEPIA online database. The expression levels of hub genes were investigated from The Human Protein Atlas online database and GEPIA online database. Finally, the comparative toxicogenomics database (CTD; http://ctdbase.org) was used to identify hub genes associated with tumor or metastasis. We identified 229 DEGs comprising 135 downregulated genes and 94 upregulated genes. Functional analysis revealed that these DEGs were associates with cell recognition, regulation of immune, negative regulation of adaptive immune response, and other functions. And these DEGs mainly related to P53 signaling pathway, cytokine-cytokine receptor interaction, Natural killer cell mediated cytotoxicity, and other pathways are involved. Ten genes were identified as hub genes through module analyses in the PPI network. Finally, survival analysis of 10 hub genes was conducted, which showed that the MMP2 (matrix metallo peptidase 2), DCN, COL4A1, CASR (calcium sensing receptor), GPR4 (G protein-coupled receptor 4), UTS2 (urotensin 2), and LDLR (low density lipoprotein receptor) genes were significant for survival. In this study, the DEGs between RCC and metastatic RCC were analyzed, which assist us in systematically understanding the pathogeny underlying metastasis of RCC. The MMP2, DCN, COL4A1, CASR, GPR4, UTS2, and LDLR genes might be used as potential targets to improve diagnosis and immunotherapy biomarkers for RCC.","container-title":"Journal of Computational Biology: A Journal of Computational Molecular Cell Biology","DOI":"10.1089/cmb.2019.0145","ISSN":"1557-8666","issue":"11","journalAbbreviation":"J Comput Biol","language":"eng","note":"PMID: 31233342","page":"1278-1295","source":"PubMed","title":"Identification of Key Biomarkers and Potential Molecular Mechanisms in Renal Cell Carcinoma by Bioinformatics Analysis","volume":"26","author":[{"family":"Li","given":"Feng"},{"family":"Guo","given":"Peiyuan"},{"family":"Dong","given":"Keqin"},{"family":"Guo","given":"Peng"},{"family":"Wang","given":"Haoyuan"},{"family":"Lv","given":"Xianqiang"}],"issued":{"date-parts":[["2019"]]}}}],"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29</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COL5A2</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Bladder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COL5A2 was correlated with poor clinical outcomes and survivals of patients with bladder cancer, suggesting that it could be regarded as a biomarker of bladder cancer.</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{"citationID":"FhaJWZzo","properties":{"formattedCitation":"\\super 30\\nosupersub{}","plainCitation":"30","noteIndex":0},"citationItems":[{"id":3188,"uris":["http://zotero.org/users/1985415/items/E3G4AFVG"],"uri":["http://zotero.org/users/1985415/items/E3G4AFVG"],"itemData":{"id":3188,"type":"article-journal","abstract":"The present study was aimed to investigate the relationship between the expression of collagen type V alpha 2 chain (COL5A2) and clinical outcomes of patients with bladder cancer.Chi-square test and log-rank-based survival analysis were performed to assess the correlation of COL5A2 expression with clinical characteristics and survivals of patients with bladder cancer using GSE13507. Gene set enrichment analysis was conducted to study the relevant mechanisms.Bladder cancer patients in COL5A2 low expression group were associated with better invasiveness (P &lt; .0001), tumor grade (P = .001), T staging (P &lt; .0001), N staging (P = .002), cancer specific survival (P &lt; .0001), overall survival (P &lt; .0001), and a trend of better M staging (P = .053) than those in COL5A2 high expression group.COL5A2 might affect the progression of bladder cancer through \"Coagulation,\" \"Hypoxia,\" \"Apical junction,\" \"Ultraviolet response,\" \"Epithelial mesenchymal transition,\" \"Angiogenesis,\" \"KRAS (KRAS proto-oncogene, GTPase) signaling,\"Complement,\"IL2-STAT5-signaling,\" \"Inflammatory response,\" \"IL6-JAK-STAT3-signaling,\" \"Myogenesis,\" \"TNF α signaling,\" \"Apoptosis,\" and \"Hedgehog-signaling.\"Our results demonstrated that COL5A2 was correlated with poor clinical outcomes and survivals of patients with bladder cancer, suggesting that it could be regarded as a biomarker of bladder cancer.","container-title":"Medicine","DOI":"10.1097/MD.0000000000010091","ISSN":"1536-5964","issue":"10","journalAbbreviation":"Medicine (Baltimore)","language":"eng","note":"PMID: 29517678\nPMCID: PMC5882427","page":"e0091","source":"PubMed","title":"The clinical significance of COL5A2 in patients with bladder cancer: A retrospective analysis of bladder cancer gene expression data","title-short":"The clinical significance of COL5A2 in patients with bladder cancer","volume":"97","author":[{"family":"Zeng","given":"Xian-Tao"},{"family":"Liu","given":"Xiao-Ping"},{"family":"Liu","given":"Tong-Zu"},{"family":"Wang","given":"Xing-Huan"}],"issued":{"date-parts":[["2018",3]]}}}],"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30</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COL5A2</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Gastric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 xml:space="preserve">High COL5A2 expression is associated with a poor prognosis in </w:t>
            </w:r>
            <w:r>
              <w:rPr>
                <w:rFonts w:hint="eastAsia" w:ascii="Times New Roman" w:hAnsi="Times New Roman" w:cs="Times New Roman"/>
                <w:sz w:val="16"/>
                <w:szCs w:val="16"/>
              </w:rPr>
              <w:t>g</w:t>
            </w:r>
            <w:r>
              <w:rPr>
                <w:rFonts w:ascii="Times New Roman" w:hAnsi="Times New Roman" w:cs="Times New Roman"/>
                <w:sz w:val="16"/>
                <w:szCs w:val="16"/>
              </w:rPr>
              <w:t>astric cancer, and may be a novel therapeutic target for gastric cancer.</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{"citationID":"a2gj8pin5m6","properties":{"formattedCitation":"\\super 31,32\\nosupersub{}","plainCitation":"31,32","noteIndex":0},"citationItems":[{"id":3191,"uris":["http://zotero.org/users/1985415/items/RMRAAX6V"],"uri":["http://zotero.org/users/1985415/items/RMRAAX6V"],"itemData":{"id":3191,"type":"article-journal","abstract":"Increasing studies on malignant tumors have proposed a new competing endogenous RNA (ceRNA) regulatory mechanism that mRNA, miRNA and lncRNA interact with each other. However, the mRNA-miRNA-lncRNA associated ceRNA network in gastric cancer remains unknown. We used online bioinformatic softwares to predict the hub genes and their upstream miRNAs and lncRNAs in gastric cancer, and then performed survival analyses. After collecting gastric cancer tissue samples and performing PCR experiments, the correlations among predicted mRNA, miRNA and lncRNA were further verified. A total of 101 up-regulated significant differentially expressed genes (DEGs) and 219 down-regulated significant DEGs in gastric cancer were confirmed. Functional enrichment analyses of these significant DEGs indicated that they were potentially enriched in some pathways involved in tumor malignant biological processes or metabolism. Then, we identified 20 hub genes in the PPI networks. Combined with expression and survival analyses, 8 up-regulated genes and 1 down-regulated gene were identified as central genes and acted as important prognostic roles in gastric cancer. 17 miRNAs were confirmed that might potentially regulate the expressions of these central genes. But only 8 out of them indicated better outcome in gastric cancer. Further, 79 lncRNAs were predicted that might have the potence to combine with the 8 central miRNAs. The lncRNA H19 was eventually defined as a central lncRNA by survival analyses. Stimultaneously, we found that there were certain interactions among lncRNA, miRNA and mRNAs in 50 gastric cancer tissues by qRT-PCR. Moreover, the high expression of H19 is associated with advanced TNM stage, primary tumor and lymph nodes, indicating a poor prognosis. In summary, we uncovered the prognostic value of COL3A1/FBN1/COL5A2/SPARC-mir-29a-3p-H19 ceRNA network in gastric cancer.","container-title":"Journal of Cancer","DOI":"10.7150/jca.45378","ISSN":"1837-9664","issue":"17","journalAbbreviation":"J Cancer","language":"eng","note":"PMID: 32742441\nPMCID: PMC7378928","page":"4933-4946","source":"PubMed","title":"The prognostic value of COL3A1/FBN1/COL5A2/SPARC-mir-29a-3p-H19 associated ceRNA network in Gastric Cancer through bioinformatic exploration","volume":"11","author":[{"family":"Shen","given":"Hongyu"},{"family":"Wang","given":"Lin"},{"family":"Chen","given":"Qinnan"},{"family":"Xu","given":"Juqing"},{"family":"Zhang","given":"Jin"},{"family":"Fang","given":"Leping"},{"family":"Wang","given":"Jun"},{"family":"Fan","given":"Weifei"}],"issued":{"date-parts":[["2020"]]}}},{"id":3328,"uris":["http://zotero.org/users/1985415/items/8BJQBBLG"],"uri":["http://zotero.org/users/1985415/items/8BJQBBLG"],"itemData":{"id":3328,"type":"article-journal","abstract":"Background Gastric cancer (GC) metastasis determines the prognosis of patients, and exploring the molecular mechanism of GC metastasis is expected to provide a theoretical basis for clinical treatment. Recent studies have shown that extracellular matrix protein is closely related to G...","DOI":"10.21203/rs.3.rs-43511/v1","language":"en","source":"www.researchsquare.com","title":"The TCGA and GEO databases identify COL5A2 as a poorly prognostic gene in patients with advanced gastric cancer","URL":"https://www.researchsquare.com/article/rs-43511/v1","accessed":{"date-parts":[["2020",12,29]]},"issued":{"date-parts":[["2020",7,21]]}}}],"schema":"https://github.com/citation-style-language/schema/raw/master/csl-citation.json"}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31,32</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COL5A2</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Breast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Increase of COL5A1 reflects tumor progression and may serve as a novel biomarker and therapeutic target for the treatment of breast invasive ductal carcinoma.</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{"citationID":"h0FJ8d7s","properties":{"formattedCitation":"\\super 33(p1)\\nosupersub{}","plainCitation":"33(p1)","noteIndex":0},"citationItems":[{"id":3194,"uris":["http://zotero.org/users/1985415/items/BIU7IFIQ"],"uri":["http://zotero.org/users/1985415/items/BIU7IFIQ"],"itemData":{"id":3194,"type":"article-journal","abstract":"Collagen type V α1 chain (COL5A1) is a minor fibrillar collagen in mammals that co-polymerizes with type I collagen to adjust the diameter of collagen molecules. However, the function of COL5A1 in invasive ductal carcinoma (IDC) of the human breast remains unknown. In the present study, our group examined the expression of COL5A1 in IDC compared with its adjacent normal tissue and fibroadenoma of the breast. COL5A1 was revealed to be overexpressed in IDC compared with benign tumor and adjacent normal control tissues, and was associated with the expression of estrogen receptor and progesterone receptor. No association between COL5A1 expression and tumor size, lymph node metastasis, clinical stage, age, or Her2 expression was identified. High expression of COL5A1 mRNA was associated with distant metastasis free survival in patients with breast cancer. Knockdown of COL5A1 led to a decrease of cell viability, as detected by the WST-1 assay, and an inhibition of migration and invasion, as detected by wound healing and Transwell assays, respectively, in the breast cancer cell line MCF-7. The expression of COL5A1 in MCF-7 cells was downregulated by transforming growth factor (TGF)‑β1, which was abolished in the presence of SB-431542, an inhibitor of TGF-β type I receptor. In conclusion, these data indicated that COL5A1 is overexpressed in IDC and regulated by TGF-β1, suggesting that an increase of COL5A1 reflects tumor progression and may serve as a novel biomarker and therapeutic target for the treatment of breast IDC.","container-title":"International Journal of Oncology","DOI":"10.3892/ijo.2018.4317","ISSN":"1791-2423","issue":"5","journalAbbreviation":"Int J Oncol","language":"eng","note":"PMID: 29568948","page":"1694-1704","source":"PubMed","title":"Overexpression of collagen type V α1 chain in human breast invasive ductal carcinoma is mediated by TGF-β1","volume":"52","author":[{"family":"Ren","given":"Weimin"},{"family":"Zhang","given":"Youyuan"},{"family":"Zhang","given":"Lingyun"},{"family":"Lin","given":"Qunbo"},{"family":"Zhang","given":"Jinguo"},{"family":"Xu","given":"Guoxiong"}],"issued":{"date-parts":[["2018",5]]}},"locator":"1"}],"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33(p1)</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COL6A3</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Pancreatic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SPARC, COL6A3, and FBN1 play an important role in tumor-related immune infiltration and may be ideal targets for immune therapy against pancreatic ductal adenocarcinoma.</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{"citationID":"aLaDexPo","properties":{"formattedCitation":"\\super 34\\nosupersub{}","plainCitation":"34","noteIndex":0},"citationItems":[{"id":3197,"uris":["http://zotero.org/users/1985415/items/KMZHC5FT"],"uri":["http://zotero.org/users/1985415/items/KMZHC5FT"],"itemData":{"id":3197,"type":"article-journal","abstract":"Pancreatic ductal adenocarcinoma (PDAC) is an extremely malignant tumor. The immune profile of PDAC and the immunologic milieu of its tumor microenvironment (TME) are unique; however, the mechanism of how the TME engineers the carcinogenesis of PDAC is not fully understood. This study is aimed at better understanding the relationship between the immune infiltration of the TME and gene expression and identifying potential prognostic and immunotherapeutic biomarkers for PDAC. Analysis of data from The Cancer Genome Atlas (TCGA) and the Gene Expression Omnibus (GEO) databases identified differentially expressed genes (DEGs), including 159 upregulated and 53 downregulated genes. Gene Ontology analysis and Kyoto Encyclopedia of Genes and Genomes enrichment were performed and showed that the DEGs were mainly enriched for the PI3K-Akt signaling pathway and extracellular matrix organization. We used the cytoHubba plugin of Cytoscape to screen out the most significant ten hub genes by four different models (Degree, MCC, DMNC, and MNC). The expression and clinical relevance of these ten hub genes were validated using Gene Expression Profiling Interactive Analysis (GEPIA) and the Human Protein Atlas, respectively. High expression of nine of the hub genes was positively correlated with poor prognosis. Finally, the relationship between these hub genes and tumor immunity was analyzed using the Tumor Immune Estimation Resource. We found that the expression of SPARC, COL6A3, and FBN1 correlated positively with infiltration levels of six immune cells in the tumors. In addition, these three genes had a strong coexpression relationship with the immune checkpoints. In conclusion, our results suggest that nine upregulated biomarkers are related to poor prognosis in PDAC and may serve as potential prognostic biomarkers for PDAC therapy. Furthermore, SPARC, COL6A3, and FBN1 play an important role in tumor-related immune infiltration and may be ideal targets for immune therapy against PDAC.","container-title":"Disease Markers","DOI":"10.1155/2020/8825997","ISSN":"1875-8630","journalAbbreviation":"Dis Markers","language":"eng","note":"PMID: 32934754\nPMCID: PMC7479484","page":"8825997","source":"PubMed","title":"Identification of Key Prognostic Biomarker and Its Correlation with Immune Infiltrates in Pancreatic Ductal Adenocarcinoma","volume":"2020","author":[{"family":"Luan","given":"Hong"},{"family":"Zhang","given":"Chuang"},{"family":"Zhang","given":"Tuo"},{"family":"He","given":"Ye"},{"family":"Su","given":"Yanna"},{"family":"Zhou","given":"Liping"}],"issued":{"date-parts":[["2020"]]}}}],"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34</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COL6A3</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Colorectal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COL6A3 may be a promising biomarker or target for the prognosis and treatment of colorectal cancer.</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{"citationID":"PgGNLERO","properties":{"formattedCitation":"\\super 35\\nosupersub{}","plainCitation":"35","noteIndex":0},"citationItems":[{"id":3200,"uris":["http://zotero.org/users/1985415/items/ATVDXRGB"],"uri":["http://zotero.org/users/1985415/items/ATVDXRGB"],"itemData":{"id":3200,"type":"article-journal","abstract":"Public transcriptome databases provide a valuable resource for genome‑wide co‑expression network analysis and investigation of the molecular mechanisms that underlie pathogenesis. To discover genes that may affect patient survival, a large‑scale analysis of human colorectal cancer (CRC) datasets that were retrieved from the NCBI Gene Expression Omnibus was performed. A gene co‑expression network was constructed using weighted gene co‑expression network analysis (WGCNA). A total of 18 co‑expressed gene modules were identified, of which two genes corresponded to cell migration and the cell cycle, two genes were involved in immune responses, two genes corresponded to mitochondrial function, and one gene corresponded to RNA splicing. A total of eight hub genes in the cell migration/extracellular matrix module were associated with poor prognosis in CRC, and the P‑value for collagen type VI α3 chain (COL6A3) was the lowest. In silico analysis of cell type‑specific gene expression and COL6A3 knockout experiments indicated the clinical relevance of COL6A3 in the development of CRC. In summary, the present analysis provides a basis for understanding the molecular characterization of CRC at the transcription level. COL6A3 may be a promising biomarker or target for the prognosis and treatment of CRC.","container-title":"Oncology Reports","DOI":"10.3892/or.2018.6331","ISSN":"1791-2431","issue":"6","journalAbbreviation":"Oncol Rep","language":"eng","note":"PMID: 29620224\nPMCID: PMC5983922","page":"2527-2536","source":"PubMed","title":"Role of COL6A3 in colorectal cancer","volume":"39","author":[{"family":"Liu","given":"Wei"},{"family":"Li","given":"Li"},{"family":"Ye","given":"Hua"},{"family":"Tao","given":"Huan"},{"family":"He","given":"Huaqin"}],"issued":{"date-parts":[["2018",6]]}}}],"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35</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COL6A3</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Lung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The potential associations between COL6A3 polymorphisms and lung cancer risk, which may contribute to the identification of lung cancer patients in a Chinese population.</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{"citationID":"ruaWvOIA","properties":{"formattedCitation":"\\super 36\\nosupersub{}","plainCitation":"36","noteIndex":0},"citationItems":[{"id":3203,"uris":["http://zotero.org/users/1985415/items/PXLGUQ88"],"uri":["http://zotero.org/users/1985415/items/PXLGUQ88"],"itemData":{"id":3203,"type":"article-journal","abstract":"BACKGROUND: Lung cancer is one of the leading cause of cancer-related death in the world. Recently, many clinical researches have reported that COL6A3 had strong role in many diseases. The aim of this study was to evaluate the association between single nucleotide polymorphisms (SNPs) in COL6A3 and lung cancer susceptibility.\nMETHOD: Eight variants in COL6A3 were genotyped in a Chinese Han population including 510 cases and 495 controls using Agena MassARRAY. Genetic models and haplotype analyses were used to calculate the association between COL6A3 SNPs and lung cancer risk. And we assessed the relative risk by the odds ratio (OR) and 95% confidence interval (CI).\nRESULTS: In our results, we observed that rs115510139 was linked to an increased risk of lung cancer in the codominant (adjusted OR = 1.61, 95%CI: 1.14-2.27, p = 0.007), dominant (adjusted OR = 1.36, 95%CI: 1.02-1.83, p = 0.037), recessive (adjusted OR = 1.41, 95%CI: 1.07-1.85, p = 0.015), and log-additive (adjusted OR = 1.27, 95%CI: 1.07-1.51, p = 0.006) models. After gender stratification analysis, we found that rs115510139, rs3736341 and rs12052971 were significant in males but were non-significant in females. Rs115510139 also can increase the risk of lung cancer in the population of age less than 61 years. When analyzed for the association with lung squamous carcinoma, rs13032404, rs115510139 and rs3736341 were related to the risk of lung cancer.\nCONCLUSIONS: Our findings indicated potential associations between COL6A3 polymorphisms and lung cancer risk, which may contribute to the identification of lung cancer patients in a Chinese population.","container-title":"Respiratory Research","DOI":"10.1186/s12931-019-1114-y","ISSN":"1465-993X","issue":"1","journalAbbreviation":"Respir Res","language":"eng","note":"PMID: 31286980\nPMCID: PMC6615180","page":"143","source":"PubMed","title":"COL6A3 polymorphisms were associated with lung cancer risk in a Chinese population","volume":"20","author":[{"family":"Duan","given":"Ying"},{"family":"Liu","given":"Gaowen"},{"family":"Sun","given":"Yao"},{"family":"Wu","given":"Jiamin"},{"family":"Xiong","given":"Zichao"},{"family":"Jin","given":"Tianbo"},{"family":"Chen","given":"Mingwei"}],"issued":{"date-parts":[["2019",7,8]]}}}],"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36</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F8</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Pancreatic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Pancreatic cancer was associated with increased fibrinogen and factor VIII.</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{"citationID":"qhYRmhNO","properties":{"formattedCitation":"\\super 37\\nosupersub{}","plainCitation":"37","noteIndex":0},"citationItems":[{"id":3206,"uris":["http://zotero.org/users/1985415/items/8KGGDYEY"],"uri":["http://zotero.org/users/1985415/items/8KGGDYEY"],"itemData":{"id":3206,"type":"article-journal","abstract":"Pancreatic ductal adenocarcinoma (PDAC) is a deadly cancer often diagnosed late. Earlier detection is urgently needed. Pancreatic ductal adenocarcinoma is known to associate with increased coagulation activity. We studied whether preoperative coagulation biomarkers are useful in distinguishing PDAC from a benign tumor, intraductal papillary mucinous neoplasm (IPMN) in this observational study. We analyzed standard clinical and coagulation variables in patients operated during 2010 and 2015 at Helsinki University Hospital. Pancreatic ductal adenocarcinoma with preoperative coagulation variables available and no neoadjuvant treatment or other active cancer was observed in 80 patients (stage I-III in 67 and IV in 13) and IPMN in 18 patients. Fibrinogen, factor VIII (FVIII), carbohydrate antigen (CA) 19-9, albumin, alkaline phosphatase, and conjugated bilirubin were higher in both stages I to III and IV PDAC compared to IPMN ( P &lt; .05). Factor VIII was highest in stage IV ( P &lt; .05). Combining these variables in a panel increased sensitivity and specificity for PDAC. In receiver operating characteristic analysis, the area under the curve (95% confidence interval) was 0.95 (0.90-1.00) for the panel, compared to 0.80 (0.71-0.88) for CA 19-9 alone ( P &lt; .01). In conclusion, PDAC was associated with increased fibrinogen and FVIII. Combining these coagulation biomarkers with CA 19-9, albumin, and alkaline phosphatase improves diagnostic accuracy.","container-title":"Clinical and Applied Thrombosis/Hemostasis: Official Journal of the International Academy of Clinical and Applied Thrombosis/Hemostasis","DOI":"10.1177/1076029618779133","ISSN":"1938-2723","issue":"8","journalAbbreviation":"Clin Appl Thromb Hemost","language":"eng","note":"PMID: 29865859\nPMCID: PMC6714782","page":"1267-1275","source":"PubMed","title":"Preoperative Biomarker Panel, Including Fibrinogen and FVIII, Improves Diagnostic Accuracy for Pancreatic Ductal Adenocarcinoma","volume":"24","author":[{"family":"Mattila","given":"Nora"},{"family":"Seppänen","given":"Hanna"},{"family":"Mustonen","given":"Harri"},{"family":"Przybyla","given":"Beata"},{"family":"Haglund","given":"Caj"},{"family":"Lassila","given":"Riitta"}],"issued":{"date-parts":[["2018",11]]}}}],"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37</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FBN1</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Pancreatic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SPARC, COL6A3, and FBN1 play an important role in tumor-related immune infiltration and may be ideal targets for immune therapy against pancreatic cancer.</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{"citationID":"ig75KIjK","properties":{"formattedCitation":"\\super 34\\nosupersub{}","plainCitation":"34","noteIndex":0},"citationItems":[{"id":3197,"uris":["http://zotero.org/users/1985415/items/KMZHC5FT"],"uri":["http://zotero.org/users/1985415/items/KMZHC5FT"],"itemData":{"id":3197,"type":"article-journal","abstract":"Pancreatic ductal adenocarcinoma (PDAC) is an extremely malignant tumor. The immune profile of PDAC and the immunologic milieu of its tumor microenvironment (TME) are unique; however, the mechanism of how the TME engineers the carcinogenesis of PDAC is not fully understood. This study is aimed at better understanding the relationship between the immune infiltration of the TME and gene expression and identifying potential prognostic and immunotherapeutic biomarkers for PDAC. Analysis of data from The Cancer Genome Atlas (TCGA) and the Gene Expression Omnibus (GEO) databases identified differentially expressed genes (DEGs), including 159 upregulated and 53 downregulated genes. Gene Ontology analysis and Kyoto Encyclopedia of Genes and Genomes enrichment were performed and showed that the DEGs were mainly enriched for the PI3K-Akt signaling pathway and extracellular matrix organization. We used the cytoHubba plugin of Cytoscape to screen out the most significant ten hub genes by four different models (Degree, MCC, DMNC, and MNC). The expression and clinical relevance of these ten hub genes were validated using Gene Expression Profiling Interactive Analysis (GEPIA) and the Human Protein Atlas, respectively. High expression of nine of the hub genes was positively correlated with poor prognosis. Finally, the relationship between these hub genes and tumor immunity was analyzed using the Tumor Immune Estimation Resource. We found that the expression of SPARC, COL6A3, and FBN1 correlated positively with infiltration levels of six immune cells in the tumors. In addition, these three genes had a strong coexpression relationship with the immune checkpoints. In conclusion, our results suggest that nine upregulated biomarkers are related to poor prognosis in PDAC and may serve as potential prognostic biomarkers for PDAC therapy. Furthermore, SPARC, COL6A3, and FBN1 play an important role in tumor-related immune infiltration and may be ideal targets for immune therapy against PDAC.","container-title":"Disease Markers","DOI":"10.1155/2020/8825997","ISSN":"1875-8630","journalAbbreviation":"Dis Markers","language":"eng","note":"PMID: 32934754\nPMCID: PMC7479484","page":"8825997","source":"PubMed","title":"Identification of Key Prognostic Biomarker and Its Correlation with Immune Infiltrates in Pancreatic Ductal Adenocarcinoma","volume":"2020","author":[{"family":"Luan","given":"Hong"},{"family":"Zhang","given":"Chuang"},{"family":"Zhang","given":"Tuo"},{"family":"He","given":"Ye"},{"family":"Su","given":"Yanna"},{"family":"Zhou","given":"Liping"}],"issued":{"date-parts":[["2020"]]}}}],"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34</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FBN1</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Breast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FBN1 may be of relevance to processes underlying spread of breast cancer to the lymph nodes.</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{"citationID":"a2fo8modbj7","properties":{"formattedCitation":"\\super 38\\nosupersub{}","plainCitation":"38","noteIndex":0},"citationItems":[{"id":3335,"uris":["http://zotero.org/users/1985415/items/LR5QX6UX"],"uri":["http://zotero.org/users/1985415/items/LR5QX6UX"],"itemData":{"id":3335,"type":"report","abstract":"Breast cancer is the most frequently diagnosed cancer in women (1).  Metastasis is the major cause of death in patients diagnosed with cancer (2).  Prognosis for patients with breast cancer worsens as the number of axillary lymph nodes with metastasis increases (3).  We mined published microarray and multiplexed mRNA quantitation datasets (4, 5) to discover genes associated with metastasis to the lymph nodes, an early event in breast cancer metastasis.  We found significant differential expression of the gene encoding fibrillin-1, FBN1, when comparing lymph node metastases to primary breast tumors from women diagnosed with breast cancer.  In primary tumors, lower expression of FBN1 correlated with worse overall survival in breast cancer patients in the lowest but not highest survival quartile.  FBN1 may be of relevance to processes underlying metastasis to the lymph nodes.","note":"DOI: 10.31219/osf.io/87h53\ntype: article","publisher":"OSF Preprints","source":"OSF Preprints","title":"Fibrillin-1, encoded by FBN1, is differentially expressed in lymph node metastases in human breast cancer.","URL":"https://osf.io/87h53/","author":[{"family":"Mamoor","given":"Shahan"}],"accessed":{"date-parts":[["2020",12,29]]},"issued":{"date-parts":[["2020",10,2]]}}}],"schema":"https://github.com/citation-style-language/schema/raw/master/csl-citation.json"}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38</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FBN1</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Ovarian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Four hub genes (COL6A3, CRISPLD2, FBN1 and SERPINF1) were identified to be associated with the prognosis in ovarian cancer, which might be used as monitoring biomarkers to evaluate survival time of ovarian cancer patients.</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{"citationID":"QxX0syoI","properties":{"formattedCitation":"\\super 39\\nosupersub{}","plainCitation":"39","noteIndex":0},"citationItems":[{"id":3212,"uris":["http://zotero.org/users/1985415/items/XIPBH7A8"],"uri":["http://zotero.org/users/1985415/items/XIPBH7A8"],"itemData":{"id":3212,"type":"article-journal","abstract":"Background: Ovarian cancer (OvCa) is one of the most fatal cancers among females in the world. With growing numbers of individuals diagnosed with OvCa ending in deaths, it is urgent to further explore the potential mechanisms of OvCa oncogenesis and development and related biomarkers.\nMethods: The gene expression profiles of GSE49997 were downloaded from the Gene Expression Omnibus (GEO) database. Weighted gene co-expression network analysis (WGCNA) was applied to explore the most potent gene modules associated with the overall survival (OS) and progression-free survival (PFS) events of OvCa patients, and the prognostic values of these genes were exhibited and validated based on data from training and validation sets. Next, protein-protein interaction (PPI) networks were built by GeneMANIA. Besides, enrichment analysis was conducted using DAVID website.\nResults: According to the WGCNA analysis, a total of eight modules were identified and four hub genes (MM &gt; 0.90) in the blue module were reserved for next analysis. Kaplan-Meier analysis exhibited that these four hub genes were significantly associated with worse OS and PFS in the patient cohort from GSE49997. Moreover, we validated the short-term (4-years) and long-term prognostic values based on the GSE9891 data, respectively. Last, PPI networks analysis, Gene Ontology (GO) and Kyoto Encyclopedia of Genes and Genomes (KEGG) analysis revealed several potential mechanisms of four hub genes and their co-operators participating in OvCa progression.\nConclusion: Four hub genes (COL6A3, CRISPLD2, FBN1 and SERPINF1) were identified to be associated with the prognosis in OvCa, which might be used as monitoring biomarkers to evaluate survival time of OvCa patients.","container-title":"Cancer Cell International","DOI":"10.1186/s12935-020-01361-1","ISSN":"1475-2867","journalAbbreviation":"Cancer Cell Int","language":"eng","note":"PMID: 32595417\nPMCID: PMC7315561","page":"270","source":"PubMed","title":"Identification of four hub genes as promising biomarkers to evaluate the prognosis of ovarian cancer in silico","volume":"20","author":[{"family":"Chen","given":"Jingxuan"},{"family":"Cai","given":"Yun"},{"family":"Xu","given":"Rui"},{"family":"Pan","given":"Jiadong"},{"family":"Zhou","given":"Jie"},{"family":"Mei","given":"Jie"}],"issued":{"date-parts":[["2020"]]}}}],"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39</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FBN1</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Colorectal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PARC, DCN, FBN1, WWTR1, TAGLN, DDX28 and CSDC2 may contribute to the development of early-onset colorectal cancer and may serve as potential diagnostic biomarkers.</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{"citationID":"qLXvH8lf","properties":{"formattedCitation":"\\super 40\\nosupersub{}","plainCitation":"40","noteIndex":0},"citationItems":[{"id":3209,"uris":["http://zotero.org/users/1985415/items/QYUUN5UX"],"uri":["http://zotero.org/users/1985415/items/QYUUN5UX"],"itemData":{"id":3209,"type":"article-journal","abstract":"A number of studies have revealed that there is an increasing incidence of early-onset colorectal cancer (CRC) in young adults (before the age of 50 years) and a progressive decline in CRC among older patients, after the age of 50 years (late-onset CRC). However, the etiology of early-onset CRC is not fully understood. The aim of the present study was to identify key genes associated with the development of early-onset CRC through weighted gene co-expression network analysis (WGCNA). The GSE39582 dataset was downloaded from the Gene Expression Omnibus database, and the data profiles of tissues from patients diagnosed before the age of 50 years were selected. The top 10,000 genes with the highest variability were used to construct the WGCNA. Hub genes were identified from the modules associated with clinical traits using gene significance &gt;0.2 and module membership &gt;0.8 as the cut-off criteria. Gene Ontology and pathway analyses were subsequently performed on the hub genes and a protein-protein interaction network (PPI) was constructed. The diagnostic value of module hub genes with a degree score &gt;5 in the PPI network was verified in samples from patients with CRC diagnosed before the age of 50 years obtained from The Cancer Genome Atlas. Eight co-expressed gene modules were identified in the WGCNA and two modules (blue and turquoise) were associated with the tumor-node-metastasis stage. A total of 140 module hub genes were identified and found to be enriched in 'mitochondrial large ribosomal subunit', 'structural constituent of ribosome', 'poly (A) RNA binding', 'collagen binding', 'protein ubiquitination' and 'ribosome pathway'. Twenty-six module hub genes were found to have a degree score &gt;5 in the PPI network, seven of which [secreted protein acidic and cysteine rich (SPARC), decorin (DCN), fibrillin 1 (FBN1), WW domain containing transcription regulator 1 (WWTR1), transgelin (TAGLN), DEAD-box helicase 28 (DDX28) and cold shock domain containing C2 (CSDC2)], had good prognostic values for patients with early-onset CRC, but not late-onset CRC. Therefore, SPARC, DCN, FBN1, WWTR1, TAGLN, DDX28 and CSDC2 may contribute to the development of early-onset CRC and may serve as potential diagnostic biomarkers.","container-title":"Oncology Letters","DOI":"10.3892/ol.2019.11073","ISSN":"1792-1074","issue":"1","journalAbbreviation":"Oncol Lett","language":"eng","note":"PMID: 31897128\nPMCID: PMC6924089","page":"177-186","source":"PubMed","title":"Identification of key genes involved in the development and progression of early-onset colorectal cancer by co-expression network analysis","volume":"19","author":[{"family":"Mo","given":"Xiaoqiong"},{"family":"Su","given":"Zexin"},{"family":"Yang","given":"Bingsheng"},{"family":"Zeng","given":"Zhirui"},{"family":"Lei","given":"Shan"},{"family":"Qiao","given":"Hui"}],"issued":{"date-parts":[["2020",1]]}}}],"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40</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FLT4</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Colorectal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FLT4 is identified as a marker of metastatic disease, and as a response marker for small molecule therapeutics that inhibit colorectal cancer metastasis.</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{"citationID":"DHFR5nm0","properties":{"formattedCitation":"\\super 41\\nosupersub{}","plainCitation":"41","noteIndex":0},"citationItems":[{"id":3218,"uris":["http://zotero.org/users/1985415/items/Y7A3ZKDT"],"uri":["http://zotero.org/users/1985415/items/Y7A3ZKDT"],"itemData":{"id":3218,"type":"article-journal","abstract":"Dietary consumption of genistein, found in soy, has been associated with a potentially protective role in colorectal cancer (CRC) development and progression. Herein we demonstrate that genistein will inhibit human CRC cell invasion and migration, that it does so at non-cytotoxic concentrations and we demonstrate this in multiple human CRC cell lines. After orthotopic implantation of human CRC tumors into mice, oral genistein did not inhibit tumor growth, but did inhibit distant metastasis formation, and was non-toxic to mice. Using a qPCR array, we screened for genistein-induced changes in gene expression, followed by Western blot confirmation, demonstrating that genistein downregulated matrix metalloproteinase 2 and Fms-Related Tyrosine Kinase 4 (FLT4; vascular endothelial growth factor receptor 3). After demonstrating that genistein suppressed neo-angiogenesis in mouse tumors, we examined FLT4 expression in primary CRC and adjacent normal colonic tissue from 60 human subjects, demonstrating that increased FLT4 significantly correlates with increased stage and decreased survival. In summary, we demonstrate for the first time that genistein inhibits human CRC metastasis at dietary, non-toxic, doses. FLT4 is identified as a marker of metastatic disease, and as a response marker for small molecule therapeutics that inhibit CRC metastasis.","container-title":"Oncotarget","DOI":"10.18632/oncotarget.3064","ISSN":"1949-2553","issue":"5","journalAbbreviation":"Oncotarget","language":"eng","note":"PMID: 25605009\nPMCID: PMC4413649","page":"3225-3239","source":"PubMed","title":"Genistein suppresses FLT4 and inhibits human colorectal cancer metastasis","volume":"6","author":[{"family":"Xiao","given":"Xiao"},{"family":"Liu","given":"Zhiguo"},{"family":"Wang","given":"Rui"},{"family":"Wang","given":"Jiayin"},{"family":"Zhang","given":"Song"},{"family":"Cai","given":"Xiqiang"},{"family":"Wu","given":"Kaichun"},{"family":"Bergan","given":"Raymond C."},{"family":"Xu","given":"Li"},{"family":"Fan","given":"Daiming"}],"issued":{"date-parts":[["2015",2,20]]}}}],"schema":"https://github.com/citation-style-language/schema/raw/master/csl-citation.json"}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41</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FLT4</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clear cell renal cell carcinoma</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Clinical and mechanistic data identify germline genetic variants in VEGFA and FLT4 as markers of survival in patients with metastatic renal cell carcinoma.</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{"citationID":"J842jxsK","properties":{"formattedCitation":"\\super 42\\nosupersub{}","plainCitation":"42","noteIndex":0},"citationItems":[{"id":3221,"uris":["http://zotero.org/users/1985415/items/GNMVMVAK"],"uri":["http://zotero.org/users/1985415/items/GNMVMVAK"],"itemData":{"id":3221,"type":"article-journal","abstract":"Molecular markers of sorafenib efficacy in patients with metastatic renal cell carcinoma (mRCC) are not available. The purpose of this study was to discover genetic markers of survival in patients with mRCC treated with sorafenib. Germline variants from 56 genes were genotyped in 295 patients with mRCC. Variant-overall survival (OS) associations were tested in multivariate regression models. Mechanistic studies were conducted to validate clinical associations. VEGFA rs1885657, ITGAV rs3816375, and WWOX rs8047917 (sorafenib arm), and FLT4 rs307826 and VEGFA rs3024987 (sorafenib and placebo arms combined) were associated with shorter OS. FLT4 rs307826 increased VEGFR-3 phosphorylation, membrane trafficking, and receptor activation. VEGFA rs1885657 and rs58159269 increased transcriptional activity of the constructs containing these variants in endothelial and RCC cell lines, and VEGFA rs58159269 increased endothelial cell proliferation and tube formation. FLT4 rs307826 and VEGFA rs58159269 led to reduced sorafenib cytotoxicity. Genetic variation in VEGFA and FLT4 could affect survival in sorafenib-treated patients with mRCC. These markers should be examined in additional malignancies treated with sorafenib and in other angiogenesis inhibitors used in mRCC. SIGNIFICANCE: Clinical and mechanistic data identify germline genetic variants in VEGFA and FLT4 as markers of survival in patients with metastatic renal cell carcinoma.","container-title":"Cancer Research","DOI":"10.1158/0008-5472.CAN-18-1089","ISSN":"1538-7445","issue":"1","journalAbbreviation":"Cancer Res","language":"eng","note":"PMID: 30385613\nPMCID: PMC6541205","page":"231-241","source":"PubMed","title":"Genetic Variants of VEGFA and FLT4 Are Determinants of Survival in Renal Cell Carcinoma Patients Treated with Sorafenib","volume":"79","author":[{"family":"Crona","given":"Daniel J."},{"family":"Skol","given":"Andrew D."},{"family":"Leppänen","given":"Veli-Matti"},{"family":"Glubb","given":"Dylan M."},{"family":"Etheridge","given":"Amy S."},{"family":"Hilliard","given":"Eleanor"},{"family":"Peña","given":"Carol E."},{"family":"Peterson","given":"Yuri K."},{"family":"Klauber-DeMore","given":"Nancy"},{"family":"Alitalo","given":"Kari K."},{"family":"Innocenti","given":"Federico"}],"issued":{"date-parts":[["2019"]],"season":"01"}}}],"schema":"https://github.com/citation-style-language/schema/raw/master/csl-citation.json"}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42</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FLT4</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Lung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Flt-4-positive endothelial cell density, not Flt-4 status in tumor cells, was a significant prognostic factor in non-small cell lung cancer.</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{"citationID":"FnvC6JYc","properties":{"formattedCitation":"\\super 43\\nosupersub{}","plainCitation":"43","noteIndex":0},"citationItems":[{"id":3224,"uris":["http://zotero.org/users/1985415/items/NM2WP2HE"],"uri":["http://zotero.org/users/1985415/items/NM2WP2HE"],"itemData":{"id":3224,"type":"article-journal","abstract":"PURPOSE: Experimental studies have revealed that fms-like tyrosine kinase (Flt)-4 plays important roles in lymphangiogenesis in malignant tumors, but the clinical significance remains unclear. We assessed Flt-4 expression in tumor cells and in endothelial cells in correlation with clinical outcomes in non-small cell lung cancer (NSCLC).\nEXPERIMENTAL DESIGN: A total of 206 consecutive patients with resected pathological stage I-IIIA NSCLC were reviewed. Expression of Flt-4 was examined immunohistochemically, and Flt-4-positive microvessels were quantitatively evaluated (Flt-4-positive endothelial cell density).\nRESULTS: There was no significant correlation between Flt-4-positive endothelial cell density and any characteristic of patients including nodal metastases. A significant correlation between Flt-4-positive endothelial cell density and Flt-4 status in tumor cells was documented (P &lt; 0.001), but there was no significant difference in the mean Flt-4-positive endothelial cell density according to vascular endothelial growth factor-C or -D status in tumor cells. The 5-year survival rate for higher Flt-4-positive endothelial cell density tumor (56.4%) was significantly lower than that of lower Flt-4-positive endothelial cell density tumor (69.0%, P = 0.046); the prognostic significance was enhanced in pIIIA-N2 patients (5-year survival rates, 18.8% for higher Flt-4-positive endothelial cell density tumor and 50.0% for lower Flt-4-positive endothelial cell density tumor, respectively; P = 0.012). A multivariate analysis confirmed that higher Flt-4-positive endothelial cell density was a significant and independent prognostic factor (P = 0.019). CD34-positive vessel density or Flt-4 status in tumor cells was not a significant prognostic factor.\nCONCLUSIONS: Flt-4-positive endothelial cell density, not Flt-4 status in tumor cells, was a significant prognostic factor in NSCLC.","container-title":"Clinical Cancer Research: An Official Journal of the American Association for Cancer Research","DOI":"10.1158/1078-0432.CCR-04-0950","ISSN":"1078-0432","issue":"24","journalAbbreviation":"Clin Cancer Res","language":"eng","note":"PMID: 15623638","page":"8548-8553","source":"PubMed","title":"Flt-4-positive endothelial cell density and its clinical significance in non-small cell lung cancer","volume":"10","author":[{"family":"Chen","given":"Fengshi"},{"family":"Takenaka","given":"Kazumasa"},{"family":"Ogawa","given":"Eiji"},{"family":"Yanagihara","given":"Kazuhiro"},{"family":"Otake","given":"Yosuke"},{"family":"Wada","given":"Hiromi"},{"family":"Tanaka","given":"Fumihiro"}],"issued":{"date-parts":[["2004",12,15]]}}}],"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43</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FN1</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Gastric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the expression of FN1 in GC tissues is upregulated compared with adjacent normal tissues, and it is a potential biomarker of poor prognosis in patients with gastric cancer.</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{"citationID":"eXAZW6JN","properties":{"formattedCitation":"\\super 44\\nosupersub{}","plainCitation":"44","noteIndex":0},"citationItems":[{"id":3227,"uris":["http://zotero.org/users/1985415/items/I3NWNZZV"],"uri":["http://zotero.org/users/1985415/items/I3NWNZZV"],"itemData":{"id":3227,"type":"article-journal","abstract":"Fibronectin 1 (FN1) is involved in the occurrence and development of various tumors and is upregulated in multiple cancer types. FN1 has been demonstrated to promote cell proliferation and migration in gastric cancer cell lines. However, the relationship between the expression of FN1 and clinicopathological factors and prognosis is not clear in gastric cancer (GC). The aim of the present study was to investigate the association between FN1 expression and clinicopathology and prognosis of gastric cancer. In this study, 17 publicly available GC cohorts (n=2,376) with gene expression data from the Gene Expression Omnibus (GEO), The Cancer Genome Atlas (TCGA) and Oncomine databases were tested. In addition, FN1 protein expression was validated by immunohistochemistry in a separate cohort (n=190). The meta-analysis results demonstrated an increase in FN1 expression at the protein and mRNA level in GC tissues, and the FN1 gene was highly expressed at the mRNA level in the advanced T stage (T2 + T3 + T4) group compared with that in the early T stage (T1) group. In addition, the expression of epithelial FN1 at the protein level was positively correlated with tumor size. FN1 expression at the protein and mRNA level was a predictor of poor prognosis following radical resection of GC. In conclusion, the expression of FN1 in GC tissues is upregulated compared with adjacent normal tissues, and it is a potential biomarker of poor prognosis in patients with GC.","container-title":"Oncology Letters","DOI":"10.3892/ol.2019.11088","ISSN":"1792-1074","issue":"1","journalAbbreviation":"Oncol Lett","language":"eng","note":"PMID: 31897119\nPMCID: PMC6923922","page":"93-102","source":"PubMed","title":"High expression of fibronectin 1 indicates poor prognosis in gastric cancer","volume":"19","author":[{"family":"Sun","given":"Yang"},{"family":"Zhao","given":"Chunlin"},{"family":"Ye","given":"Yanwei"},{"family":"Wang","given":"Zhen"},{"family":"He","given":"Yuanhang"},{"family":"Li","given":"Yulin"},{"family":"Mao","given":"Haoxun"}],"issued":{"date-parts":[["2020",1]]}}}],"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44</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FN1</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renal cell carcinoma</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FN1 mRNA expression might serve as a marker for renal cell carcinoma aggressiveness.</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{"citationID":"yVxxauCA","properties":{"formattedCitation":"\\super 45\\nosupersub{}","plainCitation":"45","noteIndex":0},"citationItems":[{"id":3230,"uris":["http://zotero.org/users/1985415/items/CTIAEY2Q"],"uri":["http://zotero.org/users/1985415/items/CTIAEY2Q"],"itemData":{"id":3230,"type":"article-journal","abstract":"BACKGROUND: Fibronectin 1 (FN1) is a glycoprotein involved in cellular adhesion and migration processes. The aim of this study was to elucidate the role of FN1 in development of renal cell cancer (RCC) and to determine a prognostic relevance for optimal clinical management.\nMETHODS: 212 renal tissue samples (109 RCC, 86 corresponding tissues from adjacent normal renal tissue and 17 oncocytomas) were collected from patients undergoing surgery for renal tumors and subjected to total RNA extraction. Detection of FN1 mRNA expression was performed using quantitative real time PCR, three endogenous controls, renal proximal tubular epithelial cells (RPTEC) as biological control and the ΔΔCt method for calculation of relative quantities.\nRESULTS: Mean tissue specific FN1 mRNA expression was found to be increased approximately seven fold comparing RCC and corresponding kidney control tissues (p &lt; 0.001; ANOVA). Furthermore, tissue specific mean FN1 expression was increased approx. 11 fold in clear cell compared to papillary RCC (p = 9×10-5; Wilcoxon rank sum test). Patients with advanced disease had higher FN1 expression when compared to organ-confined disease (p &lt; 0.001; Wilcoxon rank sum test). Applying subgroup analysis we found a significantly higher FN1 mRNA expression between organ-confined and advanced disease in the papillary and not in the clear cell RCC group (p = 0.02 vs. p = 0.2; Wilcoxon rank sum test). There was an increased expression in RCC compared to oncocytoma (p = 0.016; ANOVA).\nCONCLUSIONS: To our knowledge, this is the first study to show that FN1 mRNA expression is higher in RCC compared to normal renal tissue. FN1 mRNA expression might serve as a marker for RCC aggressiveness, indicating early systemic progression particularly for patients with papillary RCC.","container-title":"BMC cancer","DOI":"10.1186/1471-2407-10-503","ISSN":"1471-2407","journalAbbreviation":"BMC Cancer","language":"eng","note":"PMID: 20860816\nPMCID: PMC2949811","page":"503","source":"PubMed","title":"Fibronectin 1 mRNA expression correlates with advanced disease in renal cancer","volume":"10","author":[{"family":"Waalkes","given":"Sandra"},{"family":"Atschekzei","given":"Faranaz"},{"family":"Kramer","given":"Mario W."},{"family":"Hennenlotter","given":"Jörg"},{"family":"Vetter","given":"Gesa"},{"family":"Becker","given":"Jan U."},{"family":"Stenzl","given":"Arnulf"},{"family":"Merseburger","given":"Axel S."},{"family":"Schrader","given":"Andres J."},{"family":"Kuczyk","given":"Markus A."},{"family":"Serth","given":"Jürgen"}],"issued":{"date-parts":[["2010",9,22]]}}}],"schema":"https://github.com/citation-style-language/schema/raw/master/csl-citation.json"}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45</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FN1</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Thyroid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Silencing of FN1 in TPC-1 and BCPAP thyroid cancer cells significantly reduced proliferation, adhesion, migration, and invasion in both cell lines.</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{"citationID":"UiXj92ma","properties":{"formattedCitation":"\\super 46\\nosupersub{}","plainCitation":"46","noteIndex":0},"citationItems":[{"id":3233,"uris":["http://zotero.org/users/1985415/items/C99KIW4R"],"uri":["http://zotero.org/users/1985415/items/C99KIW4R"],"itemData":{"id":3233,"type":"article-journal","abstract":"In this study we analyzed the expression levels of markers of epithelial-to-mesenchymal transition (EMT) in several papillary thyroid carcinomas (PTCs) and the relation with tumor genotypes and clinicopathological characteristics. The role of fibronectin-1 (FN1) was investigated by analyzing the effects of FN1 silencing in two human thyroid cancer cell lines. Most of EMT markers were significantly over-expressed in a group of 36 PTCs. In particular, FN1 mRNA levels were higher in tumor vs non-tumor tissue (117.3, p &lt; 0.001) and also in aggressive and BRAF(V600E) samples. Similar results were observed (and confirmed at the protein level) when FN1 expression was analyzed in a validation group of 50 PTCs and six lymph node (LN) metastases. Silencing of FN1 in TPC-1 and BCPAP thyroid cancer cells significantly reduced proliferation, adhesion, migration, and invasion in both cell lines. Collectively, our data indicate that FN1 overexpression is an important determinant of thyroid cancer aggressiveness.","container-title":"Molecular and Cellular Endocrinology","DOI":"10.1016/j.mce.2016.05.007","ISSN":"1872-8057","journalAbbreviation":"Mol Cell Endocrinol","language":"eng","note":"PMID: 27173027","page":"123-132","source":"PubMed","title":"Fibronectin-1 expression is increased in aggressive thyroid cancer and favors the migration and invasion of cancer cells","volume":"431","author":[{"family":"Sponziello","given":"Marialuisa"},{"family":"Rosignolo","given":"Francesca"},{"family":"Celano","given":"Marilena"},{"family":"Maggisano","given":"Valentina"},{"family":"Pecce","given":"Valeria"},{"family":"De Rose","given":"Roberta Francesca"},{"family":"Lombardo","given":"Giovanni Enrico"},{"family":"Durante","given":"Cosimo"},{"family":"Filetti","given":"Sebastiano"},{"family":"Damante","given":"Giuseppe"},{"family":"Russo","given":"Diego"},{"family":"Bulotta","given":"Stefania"}],"issued":{"date-parts":[["2016"]],"season":"15"}}}],"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46</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FN1</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Breast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Systematic identification of the key candidate genes in breast cancer stroma.</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{"citationID":"ROQyyiPj","properties":{"formattedCitation":"\\super 47\\nosupersub{}","plainCitation":"47","noteIndex":0},"citationItems":[{"id":3238,"uris":["http://zotero.org/users/1985415/items/34FI9RQI"],"uri":["http://zotero.org/users/1985415/items/34FI9RQI"],"itemData":{"id":3238,"type":"article-journal","abstract":"Background: Tumor microenvironment, in particular the stroma, plays an important role in breast cancer cell invasion and metastasis. Investigation of the molecular characteristics of breast cancer stroma may reveal targets for future study.\nMethods: The transcriptome profiles of breast cancer stroma and normal breast stroma were compared to identify differentially expressed genes (DEGs). The method was analysis of GSE26910 and GSE10797 datasets. Common DEGs were identified and then analyses of enriched pathways and hub genes were performed.\nResults: A total of 146 DEGs were common to GSE26910 and GSE10797. The enriched pathways were associated with \"extracellular matrix (ECM) organization\", \"ECM-receptor interaction\" and \"focal adhesion\". Network analysis identified six key genes, including JUN, FOS, ATF3, STAT1, COL1A1 and FN1. Notably, COL1A1 and FN1 were identified for the first time as cancer stromal key genes associated with breast cancer invasion and metastasis. Oncome analysis showed that the high expression levels of COL1A1 and FN1 correlated to an advanced stage of breast cancer and poor clinical outcomes.\nConclusions: We found that several conserved tumor stromal genes might regulate breast cancer invasion through ECM remodeling. The clinical outcome analyses of COL1A1 and FN1 suggest these two genes are promising targets for future studies.","container-title":"Cellular &amp; Molecular Biology Letters","DOI":"10.1186/s11658-018-0110-4","ISSN":"1689-1392","journalAbbreviation":"Cell Mol Biol Lett","language":"eng","note":"PMID: 30237810\nPMCID: PMC6142385","page":"44","source":"PubMed","title":"Systematic identification of the key candidate genes in breast cancer stroma","volume":"23","author":[{"family":"Wang","given":"Yanxia"},{"family":"Xu","given":"Hui"},{"family":"Zhu","given":"Baoan"},{"family":"Qiu","given":"Zhenling"},{"family":"Lin","given":"Zaijun"}],"issued":{"date-parts":[["2018"]]}}}],"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47</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FN1</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 xml:space="preserve">Gliomas </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The prominent role played by FN1 in stimulating glioma growth, invasion, and survival through the activation of the PI3K/AKT signaling pathway.</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{"citationID":"tlXcjxxk","properties":{"formattedCitation":"\\super 48\\nosupersub{}","plainCitation":"48","noteIndex":0},"citationItems":[{"id":3241,"uris":["http://zotero.org/users/1985415/items/4NSEALDG"],"uri":["http://zotero.org/users/1985415/items/4NSEALDG"],"itemData":{"id":3241,"type":"article-journal","abstract":"BACKGROUND/AIMS: The current study aimed to investigate the role by which fibronectin 1 (FN1) influences the cell cycle, senescence and apoptosis in human glioma cells through the PI3K/ AKT signaling pathway.\nMETHODS: Differentially expressed genes (DEGs) were identified based on gene expression data (GSE12657, GSE15824 and GSE45921 datasets) and probe annotation files from Gene Expression Omnibus. The DEGs were identified in connection with gene ontology (GO) enrichment analysis and with the Kyoto Encyclopedia of Genes and Genomes (KEGG) pathway enrichment analysis. The positive expression of the FN1 protein was detected by immunohistochemistry. The glioma cell lines U251 and T98G were selected and assigned into blank, negative control (NC) and siRNA-FN1 groups. A dual luciferase reporter gene assay was used to investigate the effects of FN1 on transcriptional activity through the PI3K/AKT signaling pathway. An MTT assay was applied for the detection of cell proliferation, while flow cytometry was employed for cell cycle stage and cellular apoptosis detection. β-galactosidase staining was utilized to detect cellular senescence, a scratch test was applied to evaluate cell migration, and a transwell assay was used to analyze cell invasion. Western blotting and qRT-PCR methods were used to detect the protein and mRNA expression levels, respectively, of the FN1 gene and the related genes in the PI3K/AKT pathway (PI3K, AKT and PTEN), the cell cycle (pRb, CDK4 and Cyclin D1) and cell senescence (p16 and p21) among the collected tissues and cells.\nRESULTS: GSE12657 profiling revealed FN1 to be the most upregulated gene in glioma. Regarding the GSE12657 and GSE15824 datasets, FN1 gene expression was higher in glioma tissues than in normal tissues. GO enrichment analysis and KEGG pathway enrichment analysis indicated that FN1 is involved in the synthesis of extracellular matrix (ECM) components and the PI3K/AKT signaling pathway. Verification was provided, indicating the role played by the FN1 gene in the regulation of the PI3K/AKT signaling pathway, as silencing the FN1 gene was found to inhibit cell proliferation, promote cell apoptosis and senescence, and reduce migration and invasion through the down-regulation of FN1 gene expression and disruption of the PI3K-AKT signaling pathway.\nCONCLUSION: The findings of this study provide evidence highlighting the prominent role played by FN1 in stimulating glioma growth, invasion, and survival through the activation of the PI3K/AKT signaling pathway.","container-title":"Cellular Physiology and Biochemistry: International Journal of Experimental Cellular Physiology, Biochemistry, and Pharmacology","DOI":"10.1159/000492096","ISSN":"1421-9778","issue":"3","journalAbbreviation":"Cell Physiol Biochem","language":"eng","note":"PMID: 30048971","page":"1382-1396","source":"PubMed","title":"Effects of Fibronectin 1 on Cell Proliferation, Senescence and Apoptosis of Human Glioma Cells Through the PI3K/AKT Signaling Pathway","volume":"48","author":[{"family":"Liao","given":"Yu-Xiang"},{"family":"Zhang","given":"Zhi-Ping"},{"family":"Zhao","given":"Jie"},{"family":"Liu","given":"Jing-Ping"}],"issued":{"date-parts":[["2018"]]}}}],"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48</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FN1</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Colorectal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HMGA2 bound directly to the promoters of FN1 and IL11 and significantly induced their transcriptional activities.</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{"citationID":"ZlrFGZPA","properties":{"formattedCitation":"\\super 49\\nosupersub{}","plainCitation":"49","noteIndex":0},"citationItems":[{"id":3247,"uris":["http://zotero.org/users/1985415/items/3S8CFBWP"],"uri":["http://zotero.org/users/1985415/items/3S8CFBWP"],"itemData":{"id":3247,"type":"article-journal","abstract":"Colorectal cancer (CRC) is the second leading cause of cancer deaths worldwide, and metastasis is the principle reason for its poor prognosis. Overexpression of high-mobility gene group A2 (HMGA2) contributes to the aggressiveness of CRC. However, the underlying molecular mechanism of its overexpression is still elusive. In this study, we showed that ectopic expression of HMGA2 significantly enhanced cell migration and invasion in vitro and promoted tumor growth and distant metastasis in vivo In contrast, the silencing of HMGA2 produced the opposite effects in vitro and in vivo Chromatin immunoprecipitation-PCR and luciferase assays revealed that HMGA2 bound directly to the promoters of FN1 and IL11 and significantly induced their transcriptional activities. Moreover, as the direct downstream target of HMGA2, IL11 modulated cell migration and invasion through a pSTAT3-dependent signaling pathway. Furthermore, a strong positive correlation between HMGA2 and IL11 expression was identified in 122 CRC tissues. High IL11 expression was associated with poor differentiation, a large tumor size, lymph node metastasis and low overall survival in CRC patients. Collectively, our data reveal novel insights into the molecular mechanisms underlying HMGA2-mediated CRC metastasis and highlight the possibility of targeting HMGA2 and IL11 for treating CRC patients with metastasis.","container-title":"Carcinogenesis","DOI":"10.1093/carcin/bgw029","ISSN":"1460-2180","issue":"5","journalAbbreviation":"Carcinogenesis","language":"eng","note":"PMID: 26964871","page":"511-521","source":"PubMed","title":"Transcriptional activation of FN1 and IL11 by HMGA2 promotes the malignant behavior of colorectal cancer","volume":"37","author":[{"family":"Wu","given":"Jingjing"},{"family":"Wang","given":"Yuhong"},{"family":"Xu","given":"Xi"},{"family":"Cao","given":"Hui"},{"family":"Sahengbieke","given":"Sana"},{"family":"Sheng","given":"Hongqiang"},{"family":"Huang","given":"Qiong"},{"family":"Lai","given":"Maode"}],"issued":{"date-parts":[["2016"]]}}}],"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49</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LAMB3</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Thyroid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knockdown of LAMB3 inhibited the proliferation, colony formation, migration, and invasive capacity of papillary thyroid cancer.</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{"citationID":"PvZ9dkVk","properties":{"formattedCitation":"\\super 50\\nosupersub{}","plainCitation":"50","noteIndex":0},"citationItems":[{"id":3250,"uris":["http://zotero.org/users/1985415/items/WIAVGCWY"],"uri":["http://zotero.org/users/1985415/items/WIAVGCWY"],"itemData":{"id":3250,"type":"article-journal","abstract":"Background: Thyroid cancer is the most commonly reported endocrine malignancy, and its increased incidence has been the highest in all human tumors in recent decades. To investigate the mechanism of papillary thyroid cancer (PTC) occurrence and progression, we performed RNA sequencing and found an upregulated gene, LAMB3. However, the biological function of LAMB3 is still not clear.\nMaterials and methods: We analyzed LAMB3 expression using The Cancer Genome Atlas (TCGA) database and hypothesized LAMB3 to be a gene associated with PTC. To test this hypothesis, we collected 89 pairs of thyroid nodules and adjacent normal thyroid tissues (56 pairs of PTCs, 33 pairs of benign thyroid nodules). Afterward, we performed real-time quantitative polymerase chain reaction (RT-qPCR) to investigate LAMB3 expression in thyroid nodule patients, and then analyzed clinicopathologic features. We performed proliferation, colony formation, migration, and invasion assays to determine the function of LAMB3 in PTC.\nResults: We demonstrated that LAMB3 plays oncogenic roles in PTC. The relative expression of LAMB3 is significantly upregulated in PTC compared with matched thyroid normal tissues in validated cohort and TCGA cohort (P&lt;0.001). We also checked area under the curve (AUC of receiver operator characteristic [ROC]) of 97.3% for validated cohort and 90.1% for TCGA cohort to differentiate PTC tumors from normal tissues. In clinicopathologic feature analysis, we found that upregulated LAMB3 is closely related to lymph node metastasis (P=0.018). Furthermore, knockdown of LAMB3 inhibited the proliferation, colony formation, migration, and invasive capacity of PTC.\nConclusion: This study indicated that LAMB3 is a gene associated with PTC.","container-title":"OncoTargets and Therapy","DOI":"10.2147/OTT.S149613","ISSN":"1178-6930","journalAbbreviation":"Onco Targets Ther","language":"eng","note":"PMID: 29317832\nPMCID: PMC5743181","page":"37-46","source":"PubMed","title":"Upregulated LAMB3 increases proliferation and metastasis in thyroid cancer","volume":"11","author":[{"family":"Wang","given":"Yinghao"},{"family":"Jin","given":"Yixiang"},{"family":"Bhandari","given":"Adheesh"},{"family":"Yao","given":"Zhihan"},{"family":"Yang","given":"Fan"},{"family":"Pan","given":"Yiyuan"},{"family":"Zheng","given":"Zhouci"},{"family":"Lv","given":"Shixu"},{"family":"Wang","given":"Ouchen"}],"issued":{"date-parts":[["2018"]]}}}],"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50</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POSTN</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Colorectal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POSTN overexpression in tumor stroma of colorectal cancers could be a possible candidate marker for predicting poor prognosis in patients with colorectal cancers.</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{"citationID":"2P8c4mN4","properties":{"formattedCitation":"\\super 51\\nosupersub{}","plainCitation":"51","noteIndex":0},"citationItems":[{"id":3253,"uris":["http://zotero.org/users/1985415/items/B28I8ZQE"],"uri":["http://zotero.org/users/1985415/items/B28I8ZQE"],"itemData":{"id":3253,"type":"article-journal","abstract":"BACKGROUND: Tumor microenvironment has recently drawn attention in that it is related with tumor prognosis. Cancer-associated fibroblast also plays a critical role in cancer invasiveness and progression in colorectal cancers. Periostin (POSTN), originally identified to be expressed in osteoblasts and osteoblast-derived cells, is expressed in cancer-associated fibroblasts in several tissue types of cancer. Recent studies suggest an association between stromal overexpression of POSTN and poor prognosis of cancer patients.\nMETHODS: We analyzed colorectal cancer cases for their expression status of POSTN in tumor stroma using immunohistochemistry and correlated the expression status with clinicopathological and molecular features.\nRESULTS: High level of POSTN expression in tumor stroma was closely associated with tumor location in proximal colon, infiltrative growth pattern, undifferentiated histology, tumor budding, luminal necrosis, and higher TNM stage. High expression status of POSTN in tumor stroma was found to be an independent prognostic parameter implicating poor 5-year cancer-specific survival and 5-year progression-free survival.\nCONCLUSIONS: Our findings suggest that POSTN overexpression in tumor stroma of colorectal cancers could be a possible candidate marker for predicting poor prognosis in patients with colorectal cancers.","container-title":"Journal of Pathology and Translational Medicine","DOI":"10.4132/jptm.2017.01.19","ISSN":"2383-7837","issue":"3","journalAbbreviation":"J Pathol Transl Med","language":"eng","note":"PMID: 28407462\nPMCID: PMC5445202","page":"306-313","source":"PubMed","title":"Overexpression of POSTN in Tumor Stroma Is a Poor Prognostic Indicator of Colorectal Cancer","volume":"51","author":[{"family":"Oh","given":"Hyeon Jeong"},{"family":"Bae","given":"Jeong Mo"},{"family":"Wen","given":"Xian-Yu"},{"family":"Cho","given":"Nam-Yun"},{"family":"Kim","given":"Jung Ho"},{"family":"Kang","given":"Gyeong Hoon"}],"issued":{"date-parts":[["2017",5]]}}}],"schema":"https://github.com/citation-style-language/schema/raw/master/csl-citation.json"}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51</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POSTN</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Colon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Survival-promoting function is crucial for periostin to promote tumor metastasis of colon cancer.</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{"citationID":"nvQlXObe","properties":{"formattedCitation":"\\super 52\\nosupersub{}","plainCitation":"52","noteIndex":0},"citationItems":[{"id":3256,"uris":["http://zotero.org/users/1985415/items/K7R5P5CE"],"uri":["http://zotero.org/users/1985415/items/K7R5P5CE"],"itemData":{"id":3256,"type":"article-journal","abstract":"Molecular mechanisms associated with tumor metastasis remain poorly understood. Here we report that acquired expression of periostin by colon cancer cells greatly promoted metastatic development of colon tumors. Periostin is overexpressed in more than 80% of human colon cancers examined with highest expression in metastatic tumors. Periostin expression dramatically enhanced metastatic growth of colon cancer by both preventing stress-induced apoptosis in the cancer cells and augmenting endothelial cell survival to promote angiogenesis. At the molecular level, periostin activated the Akt/PKB signaling pathway through the alpha(v)beta(3) integrins to increase cellular survival. These data demonstrated that the survival-promoting function is crucial for periostin to promote tumor metastasis of colon cancer.","container-title":"Cancer Cell","DOI":"10.1016/s1535-6108(04)00081-9","ISSN":"1535-6108","issue":"4","journalAbbreviation":"Cancer Cell","language":"eng","note":"PMID: 15093540","page":"329-339","source":"PubMed","title":"Periostin potently promotes metastatic growth of colon cancer by augmenting cell survival via the Akt/PKB pathway","volume":"5","author":[{"family":"Bao","given":"Shideng"},{"family":"Ouyang","given":"Gaoliang"},{"family":"Bai","given":"Xuefang"},{"family":"Huang","given":"Zhi"},{"family":"Ma","given":"Chaoyu"},{"family":"Liu","given":"Ming"},{"family":"Shao","given":"Rong"},{"family":"Anderson","given":"Ryan M."},{"family":"Rich","given":"Jeremy N."},{"family":"Wang","given":"Xiao-Fan"}],"issued":{"date-parts":[["2004",4]]}}}],"schema":"https://github.com/citation-style-language/schema/raw/master/csl-citation.json"}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52</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POSTN</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Head and Neck squamous cell carcinoma</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CAF-derived POSTN might promote cancer stemness via interacting with PTK7 in head and neck squamous cell carcinoma, suggesting that the combination of POSTN and PTK7 might be a potential prognostic and diagnostic indicator and a promising therapeutic target.</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{"citationID":"5coqWp24","properties":{"formattedCitation":"\\super 53(p7)\\nosupersub{}","plainCitation":"53(p7)","noteIndex":0},"citationItems":[{"id":3258,"uris":["http://zotero.org/users/1985415/items/28K43H5N"],"uri":["http://zotero.org/users/1985415/items/28K43H5N"],"itemData":{"id":3258,"type":"article-journal","abstract":"Protein tyrosine kinase 7 (PTK7) and cancer-associated fibroblasts (CAFs) play important roles in cancer stemness, respectively. However, little is known about interaction between CAFs and PTK7 in cancers. In this study, we showed that PTK7 was significantly correlated with the Wnt/β-Catenin pathway and aggressive clinicopathologic features in human head and neck squamous cell carcinoma (HNSCC). Meanwhile, animal experiments showed that PTK7 enhanced chemoresistance and lung metastasis of HNSCC in vivo. In addition, co-immunoprecipitation (co-IP) assay demonstrated that POSTN secreted by CAFs was a potential upstream ligand of PTK7 which might act as a receptor. Further analysis revealed that POSTN promoted the cancer stem cell (CSC)-like phenotype via PTK7-Wnt/β-Catenin signaling, including the proliferation and invasion of HNSCC cells in vitro, as well as tumor initiation and progression in vivo. Collectively, our study proved that CAF-derived POSTN might promote cancer stemness via interacting with PTK7 in HNSCC, suggesting that the combination of POSTN and PTK7 might be a potential prognostic and diagnostic indicator and a  promising therapeutic target.","container-title":"Cell Death &amp; Disease","DOI":"10.1038/s41419-018-1116-6","ISSN":"2041-4889","issue":"11","journalAbbreviation":"Cell Death Dis","language":"eng","note":"PMID: 30348980\nPMCID: PMC6197282","page":"1082","source":"PubMed","title":"Periostin secreted by cancer-associated fibroblasts promotes cancer stemness in head and neck cancer by activating protein tyrosine kinase 7","volume":"9","author":[{"family":"Yu","given":"Binbin"},{"family":"Wu","given":"Kailiu"},{"family":"Wang","given":"Xu"},{"family":"Zhang","given":"Jianjun"},{"family":"Wang","given":"Lizhen"},{"family":"Jiang","given":"Yingying"},{"family":"Zhu","given":"Xueqin"},{"family":"Chen","given":"Wantao"},{"family":"Yan","given":"Ming"}],"issued":{"date-parts":[["2018"]],"season":"22"}},"locator":"7"}],"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53(p7)</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POSTN</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Pancreatic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two four-hub gene modules as specific predictive signatures for the diagnosis and prognosis of pancreatic cancer, which may bring new sight for the clinical practice of pancreatic cancer.</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{"citationID":"hWEhVI2E","properties":{"formattedCitation":"\\super 54\\nosupersub{}","plainCitation":"54","noteIndex":0},"citationItems":[{"id":3263,"uris":["http://zotero.org/users/1985415/items/8ACPMMRQ"],"uri":["http://zotero.org/users/1985415/items/8ACPMMRQ"],"itemData":{"id":3263,"type":"article-journal","abstract":"BACKGROUND: The hunt for the molecular markers with specificity and sensitivity has been a hot area for the tumor treatment. Due to the poor diagnosis and prognosis of pancreatic cancer (PC), the excision rate is often low, which makes it more urgent to find the ideal tumor markers.\nMETHODS: Robust Rank Aggreg (RRA) methods was firstly applied to identify the differentially expressed genes (DEGs) between PC tissues and normal tissues from GSE28735, GSE15471, GSE16515, and GSE101448. Among these DEGs, the highly correlated genes were clustered using WGCNA analysis. The co-expression networks and molecular complex detection (MCODE) Cytoscape app were then performed to find the sub-clusters and confirm 35 candidate genes. For these genes, least absolute shrinkage and selection operator (lasso) regression model was applied and validated to build a diagnostic risk score model. Cox proportional hazard regression analysis was used and validated to build a prognostic model.\nRESULTS: Based on integrated transcriptomic analysis, we identified a 19 gene module (SYCN, PNLIPRP1, CAP2, GNMT, MAT1A, ABAT, GPT2, ADHFE1, PHGDH, PSAT1, ERP27, PDIA2, MT1H, COMP, COL5A2, FN1, COL1A2, FAP and POSTN) as a specific predictive signature for the diagnosis of PC. Based on the two consideration, accuracy and feasibility, we simplified the diagnostic risk model as a four-gene model: 0.3034*log2(MAT1A)-0.1526*log2(MT1H) + 0.4645*log2(FN1) -0.2244*log2(FAP), log2(gene count). Besides, a four-hub gene module was also identified as prognostic model = - 1.400*log2(CEL) + 1.321*log2(CPA1) + 0.454*log2(POSTN) + 1.011*log2(PM20D1), log2(gene count).\nCONCLUSION: Integrated transcriptomic analysis identifies two four-hub gene modules as specific predictive signatures for the diagnosis and prognosis of PC, which may bring new sight for the clinical practice of PC.","container-title":"Molecular Medicine (Cambridge, Mass.)","DOI":"10.1186/s10020-019-0113-2","ISSN":"1528-3658","issue":"1","journalAbbreviation":"Mol Med","language":"eng","note":"PMID: 31706267\nPMCID: PMC6842480","page":"47","source":"PubMed","title":"Integrated transcriptomic analysis reveals hub genes involved in diagnosis and prognosis of pancreatic cancer","volume":"25","author":[{"family":"Zhou","given":"Yang-Yang"},{"family":"Chen","given":"Li-Ping"},{"family":"Zhang","given":"Yi"},{"family":"Hu","given":"Sun-Kuan"},{"family":"Dong","given":"Zhao-Jun"},{"family":"Wu","given":"Ming"},{"family":"Chen","given":"Qiu-Xiang"},{"family":"Zhuang","given":"Zhi-Zhi"},{"family":"Du","given":"Xiao-Jing"}],"issued":{"date-parts":[["2019"]],"season":"09"}}}],"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54</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POSTN</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Prostate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POSTN is associated with poor clinical features and worse outcome in patients with prostate cancer.</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{"citationID":"6OnJ7xRF","properties":{"formattedCitation":"\\super 55\\nosupersub{}","plainCitation":"55","noteIndex":0},"citationItems":[{"id":3268,"uris":["http://zotero.org/users/1985415/items/NBL6YP46"],"uri":["http://zotero.org/users/1985415/items/NBL6YP46"],"itemData":{"id":3268,"type":"article-journal","abstract":"Periostin (POSTN) is an extracellular matrix protein associated with tumor progression and shorter survival in prostate cancer (PCa). Here, we performed an integrative analysis of POSTN's role in patients with PCa. Clinical and POSTN data from large-scale datasets were analyzed. POSTN cutoffs were identified with X-Tile, and STRING was used for protein-protein interaction analysis. In a cohort of 48 patients with metastatic castration-resistant prostate cancer (mCRPC), we used the AdnaTest platform to isolate circulating tumor cells and extract POSTN mRNA. Plasma samples were also tested for POSTN protein expression by dot blot assay. Data from large-scale datasets did not reveal any association between POSTN genetic alterations and outcome. In primary tumors, we found a significant correlation between POSTN mRNA overexpression, worse baseline prognostic features, and shorter disease-free survival. POSTN was overexpressed in mCRPC and correlated with aggressive features. In our cohort of mCRPC patients, we found a positive correlation between POSTN plasma levels and androgen-receptor variant 7 positivity and an association with shorter overall survival. Our integrative analysis shows that POSTN is associated with poor clinical features and worse outcome in patients with PCa. Further studies are warranted to uncover the function of POSTN in PCa progression and to validate the prognostic significance of POSTN in mCRPC.","container-title":"Translational Oncology","DOI":"10.1016/j.tranon.2020.100789","ISSN":"1936-5233","issue":"7","journalAbbreviation":"Transl Oncol","language":"eng","note":"PMID: 32416542\nPMCID: PMC7248449","page":"100789","source":"PubMed","title":"Integrative Analysis of Periostin in Primary and Advanced Prostate Cancer","volume":"13","author":[{"family":"Cattrini","given":"Carlo"},{"family":"Barboro","given":"Paola"},{"family":"Rubagotti","given":"Alessandra"},{"family":"Zinoli","given":"Linda"},{"family":"Zanardi","given":"Elisa"},{"family":"Capaia","given":"Matteo"},{"family":"Boccardo","given":"Francesco"}],"issued":{"date-parts":[["2020",7]]}}}],"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55</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SEMA3C</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Breast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Increased expression of SEMA3C may be modulating breast cancer progression and angiogenesis, and could represent a biomarker of metastatic disease.</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{"citationID":"KK3w0kLm","properties":{"formattedCitation":"\\super 56\\nosupersub{}","plainCitation":"56","noteIndex":0},"citationItems":[{"id":3271,"uris":["http://zotero.org/users/1985415/items/7WE9LLRD"],"uri":["http://zotero.org/users/1985415/items/7WE9LLRD"],"itemData":{"id":3271,"type":"article-journal","abstract":"This study aimed to identify the expression of semaphorin 3C (SEMA3C) in the normal-metastatic spectrum of breast and oral cancers, and correlate expression with microvessel density (MVD, CD31), a surrogate marker of angiogenesis. Histological analysis revealed that SEMA3C expression was reduced in the development of oral cancer from normal oral tissue (P&lt;0.0001) and expression was inversely correlated with MVD (r=-0.394, P=0.05). In contrast, SEMA3C expression increased in the transition from normal to invasive breast disease in epithelial/tumour cells (P=0.001) and endothelial cells (P=0.006), with both correlating weakly with MVD (r=0.35, p=0.03 and r=0.243, p=0.041 respectively). Furthermore, histological analysis of a breast cancer tissue microarray revealed a weak positive correlation with tumour grade (r=0.305, P=&lt;0.001) and biological phenotype (r=0.237, p=0.004) with tumour cell expression of SEMA3C highest in triple negative and ER-, PR-, HER2+ subtypes. These data suggest that SEMA3C expression is differentially regulated in the development and progression of breast versus oral neoplasia, and that increased expression of SEMA3C may be modulating breast cancer progression and angiogenesis, and could represent a biomarker of metastatic disease.","container-title":"Experimental and Molecular Pathology","DOI":"10.1016/j.yexmp.2015.03.041","ISSN":"1096-0945","issue":"1","journalAbbreviation":"Exp Mol Pathol","language":"eng","note":"PMID: 25910410","page":"19-24","source":"PubMed","title":"The relationship between semaphorin 3C and microvessel density in the progression of breast and oral neoplasia","volume":"99","author":[{"family":"Cole-Healy","given":"Zachary"},{"family":"Vergani","given":"Patricia"},{"family":"Hunter","given":"Keith"},{"family":"Brown","given":"Nicola J."},{"family":"Reed","given":"Malcolm W. R."},{"family":"Staton","given":"Carolyn A."}],"issued":{"date-parts":[["2015",8]]}}}],"schema":"https://github.com/citation-style-language/schema/raw/master/csl-citation.json"}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56</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SEMA3C</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Cervical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SEMA3C is correlated with poor prognosis of cervical cancer patients and promotes tumor growth via the activation of the p-ERK pathway.</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{"citationID":"Yko3Tf6N","properties":{"formattedCitation":"\\super 57\\nosupersub{}","plainCitation":"57","noteIndex":0},"citationItems":[{"id":3273,"uris":["http://zotero.org/users/1985415/items/TFZISSVU"],"uri":["http://zotero.org/users/1985415/items/TFZISSVU"],"itemData":{"id":3273,"type":"article-journal","abstract":"Introduction: Aberrant activation of Semaphorin3C(SEMA3C) is widespread in human cancers. We aimed to analyze SEMA3C expression in cervical cancer and investigate the role of SEMA3C in cervical cancer and its underlying mechanism, which is important for exploring new therapeutic targets and prognostic factors. Materials and Methods: The expression of SEMA3C was examined in paraffin-embedded cervical cancer specimens. In vivo and in vitro assays were performed to validate the effect of SEMA3C on cervical cancer cell proliferation and p-ERK pathway activation. Gene Set Enrichment Analysis (GSEA) was performed using The Cancer Genome Atlas (TCGA) data set. Results: SEMA3C expression was associated with poor survival in both the TCGA cohort and our cohort. Silencing of SEMA3C suppressed cervical cancer cell proliferation, colony formation ability, and the activation of the p-ERK signaling pathway in vitro. SEMA3C depletion inhibited tumor growth in vitro. GSEA also showed that the epithelial mesenchymal transition (EMT), TGFβ signaling pathway, angiogenesis, and extracellular matrix (ECM) receptor interactions are associated with a high SEMA3C expression phenotype. Conclusion: SEMA3C is correlated with poor prognosis of cervical cancer patients and promotes tumor growth via the activation of the p-ERK pathway.","container-title":"Frontiers in Oncology","DOI":"10.3389/fonc.2019.01035","ISSN":"2234-943X","journalAbbreviation":"Front Oncol","language":"eng","note":"PMID: 31649890\nPMCID: PMC6794562","page":"1035","source":"PubMed","title":"SEMA3C Promotes Cervical Cancer Growth and Is Associated With Poor Prognosis","volume":"9","author":[{"family":"Liu","given":"Ruoyan"},{"family":"Shuai","given":"Yanjie"},{"family":"Luo","given":"Jingtao"},{"family":"Zhang","given":"Ze"}],"issued":{"date-parts":[["2019"]]}}}],"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57</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SEMA3C</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 xml:space="preserve">Gliomas </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Increased levels of Sema3C protein may be associated with the progression of glioma tumor and has a potential as a prognostic marker for outcome of glioma patients.</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{"citationID":"6LtNfkuB","properties":{"formattedCitation":"\\super 58\\nosupersub{}","plainCitation":"58","noteIndex":0},"citationItems":[{"id":3276,"uris":["http://zotero.org/users/1985415/items/KUEQ7HM7"],"uri":["http://zotero.org/users/1985415/items/KUEQ7HM7"],"itemData":{"id":3276,"type":"article-journal","abstract":"BACKGROUND: Malignant gliomas are characterized by the tendency of cancerous glial cells to infiltrate into normal brain tissue, thereby complicating targeted treatment of this type of cancer. Recent studies suggested involvement of Sema3C (semaphorin 3C) protein in tumorigenesis and metastasis in a number of cancers. The role of Sema3C in gliomagenesis is currently unclear. In this study, we investigated how expression levels of Sema3C in post-operative glioma tumors are associated with the malignancy grade and the survival of the patient.\nFINDINGS: Western blot analysis was used for detection of Sema3C protein levels in 84 different grade glioma samples: 12 grade I astrocytomas, 30 grade II astrocytomas, 17 grade III astrocytomas, and 25 grade IV astrocytomas (glioblastomas). Sema3C mRNA levels in gliomas were analysed by real-time PCR. Several statistical methods have been used to investigate associations between Sema3C protein and mRNA levels and clinical variables and survival outcome. The results demonstrated that protein levels of Sema3C were markedly increased in glioblastomas compared to grade I-III astrocytoma tissues and were significantly associated with the shorter overall survival of patients. High accumulation of Sema3C positively associated with the age of patients and pathological grade, but did not correlate with patient's gender. Sema3C mRNA levels showed no association with either grade of glioma or patient survival.\nCONCLUSIONS: The data presented in this work suggest that the increased levels of Sema3C protein may be associated with the progression of glioma tumor and has a potential as a prognostic marker for outcome of glioma patients.\nVIRTUAL SLIDES: The virtual slide(s) for this article can be found here: http://www.diagnosticpathology.diagnomx.eu/vs/1564066714158642.","container-title":"Diagnostic Pathology","DOI":"10.1186/s13000-015-0298-9","ISSN":"1746-1596","journalAbbreviation":"Diagn Pathol","language":"eng","note":"PMID: 26032848\nPMCID: PMC4450827","page":"58","source":"PubMed","title":"High level of Sema3C is associated with glioma malignancy","volume":"10","author":[{"family":"Vaitkienė","given":"Paulina"},{"family":"Skiriutė","given":"Daina"},{"family":"Steponaitis","given":"Giedrius"},{"family":"Skauminas","given":"Kęstutis"},{"family":"Tamašauskas","given":"Arimantas"},{"family":"Kazlauskas","given":"Arunas"}],"issued":{"date-parts":[["2015",6,2]]}}}],"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58</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SEMA3C</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Prostate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SEMA3C promotes migration and invasion in vitro and cell dissemination in vivo.</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{"citationID":"qrdRJzxF","properties":{"formattedCitation":"\\super 59\\nosupersub{}","plainCitation":"59","noteIndex":0},"citationItems":[{"id":3282,"uris":["http://zotero.org/users/1985415/items/CATRN3VF"],"uri":["http://zotero.org/users/1985415/items/CATRN3VF"],"itemData":{"id":3282,"type":"article-journal","abstract":"Prostate cancer (PCa) is among the most commonly-occurring cancers worldwide and a leader in cancer-related deaths. Local non-invasive PCa is highly treatable but limited treatment options exist for those with locally-advanced and metastatic forms of the disease underscoring the need to identify mechanisms mediating PCa progression. The semaphorins are a large grouping of membrane-associated or secreted signalling proteins whose normal roles reside in embryogenesis and neuronal development. In this context, semaphorins help establish chemotactic gradients and direct cell movement. Various semaphorin family members have been found to be up- and down-regulated in a number of cancers. One family member, Semaphorin 3 C (SEMA3C), has been implicated in prostate, breast, ovarian, gastric, lung, and pancreatic cancer as well as glioblastoma. Given SEMA3C's roles in development and its augmented expression in PCa, we hypothesized that SEMA3C promotes epithelial-to-mesenchymal transition (EMT) and stem-like phenotypes in prostate cells. In the present study we show that ectopic expression of SEMA3C in RWPE-1 promotes the upregulation of EMT and stem markers, heightened sphere-formation, and cell plasticity. In addition, we show that SEMA3C promotes migration and invasion in vitro and cell dissemination in vivo.","container-title":"Scientific Reports","DOI":"10.1038/s41598-017-11914-6","ISSN":"2045-2322","issue":"1","journalAbbreviation":"Sci Rep","language":"eng","note":"PMID: 28904399\nPMCID: PMC5597577","page":"11501","source":"PubMed","title":"Semaphorin 3 C drives epithelial-to-mesenchymal transition, invasiveness, and stem-like characteristics in prostate cells","volume":"7","author":[{"family":"Tam","given":"Kevin J."},{"family":"Hui","given":"Daniel H. F."},{"family":"Lee","given":"Wilson W."},{"family":"Dong","given":"Mingshu"},{"family":"Tombe","given":"Tabitha"},{"family":"Jiao","given":"Ivy Z. F."},{"family":"Khosravi","given":"Shahram"},{"family":"Takeuchi","given":"Ario"},{"family":"Peacock","given":"James W."},{"family":"Ivanova","given":"Larissa"},{"family":"Moskalev","given":"Igor"},{"family":"Gleave","given":"Martin E."},{"family":"Buttyan","given":"Ralph"},{"family":"Cox","given":"Michael E."},{"family":"Ong","given":"Christopher J."}],"issued":{"date-parts":[["2017"]],"season":"13"}}}],"schema":"https://github.com/citation-style-language/schema/raw/master/csl-citation.json"}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59</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SLIT3</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Hepatocellular carcinoma </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Restoration or overexpression of Slit3 is a potential therapeutic approach to repress the tumor growth and enhance the efficacy of chemotherapeutic agents.</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{"citationID":"hu20DyhC","properties":{"formattedCitation":"\\super 60\\nosupersub{}","plainCitation":"60","noteIndex":0},"citationItems":[{"id":3285,"uris":["http://zotero.org/users/1985415/items/XQF4MZVE"],"uri":["http://zotero.org/users/1985415/items/XQF4MZVE"],"itemData":{"id":3285,"type":"article-journal","abstract":"BACKGROUND: It is essential to understand the mechanisms responsible for hepatocellular carcinoma (HCC) progression and chemoresistance in order to identify prognostic biomarkers as well as potential therapeutic avenues. Recent findings have shown that SLIT3 appears to function as a novel tumor suppressor gene in various types of cancers, yet its clinical correlation and role in HCC has not been understood clearly.\nMETHODS: We determined the transcript levels of Slit3 in tumor and adjacent normal tissues within two cohorts (N = 40 and 25) of HCC patients, and correlated the gene expression with the clinicopathological data. Subsequently, the functional effects and underlying molecular mechanisms of Slit3 overexpression and/or repression were studied using cell-line and mouse models.\nRESULTS: Our results demonstrated a repression in Slit3 expression in nearly 50% of the HCC patients, while the overall expression of Slit3 inversely correlated with the size of the tumor in both cohorts of patients. Stable down-regulation of Slit3 in HCC cell-lines induced cell proliferation in vitro and tumor growth in vivo, while stable Slit3 overexpression repressed these effects. Molecular investigations showed that the stable Slit3 repression-induced cell proliferation was associated with a higher expression of β-catenin and a repressed GSK3β activity. Moreover, Slit3-repression induced chemoresistance to sorafenib, oxaliplatin and 5-FU through impairment of β-catenin degradation and induction of cyclin D3 and survivin levels. The effects induced by stable Slit3-repression were diminished by transient repression of β-catenin by siRNA approach.\nCONCLUSION: This study suggests that Slit3 acts as a tumor suppressor in HCC by repressing the tumor growth and thus tumor progression. Low Slit3 level indicates a poor response of HCC cells to chemotherapy. Restoration or overexpression of Slit3 is a potential therapeutic approach to repress the tumor growth and enhance the efficacy of chemotherapeutic agents.","container-title":"BMC cancer","DOI":"10.1186/s12885-018-4326-5","ISSN":"1471-2407","issue":"1","journalAbbreviation":"BMC Cancer","language":"eng","note":"PMID: 29859044\nPMCID: PMC5984734","page":"621","source":"PubMed","title":"Suppression of Slit3 induces tumor proliferation and chemoresistance in hepatocellular carcinoma through activation of GSK3β/β-catenin pathway","volume":"18","author":[{"family":"Ng","given":"Lui"},{"family":"Chow","given":"Ariel K. M."},{"family":"Man","given":"Johnny H. W."},{"family":"Yau","given":"Thomas C. C."},{"family":"Wan","given":"Timothy M. H."},{"family":"Iyer","given":"Deepak N."},{"family":"Kwan","given":"Virginia H. T."},{"family":"Poon","given":"Ronnie T. P."},{"family":"Pang","given":"Roberta W. C."},{"family":"Law","given":"Wai-Lun"}],"issued":{"date-parts":[["2018",6,1]]}}}],"schema":"https://github.com/citation-style-language/schema/raw/master/csl-citation.json"}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60</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SLIT3</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Lung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Slit3 is a potential tumor suppressor in lung adenocarcinoma.</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{"citationID":"iT1VenYA","properties":{"formattedCitation":"\\super 61\\nosupersub{}","plainCitation":"61","noteIndex":0},"citationItems":[{"id":3288,"uris":["http://zotero.org/users/1985415/items/CDWQ237C"],"uri":["http://zotero.org/users/1985415/items/CDWQ237C"],"itemData":{"id":3288,"type":"article-journal","abstract":"Slit proteins function as chemorepellents in axon guidance and neuronal migration by binding to cognate Robo receptors. The Slit/Robo signaling pathway is also involved in the regulation of tumor cell metastasis. However, whether the Slit/Robo signaling pathway exerts prometastatic or antimetastasis functions remains controversial. To date, most of the research on Slit/Robo has focused on Slit2, and the effects of Slit3 on metastasis remain largely unknown. Based on the Oncomine database, overall expression of Slit3 is low in tumor tissues compared to its level in normal tissues. The underlying mechanism for slit3 silencing in tumor tissues is likely related to hypermethylation of the slit3 promoter. However, lung carcinomas appear to be an exception. Several studies have reported that the frequency of Slit3 methylation in lung cancers is far lower than the frequency of Slit2. In the present study, high Slit3 expression at the mRNA level, yet not at the protein level, was detected in lung adenocarcinoma A549 cells. The function of Slit3 in tumor migration and invasion was examined by silencing of Slit3 expression in A549 cells. Silencing of Slit3 promoted proliferation, migration and invasion of A549 cells and induced epithelial-mesenchymal transition by downregulation of E-cadherin and upregulation of vimentin. The inhibitory effects of Slit3 on tumor migration and invasion are likely related to matrix metalloproteinases (MMPs). Silencing of Slit3 in the A549 cells enhanced MMP2 and MMP9 expression. These results indicate that Slit3 is a potential tumor suppressor in lung adenocarcinoma.","container-title":"Oncology Reports","DOI":"10.3892/or.2015.4031","ISSN":"1791-2431","issue":"2","journalAbbreviation":"Oncol Rep","language":"eng","note":"PMID: 26045181","page":"952-960","source":"PubMed","title":"Effects of Slit3 silencing on the invasive ability of lung carcinoma A549 cells","volume":"34","author":[{"family":"Zhang","given":"Chao"},{"family":"Guo","given":"Hui"},{"family":"Li","given":"Bin"},{"family":"Sui","given":"Chengzhi"},{"family":"Zhang","given":"Yuan"},{"family":"Xia","given":"Xianyuan"},{"family":"Qin","given":"Ying"},{"family":"Ye","given":"Liying"},{"family":"Xie","given":"Fu'an"},{"family":"Wang","given":"Heng"},{"family":"Yuan","given":"Mingjing"},{"family":"Yuan","given":"Li"},{"family":"Ye","given":"Jun"}],"issued":{"date-parts":[["2015",8]]}}}],"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61</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TEK</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Lung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Expressions of 14 hub genes were associated with prognosis of NSCLC patients, providing provide some potential underlying biomarkers for non-small cell lung cancer.</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{"citationID":"PJKGu5JG","properties":{"formattedCitation":"\\super 62\\nosupersub{}","plainCitation":"62","noteIndex":0},"citationItems":[{"id":3315,"uris":["http://zotero.org/users/1985415/items/TXPVVQ28"],"uri":["http://zotero.org/users/1985415/items/TXPVVQ28"],"itemData":{"id":3315,"type":"article-journal","abstract":"BACKGROUND: Non-small cell lung cancer (NSCLC) is the major leading cause of cancer-related deaths worldwide. This study aims to explore molecular mechanism of NSCLC.\nMETHODS: Microarray dataset was obtained from the Gene Expression Omnibus (GEO) database, and analyzed by using GEO2R. Functional and pathway enrichment analysis were performed based on Gene Ontology (GO) and Kyoto Encyclopedia of Genes and Genomes (KEGG) database. Then, STRING, Cytoscape and MCODE were applied to construct the Protein-protein interaction (PPI) network and screen hub genes. Following, overall survival (OS) analysis of hub genes was performed by using the Kaplan-Meier plotter online tool. Moreover, miRecords was also applied to predict the targets of the differentially expressed microRNAs (DEMs).\nRESULTS: A total of 228 DEGs were identified, and they were mainly enriched in the terms of cell adhesion molecules, leukocyte transendothelial migration and ECM-receptor interaction. A PPI network was constructed, and 16 hub genes were identified, including TEK, ANGPT1, MMP9, VWF, CDH5, EDN1, ESAM, CCNE1, CDC45, PRC1, CCNB2, AURKA, MELK, CDC20, TOP2A and PTTG1. Among the genes, expressions of 14 hub genes were associated with prognosis of NSCLC patients. Additionally, a total of 11 DEMs were also identified.\nCONCLUSION: Our results provide some potential underlying biomarkers for NSCLC. Further studies are required to elucidate the pathogenesis of NSCLC.","container-title":"Gene","DOI":"10.1016/j.gene.2018.01.003","ISSN":"1879-0038","journalAbbreviation":"Gene","language":"eng","note":"PMID: 29305979","page":"306-311","source":"PubMed","title":"Target gene screening and evaluation of prognostic values in non-small cell lung cancers by bioinformatics analysis","volume":"647","author":[{"family":"Piao","given":"Junjie"},{"family":"Sun","given":"Jie"},{"family":"Yang","given":"Yang"},{"family":"Jin","given":"Tiefeng"},{"family":"Chen","given":"Liyan"},{"family":"Lin","given":"Zhenhua"}],"issued":{"date-parts":[["2018",3,20]]}}}],"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62</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TEK</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Clear cell renal cell carcinoma</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TEK is a potential biomarker for clear cell renal cell carcinoma.</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{"citationID":"4OjipBXr","properties":{"formattedCitation":"\\super 63\\nosupersub{}","plainCitation":"63","noteIndex":0},"citationItems":[{"id":3293,"uris":["http://zotero.org/users/1985415/items/E2QIGPTS"],"uri":["http://zotero.org/users/1985415/items/E2QIGPTS"],"itemData":{"id":3293,"type":"article-journal","abstract":"OBJECTIVE: Clear cell renal cell carcinoma (ccRCC) is the most common type of kidney cancer. However, effective therapeutics for ccRCC are lacking. Novel biomarkers could provide critical information when determining prognoses for patients with ccRCC. In this study, we sought to determine if the expression of receptor tyrosine kinase (TEK) could be a potential novel prognostic biomarker for ccRCC. TEK, originally identified as an endothelial cell-specific receptor, plays an important role in the modulation of vasculogenesis and remodeling. Altered TEK expression has been observed in tumor tissues (e.g., oral squamous cell carcinomas, leukemia) and breast, gastric and thyroid cancers. However, the role of TEK in ccRCC remains unknown.\nPATIENTS AND METHODS: Differential TEK expression between non-metastatic (stage M0) and metastatic (stage M1) ccRCC patient cohorts was determined from The Cancer Genome Atlas (TCGA) and the International Cancer Genome Consortium (ICGC). Furthermore, TEK expression was assessed as a prognostic factor using the time-dependent area under the curve (AUC) of Uno's C-index, the AUC value of the receiver operating characteristics (ROC) at 5 years, Kaplan-Meier survival curves and multivariate analyses.\nRESULTS: A Kaplan-Meier curve analysis revealed that the downregulation of TEK expression was associated with a poor prognosis for patients with ccRCC with good discrimination (p&lt;0.0001 and p=0.0044 for the TGCA and ICGC cohorts, respectively). Analyses of C-indices and receiver operating characteristic AUC values further support this discriminative ability. Moreover, multivariate analyses showed the prognostic significance of TEK expression levels (p&lt;0.001).\nCONCLUSIONS: Although additional clinical investigations will be needed, our results suggest that TEK is a potential biomarker for ccRCC.","container-title":"European Review for Medical and Pharmacological Sciences","DOI":"10.26355/eurrev_201902_17102","ISSN":"2284-0729","issue":"4","journalAbbreviation":"Eur Rev Med Pharmacol Sci","language":"eng","note":"PMID: 30840266","page":"1451-1458","source":"PubMed","title":"TEK is a novel prognostic marker for clear cell renal cell carcinoma","volume":"23","author":[{"family":"Ha","given":"M."},{"family":"Son","given":"Y. R."},{"family":"Kim","given":"J."},{"family":"Park","given":"S. M."},{"family":"Hong","given":"C. M."},{"family":"Choi","given":"D."},{"family":"Kang","given":"W."},{"family":"Kim","given":"J. H."},{"family":"Lee","given":"K. J."},{"family":"Park","given":"D."},{"family":"Han","given":"M. E."},{"family":"Oh","given":"S. O."},{"family":"Lee","given":"D."},{"family":"Kim","given":"Y. H."}],"issued":{"date-parts":[["2019",2]]}}}],"schema":"https://github.com/citation-style-language/schema/raw/master/csl-citation.json"}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63</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VCAN</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Clear cell renal cell carcinoma</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the oncogenic role of VCAN in renal cell carcinogenesis and suggests that this gene has therapeutic and/or biomarker potential for renal cell cancer</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{"citationID":"rP8SyN6C","properties":{"formattedCitation":"\\super 64\\nosupersub{}","plainCitation":"64","noteIndex":0},"citationItems":[{"id":3295,"uris":["http://zotero.org/users/1985415/items/8HGZWPL8"],"uri":["http://zotero.org/users/1985415/items/8HGZWPL8"],"itemData":{"id":3295,"type":"article-journal","abstract":"The proteoglycan versican (VCAN) promotes tumor progression and enhances metastasis in several cancers; however, its role in clear cell renal cell carcinoma (ccRCC) remains unknown. Recent evidence suggests that VCAN is an important target of chromosomal 5q gain, one of the most prevalent genetic abnormalities in ccRCC. Thus, we investigated whether VCAN expression is associated with the pathogenesis of ccRCC. VCAN expression was analyzed using three RCC and normal kidney cell lines as well as a clinical cohort of 84 matched ccRCC and normal renal tissues. Functional analyses on growth and progression properties were performed using VCAN-depleted ccRCC cells. Microarray expression profiling was employed to investigate the target genes and biologic pathways involved in VCAN-mediated ccRCC carcinogenesis. ccRCC had elevated VCAN expression in comparison with normal kidney in both cell lines and clinical specimens. The elevated expression of VCAN was significantly correlated with metastasis (P &lt; 0.001) and worse 5-year overall survival after radical nephrectomy (P = 0.014). In vitro, VCAN knockdown significantly decreased cell proliferation and increased apoptosis in Caki-2 and 786-O cells, and this was associated with alteration of several TNF signaling-related genes such as TNFα, BID, and BAK Furthermore, VCAN depletion markedly decreased cell migration and invasion which correlated with reduction of MMP7 and CXCR4. These results demonstrate that VCAN promotes ccRCC tumorigenesis and metastasis and thus is an attractive target for novel diagnostic, prognostic, and therapeutic strategies.Implications: This study highlights the oncogenic role of VCAN in renal cell carcinogenesis and suggests that this gene has therapeutic and/or biomarker potential for renal cell cancer. Mol Cancer Res; 15(7); 884-95. ©2017 AACR.","container-title":"Molecular cancer research: MCR","DOI":"10.1158/1541-7786.MCR-16-0444","ISSN":"1557-3125","issue":"7","journalAbbreviation":"Mol Cancer Res","language":"eng","note":"PMID: 28242813\nPMCID: PMC5890926","page":"884-895","source":"PubMed","title":"Versican Promotes Tumor Progression, Metastasis and Predicts Poor Prognosis in Renal Carcinoma","volume":"15","author":[{"family":"Mitsui","given":"Yozo"},{"family":"Shiina","given":"Hiroaki"},{"family":"Kato","given":"Taku"},{"family":"Maekawa","given":"Shigekatsu"},{"family":"Hashimoto","given":"Yutaka"},{"family":"Shiina","given":"Marisa"},{"family":"Imai-Sumida","given":"Mitsuho"},{"family":"Kulkarni","given":"Priyanka"},{"family":"Dasgupta","given":"Pritha"},{"family":"Wong","given":"Ryan Kenji"},{"family":"Hiraki","given":"Miho"},{"family":"Arichi","given":"Naoko"},{"family":"Fukuhara","given":"Shinichiro"},{"family":"Yamamura","given":"Soichiro"},{"family":"Majid","given":"Shahana"},{"family":"Saini","given":"Sharanjot"},{"family":"Deng","given":"Guoren"},{"family":"Dahiya","given":"Rajvir"},{"family":"Nakajima","given":"Koichi"},{"family":"Tanaka","given":"Yuichiro"}],"issued":{"date-parts":[["2017"]]}}}],"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64</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VCAN</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Colon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VCAN is a promising biomarker to identify stage II-III patients at high risk of relapse who may benefit from intensive postoperative management.</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{"citationID":"ZipCJyre","properties":{"formattedCitation":"\\super 65\\nosupersub{}","plainCitation":"65","noteIndex":0},"citationItems":[{"id":3298,"uris":["http://zotero.org/users/1985415/items/EUHHYNNF"],"uri":["http://zotero.org/users/1985415/items/EUHHYNNF"],"itemData":{"id":3298,"type":"article-journal","abstract":"To develop prognostic biomarkers that can discriminate stage II-III colorectal cancer patients with high risk of postoperative recurrence, we conducted a genome-wide screening of relapse-related genes utilizing multiple microarray cohorts. Among differentially expressed genes between tumor and nontumor, we identified eight candidate genes associated with relapse in two datasets of stage II-III patients (n = 94 and 145, respectively, P &lt; 0.05). Using datasets of laser-microdissected samples and FACS-purified cell populations, the localization of candidate genes, including COL4A2, COL4A1, VCAN and SERPINE1, were found predominantly in cancer stroma rather than epithelial components. Among those relapse-related stromal genes, VCAN mRNA, specifically expressed in cancer-associated fibroblasts, was further validated to be a prognostic factor in two additional independent datasets, consisting of 453 (P = 0.0334) and 89 (P = 0.0041) stage II-III patients. Furthermore, in our large set of formalin-fixed paraffin-embedded cohort (n = 338), VCAN protein was detected exclusively in cancer stroma by immunohistochemistry, demonstrating a stepwise increase of stromal VCAN from normal tissues through stage 0 to stage IV tumors. Stromal VCAN protein was associated with shorter relapse-free survival (RFS) in stage II-III colon cancer, independent of other clinical factors by multivariate analysis (P = 0.004). Stratified analyses revealed that stromal VCAN was a strong prognostic indicator particularly in stage II colon cancer (P = 0.0029). In all five analyzed cohorts, the expression of VCAN, in transcript or protein levels, was associated with poor RFS in stage II-III patients. We conclude that VCAN is a promising biomarker to identify stage II-III patients at high risk of relapse who may benefit from intensive postoperative management.","container-title":"Carcinogenesis","DOI":"10.1093/carcin/bgw069","ISSN":"1460-2180","issue":"9","journalAbbreviation":"Carcinogenesis","language":"eng","note":"PMID: 27287872","page":"878-887","source":"PubMed","title":"Stromal VCAN expression as a potential prognostic biomarker for disease recurrence in stage II-III colon cancer","volume":"37","author":[{"family":"Chida","given":"Shun"},{"family":"Okayama","given":"Hirokazu"},{"family":"Noda","given":"Masaru"},{"family":"Saito","given":"Katsuharu"},{"family":"Nakajima","given":"Takahiro"},{"family":"Aoto","given":"Keita"},{"family":"Hayase","given":"Suguru"},{"family":"Momma","given":"Tomoyuki"},{"family":"Ohki","given":"Shinji"},{"family":"Kono","given":"Koji"},{"family":"Takenoshita","given":"Seiichi"}],"issued":{"date-parts":[["2016"]]}}}],"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65</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VCAN</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Colorectal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VCAN and VEGF were associated with survival in CRC patients with PM after CRS and HIPEC. Independent validation in a well-defined patient cohort is required to confirm the putative prognostic role of these candidate biomarkers.</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{"citationID":"CAr6xTjR","properties":{"formattedCitation":"\\super 66\\nosupersub{}","plainCitation":"66","noteIndex":0},"citationItems":[{"id":3301,"uris":["http://zotero.org/users/1985415/items/TJJD9W2J"],"uri":["http://zotero.org/users/1985415/items/TJJD9W2J"],"itemData":{"id":3301,"type":"article-journal","abstract":"Cytoreductive surgery (CRS) and hyperthermic intraperitoneal chemotherapy (HIPEC) can increase survival of colorectal cancer (CRC) patients with peritoneal metastases (PM). This treatment is associated with high morbidity and mortality rates. Therefore, improvement of patient selection is necessary. Assuming that the clinical phenotype is dictated by biological mechanisms, biomarkers could play a crucial role in this process. Since it is unknown whether and to what extent angiogenesis influences the course of disease in patients with PM, we investigated the expression of two angiogenesis-related markers and their relation to overall survival (OS) in CRC patients after CRS and HIPEC. Clinicopathological data and tissue samples were collected from 65 CRC patients with isolated metastases to the peritoneum that underwent CRS and HIPEC. Whole tissue specimens from PM were evaluated for versican (VCAN) expression, VEGF expression and microvessel density (MVD) by immunohistochemistry. The relation between these markers and OS was assessed using univariate and multivariate analysis. Associations between VEGF expression, VCAN expression, MVD and clinicopathological data were tested. High stromal VCAN expression was associated with high MVD (p = 0.001), better resection outcome (p = 0.003) and high T-stage (p = 0.027). High epithelial VCAN expression was associated with MVD (p = 0.007) and a more complete resection (p &lt; 0.001). In multivariate analysis, simplified peritoneal cancer index (p = 0.001), VEGF expression levels (p = 0.012), age (p = 0.030), epithelial VCAN expression levels (p = 0.042) and lymph node status (p = 0.053) were associated with OS. Concluding, VCAN and VEGF were associated with survival in CRC patients with PM after CRS and HIPEC. Independent validation in a well-defined patient cohort is required to confirm the putative prognostic role of these candidate biomarkers.","container-title":"Clinical &amp; Experimental Metastasis","DOI":"10.1007/s10585-016-9779-9","ISSN":"1573-7276","issue":"4","journalAbbreviation":"Clin Exp Metastasis","language":"eng","note":"PMID: 26873137\nPMCID: PMC4799792","page":"297-307","source":"PubMed","title":"Versican and vascular endothelial growth factor expression levels in peritoneal metastases from colorectal cancer are associated with survival after cytoreductive surgery and hyperthermic intraperitoneal chemotherapy","volume":"33","author":[{"family":"Sluiter","given":"N. R."},{"family":"Cuba","given":"E. M. V.","non-dropping-particle":"de"},{"family":"Kwakman","given":"R."},{"family":"Meijerink","given":"W. J. H. J."},{"family":"Delis-van Diemen","given":"P. M."},{"family":"Coupé","given":"V. M. H."},{"family":"Beliën","given":"J. a. M."},{"family":"Meijer","given":"G. A."},{"family":"Hingh","given":"I. H. J. T.","non-dropping-particle":"de"},{"family":"Velde","given":"E. A.","non-dropping-particle":"te"}],"issued":{"date-parts":[["2016",4]]}}}],"schema":"https://github.com/citation-style-language/schema/raw/master/csl-citation.json"}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66</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VCAN</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Gastric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VCAN is expressed at high levels in gastric cancer, and represents a potential independent molecular marker for diagnosis and prognosis of gastric cancer.</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{"citationID":"IuvgPMzF","properties":{"formattedCitation":"\\super 67\\nosupersub{}","plainCitation":"67","noteIndex":0},"citationItems":[{"id":3303,"uris":["http://zotero.org/users/1985415/items/Y7S7NEXQ"],"uri":["http://zotero.org/users/1985415/items/Y7S7NEXQ"],"itemData":{"id":3303,"type":"article-journal","container-title":"The Journal of International Medical Research","DOI":"10.1177/0300060519891271","ISSN":"1473-2300","issue":"1","journalAbbreviation":"J Int Med Res","language":"eng","note":"PMID: 31939331\nPMCID: PMC7254169","page":"300060519891271","source":"PubMed","title":"High expression of VCAN is an independent predictor of poor prognosis in gastric cancer","volume":"48","author":[{"family":"Li","given":"Wenfei"},{"family":"Han","given":"Fang"},{"family":"Fu","given":"Min"},{"family":"Wang","given":"Zhanqiu"}],"issued":{"date-parts":[["2020",1]]}}}],"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67</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VWF</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Clear cell renal cell carcinoma</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The gene five genes in clear cell renal cell carcinoma pathogenesis, including ENO2, CCND1, PLT1, PLG and VWF, may serve as potential prognostic biomarkers in clear cell renal cell carcinoma.</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{"citationID":"VEgytQln","properties":{"formattedCitation":"\\super 68\\nosupersub{}","plainCitation":"68","noteIndex":0},"citationItems":[{"id":3306,"uris":["http://zotero.org/users/1985415/items/FF3VDYYG"],"uri":["http://zotero.org/users/1985415/items/FF3VDYYG"],"itemData":{"id":3306,"type":"article-journal","abstract":"The present study aimed to identify new key genes as potential biomarkers for the diagnosis, prognosis or targeted therapy of clear cell renal cell carcinoma (ccRCC). Three expression profiles (GSE36895, GSE46699 and GSE71963) were collected from Gene Expression Omnibus. GEO2R was used to identify differentially expressed genes (DEGs) in ccRCC tissues and normal samples. The Database for Annotation, Visualization and Integrated Discovery was utilized for functional and pathway enrichment analysis. STRING v10.5 and Molecular Complex Detection were used for protein-protein interaction (PPI) network construction and module analysis, respectively. Regulation network analyses were performed with the WebGestal tool. UALCAN web-portal was used for expression validation and survival analysis of hub genes in ccRCC patients from The Cancer Genome Atlas (TCGA). A total of 65 up- and 164 downregulated genes were identified as DEGs. DEGs were enriched with functional terms and pathways compactly related to ccRCC pathogenesis. Seventeen hub genes and one significant module were filtered out and selected from the PPI network. The differential expression of hub genes was verified in TCGA patients. Kaplan-Meier plot showed that high mRNA expression of enolase 2 (ENO2) was associated with short overall survival in ccRCC patients (P=0.023). High mRNA expression of cyclin D1 (CCND1) (P&lt;0.001), fms related tyrosine kinase 1 (FLT1) (P=0.004), plasminogen (PLG) (P&lt;0.001) and von Willebrand factor (VWF) (P=0.008) appeared to serve as favorable factors in survival. These findings indicate that the DEGs may be key genes in ccRCC pathogenesis and five genes, including ENO2, CCND1, PLT1, PLG and VWF, may serve as potential prognostic biomarkers in ccRCC.","container-title":"Oncology Letters","DOI":"10.3892/ol.2018.8842","ISSN":"1792-1074","issue":"2","journalAbbreviation":"Oncol Lett","language":"eng","note":"PMID: 30008862\nPMCID: PMC6036467","page":"1747-1757","source":"PubMed","title":"Bioinformatic identification of key genes and analysis of prognostic values in clear cell renal cell carcinoma","volume":"16","author":[{"family":"Luo","given":"Ting"},{"family":"Chen","given":"Xiaoyi"},{"family":"Zeng","given":"Shufei"},{"family":"Guan","given":"Baozhang"},{"family":"Hu","given":"Bo"},{"family":"Meng","given":"Yu"},{"family":"Liu","given":"Fanna"},{"family":"Wong","given":"Taksui"},{"family":"Lu","given":"Yongpin"},{"family":"Yun","given":"Chen"},{"family":"Hocher","given":"Berthold"},{"family":"Yin","given":"Lianghong"}],"issued":{"date-parts":[["2018",8]]}}}],"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68</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VWF</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Colorectal cancer</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The association between higher mortality or thrombotic complications and increased platelet count, increased VWF:Ag levels and decreased ADAMTS13 activity in colorectal cancer.</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{"citationID":"x2c6y40w","properties":{"formattedCitation":"\\super 69\\nosupersub{}","plainCitation":"69","noteIndex":0},"citationItems":[{"id":3310,"uris":["http://zotero.org/users/1985415/items/C8SU67BU"],"uri":["http://zotero.org/users/1985415/items/C8SU67BU"],"itemData":{"id":3310,"type":"article-journal","abstract":"Distant metastasis is a major cause of colorectal cancer-related death, but the mechanism of tumour progression is not fully understood. There is growing evidence of an interaction between tumour cells and platelets which may influence tumour progression and metastasis formation. Quality and quantity of von Willebrand factor may regulate the interaction between tumour cells and platelets. Our aim was to measure the platelet count, von Willebrand factor antigen (VWF:Ag) levels and ADAMTS13 activity in a large (n = 232) cohort of colorectal cancer patients and to examine their relationships with the stage of the disease and 5-year survival without thrombotic complications using multivariable models. Significantly higher platelet counts (p = 0.005), VWF:Ag levels (p = 0.008) and decreased ADAMTS13 activity (p = 0.006) were observed in patients with metastatic disease. Results of the Kaplan-Meier analysis showed that lower platelet counts (p &lt; 0.0001), lower VWF:Ag (p = 0.0008) levels and higher ADAMTS13 activity (p &lt; 0.0001) were associated with better event-free survival. Finally, to investigate the association between overall event-free survival and the three study variables, multivariate Cox proportional hazard models were generated. All models were adjusted for age, gender and disease stage. Platelet count, ADAMTS13 activity or VWF:Ag level were incorporated and all of these variables turned out to be age-, gender- and stage-independent predictors of mortality (all hazard ratio &gt;1.7, p &lt; 0.05). In summary, this is the first observational study reporting association between higher mortality or thrombotic complications and increased platelet count, increased VWF:Ag levels and decreased ADAMTS13 activity in colorectal cancer.","container-title":"Thrombosis and Haemostasis","DOI":"10.1160/TH17-07-0548","ISSN":"2567-689X","issue":"1","journalAbbreviation":"Thromb Haemost","language":"eng","note":"PMID: 29304532","page":"123-131","source":"PubMed","title":"Platelet Count, ADAMTS13 Activity, von Willebrand Factor Level and Survival in Patients with Colorectal Cancer: 5-Year Follow-up Study","title-short":"Platelet Count, ADAMTS13 Activity, von Willebrand Factor Level and Survival in Patients with Colorectal Cancer","volume":"118","author":[{"family":"Garam","given":"Nóra"},{"family":"Maláti","given":"Éva"},{"family":"Sinkovits","given":"György"},{"family":"Gombos","given":"Tímea"},{"family":"Szederjesi","given":"Attila"},{"family":"Barabás","given":"Loránd"},{"family":"Gráf","given":"László"},{"family":"Kocsis","given":"Judit"},{"family":"Prohászka","given":"Zoltán"}],"issued":{"date-parts":[["2018"]]}}}],"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69</w:t>
            </w:r>
            <w:r>
              <w:rPr>
                <w:rFonts w:ascii="Times New Roman" w:hAnsi="Times New Roman" w:cs="Times New Roman"/>
                <w:sz w:val="16"/>
                <w:szCs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VWF</w:t>
            </w:r>
          </w:p>
        </w:tc>
        <w:tc>
          <w:tcPr>
            <w:tcW w:w="1789"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Hepatocellular carcinoma</w:t>
            </w:r>
          </w:p>
        </w:tc>
        <w:tc>
          <w:tcPr>
            <w:tcW w:w="485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VWF is a potentially useful biomarker to diagnose severe liver fibrosis and predict hepatocellular carcinoma development.</w:t>
            </w:r>
          </w:p>
        </w:tc>
        <w:tc>
          <w:tcPr>
            <w:tcW w:w="710" w:type="dxa"/>
            <w:shd w:val="clear" w:color="auto" w:fill="auto"/>
          </w:tcPr>
          <w:p>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{"citationID":"g3phkQKB","properties":{"formattedCitation":"\\super 70\\nosupersub{}","plainCitation":"70","noteIndex":0},"citationItems":[{"id":3312,"uris":["http://zotero.org/users/1985415/items/2QHK8FZ5"],"uri":["http://zotero.org/users/1985415/items/2QHK8FZ5"],"itemData":{"id":3312,"type":"article-journal","abstract":"Background: Several noninvasive biomarkers are available for diagnosing liver fibrosis stage and predicting hepatocellular carcinoma (HCC) development in patients with chronic hepatitis and liver cirrhosis. However, these biomarkers are not sufficiently accurate. Recently, von Willebrand factor (VWF) has been related to angiogenesis and apoptosis. Furthermore, VWF is associated with hepatic spare ability and HCC.\nObjective: We aimed to determine whether VWF is a potential biomarker for liver fibrosis and HCC development.\nMethods: Two hundred and twelve patients with chronic hepatitis B and C were recruited. VWF antigen (VWF: Ag) levels in each patient were determined via enzyme-linked immunosorbent assay. Univariable and multivariable analyses were used to determine the risk factor of HCC.\nResults: The VWF: Ag levels were higher in patients with severe liver fibrosis stage and/or HCC development than in those without. The area under the curve of VWF: Ag for diagnosis of severe liver fibrosis stage was 0.721. Multivariable analysis showed that only VWF: Ag was a predictive biomarker for HCC development.\nConclusions: VWF: Ag is related to liver fibrosis and may be useful for predicting HCC development. VWF is a potentially useful biomarker to diagnose severe liver fibrosis and predict HCC development.","container-title":"United European Gastroenterology Journal","DOI":"10.1177/2050640618779660","ISSN":"2050-6406","issue":"9","journalAbbreviation":"United European Gastroenterol J","language":"eng","note":"PMID: 30386613\nPMCID: PMC6206538","page":"1401-1409","source":"PubMed","title":"von Willebrand factor is a useful biomarker for liver fibrosis and prediction of hepatocellular carcinoma development in patients with hepatitis B and C","volume":"6","author":[{"family":"Takaya","given":"Hiroaki"},{"family":"Kawaratani","given":"Hideto"},{"family":"Tsuji","given":"Yuki"},{"family":"Nakanishi","given":"Keisuke"},{"family":"Saikawa","given":"Soichiro"},{"family":"Sato","given":"Shinya"},{"family":"Sawada","given":"Yasuhiko"},{"family":"Kaji","given":"Kosuke"},{"family":"Okura","given":"Yasushi"},{"family":"Shimozato","given":"Naotaka"},{"family":"Kitade","given":"Mitsuteru"},{"family":"Akahane","given":"Takemi"},{"family":"Moriya","given":"Kei"},{"family":"Namisaki","given":"Tadashi"},{"family":"Mitoro","given":"Akira"},{"family":"Matsumoto","given":"Masanori"},{"family":"Fukui","given":"Hiroshi"},{"family":"Yoshiji","given":"Hitoshi"}],"issued":{"date-parts":[["2018",11]]}}}],"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kern w:val="0"/>
                <w:sz w:val="16"/>
                <w:vertAlign w:val="superscript"/>
              </w:rPr>
              <w:t>70</w:t>
            </w:r>
            <w:r>
              <w:rPr>
                <w:rFonts w:ascii="Times New Roman" w:hAnsi="Times New Roman" w:cs="Times New Roman"/>
                <w:sz w:val="16"/>
                <w:szCs w:val="16"/>
              </w:rPr>
              <w:fldChar w:fldCharType="end"/>
            </w:r>
          </w:p>
        </w:tc>
      </w:tr>
    </w:tbl>
    <w:p>
      <w:pPr>
        <w:rPr>
          <w:rFonts w:ascii="Times New Roman" w:hAnsi="Times New Roman"/>
        </w:rPr>
      </w:pPr>
    </w:p>
    <w:p>
      <w:pPr>
        <w:rPr>
          <w:rFonts w:ascii="Times New Roman" w:hAnsi="Times New Roman"/>
        </w:rPr>
      </w:pPr>
    </w:p>
    <w:p>
      <w:pPr>
        <w:rPr>
          <w:rFonts w:ascii="Times New Roman" w:hAnsi="Times New Roman"/>
          <w:b/>
          <w:bCs/>
        </w:rPr>
      </w:pPr>
      <w:r>
        <w:rPr>
          <w:rFonts w:ascii="Times New Roman" w:hAnsi="Times New Roman"/>
          <w:b/>
          <w:bCs/>
        </w:rPr>
        <w:t xml:space="preserve">Reference </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sz w:val="28"/>
          <w:szCs w:val="28"/>
        </w:rPr>
        <w:fldChar w:fldCharType="begin"/>
      </w:r>
      <w:r>
        <w:rPr>
          <w:rFonts w:ascii="Times New Roman" w:hAnsi="Times New Roman" w:cs="Times New Roman"/>
          <w:b w:val="0"/>
          <w:bCs w:val="0"/>
        </w:rPr>
        <w:instrText xml:space="preserve"> ADDIN ZOTERO_BIBL {"uncited":[],"omitted":[],"custom":[]} CSL_BIBLIOGRAPHY </w:instrText>
      </w:r>
      <w:r>
        <w:rPr>
          <w:rFonts w:ascii="Times New Roman" w:hAnsi="Times New Roman" w:cs="Times New Roman"/>
          <w:b w:val="0"/>
          <w:bCs w:val="0"/>
          <w:sz w:val="28"/>
          <w:szCs w:val="28"/>
        </w:rPr>
        <w:fldChar w:fldCharType="separate"/>
      </w:r>
      <w:r>
        <w:rPr>
          <w:rFonts w:ascii="Times New Roman" w:hAnsi="Times New Roman" w:cs="Times New Roman"/>
          <w:b w:val="0"/>
          <w:bCs w:val="0"/>
        </w:rPr>
        <w:t xml:space="preserve">1. Ma Q, Xu Y, Liao H, et al. Identification and validation of key genes associated with non-small-cell lung cancer. </w:t>
      </w:r>
      <w:r>
        <w:rPr>
          <w:rFonts w:ascii="Times New Roman" w:hAnsi="Times New Roman" w:cs="Times New Roman"/>
          <w:b w:val="0"/>
          <w:bCs w:val="0"/>
          <w:i/>
          <w:iCs/>
        </w:rPr>
        <w:t>J Cell Physiol</w:t>
      </w:r>
      <w:r>
        <w:rPr>
          <w:rFonts w:ascii="Times New Roman" w:hAnsi="Times New Roman" w:cs="Times New Roman"/>
          <w:b w:val="0"/>
          <w:bCs w:val="0"/>
        </w:rPr>
        <w:t>. 2019;234(12):22742-22752. doi:10.1002/jcp.28839</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2. Kostova MB, Brennen WN, Lopez D, et al. PSA-alpha-2-macroglobulin complex is enzymatically active in the serum of patients with advanced prostate cancer and can degrade circulating peptide hormones. </w:t>
      </w:r>
      <w:r>
        <w:rPr>
          <w:rFonts w:ascii="Times New Roman" w:hAnsi="Times New Roman" w:cs="Times New Roman"/>
          <w:b w:val="0"/>
          <w:bCs w:val="0"/>
          <w:i/>
          <w:iCs/>
        </w:rPr>
        <w:t>The Prostate</w:t>
      </w:r>
      <w:r>
        <w:rPr>
          <w:rFonts w:ascii="Times New Roman" w:hAnsi="Times New Roman" w:cs="Times New Roman"/>
          <w:b w:val="0"/>
          <w:bCs w:val="0"/>
        </w:rPr>
        <w:t>. 2018;78(11):819-829. doi:https://doi.org/10.1002/pros.23539</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3. Wang Y, Liu K, Ma Q, et al. Pancreatic cancer biomarker detection by two support vector strategies for recursive feature elimination. </w:t>
      </w:r>
      <w:r>
        <w:rPr>
          <w:rFonts w:ascii="Times New Roman" w:hAnsi="Times New Roman" w:cs="Times New Roman"/>
          <w:b w:val="0"/>
          <w:bCs w:val="0"/>
          <w:i/>
          <w:iCs/>
        </w:rPr>
        <w:t>Biomark Med</w:t>
      </w:r>
      <w:r>
        <w:rPr>
          <w:rFonts w:ascii="Times New Roman" w:hAnsi="Times New Roman" w:cs="Times New Roman"/>
          <w:b w:val="0"/>
          <w:bCs w:val="0"/>
        </w:rPr>
        <w:t>. 2019;13(2):105-121. doi:10.2217/bmm-2018-0273</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4. Fujita T, Nagayama A, Anazawa S. Circulating alpha-2-macroglobulin levels and depression scores in patients who underwent abdominal cancer surgery. </w:t>
      </w:r>
      <w:r>
        <w:rPr>
          <w:rFonts w:ascii="Times New Roman" w:hAnsi="Times New Roman" w:cs="Times New Roman"/>
          <w:b w:val="0"/>
          <w:bCs w:val="0"/>
          <w:i/>
          <w:iCs/>
        </w:rPr>
        <w:t>J Surg Res</w:t>
      </w:r>
      <w:r>
        <w:rPr>
          <w:rFonts w:ascii="Times New Roman" w:hAnsi="Times New Roman" w:cs="Times New Roman"/>
          <w:b w:val="0"/>
          <w:bCs w:val="0"/>
        </w:rPr>
        <w:t>. 2003;114(1):90-94. doi:10.1016/s0022-4804(03)00194-x</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5. Kurz S, Thieme R, Amberg R, et al. The anti-tumorigenic activity of A2M-A lesson from the naked mole-rat. </w:t>
      </w:r>
      <w:r>
        <w:rPr>
          <w:rFonts w:ascii="Times New Roman" w:hAnsi="Times New Roman" w:cs="Times New Roman"/>
          <w:b w:val="0"/>
          <w:bCs w:val="0"/>
          <w:i/>
          <w:iCs/>
        </w:rPr>
        <w:t>PLoS One</w:t>
      </w:r>
      <w:r>
        <w:rPr>
          <w:rFonts w:ascii="Times New Roman" w:hAnsi="Times New Roman" w:cs="Times New Roman"/>
          <w:b w:val="0"/>
          <w:bCs w:val="0"/>
        </w:rPr>
        <w:t>. 2017;12(12):e0189514. doi:10.1371/journal.pone.0189514</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6. Lindner I, Hemdan NYA, Buchold M, et al. Alpha2-macroglobulin inhibits the malignant properties of astrocytoma cells by impeding beta-catenin signaling. </w:t>
      </w:r>
      <w:r>
        <w:rPr>
          <w:rFonts w:ascii="Times New Roman" w:hAnsi="Times New Roman" w:cs="Times New Roman"/>
          <w:b w:val="0"/>
          <w:bCs w:val="0"/>
          <w:i/>
          <w:iCs/>
        </w:rPr>
        <w:t>Cancer Res</w:t>
      </w:r>
      <w:r>
        <w:rPr>
          <w:rFonts w:ascii="Times New Roman" w:hAnsi="Times New Roman" w:cs="Times New Roman"/>
          <w:b w:val="0"/>
          <w:bCs w:val="0"/>
        </w:rPr>
        <w:t>. 2010;70(1):277-287. doi:10.1158/0008-5472.CAN-09-1462</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7. Wang D, Zhu T, Zhang F-B, He C. Expression of ADAMTS12 in colorectal cancer-associated stroma prevents cancer development and is a good prognostic indicator of colorectal cancer. </w:t>
      </w:r>
      <w:r>
        <w:rPr>
          <w:rFonts w:ascii="Times New Roman" w:hAnsi="Times New Roman" w:cs="Times New Roman"/>
          <w:b w:val="0"/>
          <w:bCs w:val="0"/>
          <w:i/>
          <w:iCs/>
        </w:rPr>
        <w:t>Dig Dis Sci</w:t>
      </w:r>
      <w:r>
        <w:rPr>
          <w:rFonts w:ascii="Times New Roman" w:hAnsi="Times New Roman" w:cs="Times New Roman"/>
          <w:b w:val="0"/>
          <w:bCs w:val="0"/>
        </w:rPr>
        <w:t>. 2011;56(11):3281-3287. doi:10.1007/s10620-011-1723-x</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8. Fontanil T, Rúa S, Llamazares M, et al. Interaction between the ADAMTS-12 metalloprotease and fibulin-2 induces tumor-suppressive effects in breast cancer cells. </w:t>
      </w:r>
      <w:r>
        <w:rPr>
          <w:rFonts w:ascii="Times New Roman" w:hAnsi="Times New Roman" w:cs="Times New Roman"/>
          <w:b w:val="0"/>
          <w:bCs w:val="0"/>
          <w:i/>
          <w:iCs/>
        </w:rPr>
        <w:t>Oncotarget</w:t>
      </w:r>
      <w:r>
        <w:rPr>
          <w:rFonts w:ascii="Times New Roman" w:hAnsi="Times New Roman" w:cs="Times New Roman"/>
          <w:b w:val="0"/>
          <w:bCs w:val="0"/>
        </w:rPr>
        <w:t>. 2014;5(5):1253-1264. doi:10.18632/oncotarget.1690</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9. Liang L, Zhu J-H, Chen G, Qin X-G, Chen J-Q. Prognostic Values for the mRNA Expression of the ADAMTS Family of Genes in Gastric Cancer. </w:t>
      </w:r>
      <w:r>
        <w:rPr>
          <w:rFonts w:ascii="Times New Roman" w:hAnsi="Times New Roman" w:cs="Times New Roman"/>
          <w:b w:val="0"/>
          <w:bCs w:val="0"/>
          <w:i/>
          <w:iCs/>
        </w:rPr>
        <w:t>J Oncol</w:t>
      </w:r>
      <w:r>
        <w:rPr>
          <w:rFonts w:ascii="Times New Roman" w:hAnsi="Times New Roman" w:cs="Times New Roman"/>
          <w:b w:val="0"/>
          <w:bCs w:val="0"/>
        </w:rPr>
        <w:t>. 2020;2020:9431560. doi:10.1155/2020/9431560</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10. Cheon D-J, Li AJ, Beach JA, et al. ADAM12 is a prognostic factor associated with an aggressive molecular subtype of high-grade serous ovarian carcinoma. </w:t>
      </w:r>
      <w:r>
        <w:rPr>
          <w:rFonts w:ascii="Times New Roman" w:hAnsi="Times New Roman" w:cs="Times New Roman"/>
          <w:b w:val="0"/>
          <w:bCs w:val="0"/>
          <w:i/>
          <w:iCs/>
        </w:rPr>
        <w:t>Carcinogenesis</w:t>
      </w:r>
      <w:r>
        <w:rPr>
          <w:rFonts w:ascii="Times New Roman" w:hAnsi="Times New Roman" w:cs="Times New Roman"/>
          <w:b w:val="0"/>
          <w:bCs w:val="0"/>
        </w:rPr>
        <w:t>. 2015;36(7):739-747. doi:10.1093/carcin/bgv059</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11.</w:t>
      </w:r>
      <w:r>
        <w:rPr>
          <w:rFonts w:ascii="Times New Roman" w:hAnsi="Times New Roman" w:cs="Times New Roman"/>
          <w:b w:val="0"/>
          <w:bCs w:val="0"/>
        </w:rPr>
        <w:tab/>
      </w:r>
      <w:r>
        <w:rPr>
          <w:rFonts w:ascii="Times New Roman" w:hAnsi="Times New Roman" w:cs="Times New Roman"/>
          <w:b w:val="0"/>
          <w:bCs w:val="0"/>
        </w:rPr>
        <w:t xml:space="preserve">Liu J-Y, Jiang L, Liu J-J, et al. AEBP1 promotes epithelial-mesenchymal transition of gastric cancer cells by activating the NF-κB pathway and predicts poor outcome of the patients. </w:t>
      </w:r>
      <w:r>
        <w:rPr>
          <w:rFonts w:ascii="Times New Roman" w:hAnsi="Times New Roman" w:cs="Times New Roman"/>
          <w:b w:val="0"/>
          <w:bCs w:val="0"/>
          <w:i/>
          <w:iCs/>
        </w:rPr>
        <w:t>Sci Rep</w:t>
      </w:r>
      <w:r>
        <w:rPr>
          <w:rFonts w:ascii="Times New Roman" w:hAnsi="Times New Roman" w:cs="Times New Roman"/>
          <w:b w:val="0"/>
          <w:bCs w:val="0"/>
        </w:rPr>
        <w:t>. 2018;8(1):11955. doi:10.1038/s41598-018-29878-6</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12.</w:t>
      </w:r>
      <w:r>
        <w:rPr>
          <w:rFonts w:ascii="Times New Roman" w:hAnsi="Times New Roman" w:cs="Times New Roman"/>
          <w:b w:val="0"/>
          <w:bCs w:val="0"/>
        </w:rPr>
        <w:tab/>
      </w:r>
      <w:r>
        <w:rPr>
          <w:rFonts w:ascii="Times New Roman" w:hAnsi="Times New Roman" w:cs="Times New Roman"/>
          <w:b w:val="0"/>
          <w:bCs w:val="0"/>
        </w:rPr>
        <w:t xml:space="preserve">Xing Y, Zhang Z, Chi F, et al. AEBP1, a prognostic indicator, promotes colon adenocarcinoma cell growth and metastasis through the NF-κB pathway. </w:t>
      </w:r>
      <w:r>
        <w:rPr>
          <w:rFonts w:ascii="Times New Roman" w:hAnsi="Times New Roman" w:cs="Times New Roman"/>
          <w:b w:val="0"/>
          <w:bCs w:val="0"/>
          <w:i/>
          <w:iCs/>
        </w:rPr>
        <w:t>Mol Carcinog</w:t>
      </w:r>
      <w:r>
        <w:rPr>
          <w:rFonts w:ascii="Times New Roman" w:hAnsi="Times New Roman" w:cs="Times New Roman"/>
          <w:b w:val="0"/>
          <w:bCs w:val="0"/>
        </w:rPr>
        <w:t>. 2019;58(10):1795-1808. doi:10.1002/mc.23066</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13. You Y, Ru X, Lei W, et al. Developing the novel bioinformatics algorithms to systematically investigate the connections among survival time, key genes and proteins for Glioblastoma multiforme. </w:t>
      </w:r>
      <w:r>
        <w:rPr>
          <w:rFonts w:ascii="Times New Roman" w:hAnsi="Times New Roman" w:cs="Times New Roman"/>
          <w:b w:val="0"/>
          <w:bCs w:val="0"/>
          <w:i/>
          <w:iCs/>
        </w:rPr>
        <w:t>BMC Bioinformatics</w:t>
      </w:r>
      <w:r>
        <w:rPr>
          <w:rFonts w:ascii="Times New Roman" w:hAnsi="Times New Roman" w:cs="Times New Roman"/>
          <w:b w:val="0"/>
          <w:bCs w:val="0"/>
        </w:rPr>
        <w:t>. 2020;21(Suppl 13):383. doi:10.1186/s12859-020-03674-4</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14. Jiang X, Wu M, Xu X, et al. COL12A1, a novel potential prognostic factor and therapeutic target in gastric cancer. </w:t>
      </w:r>
      <w:r>
        <w:rPr>
          <w:rFonts w:ascii="Times New Roman" w:hAnsi="Times New Roman" w:cs="Times New Roman"/>
          <w:b w:val="0"/>
          <w:bCs w:val="0"/>
          <w:i/>
          <w:iCs/>
        </w:rPr>
        <w:t>Mol Med Rep</w:t>
      </w:r>
      <w:r>
        <w:rPr>
          <w:rFonts w:ascii="Times New Roman" w:hAnsi="Times New Roman" w:cs="Times New Roman"/>
          <w:b w:val="0"/>
          <w:bCs w:val="0"/>
        </w:rPr>
        <w:t>. 2019;20(4):3103-3112. doi:10.3892/mmr.2019.10548</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15. Wu Y, Xu Y. Integrated bioinformatics analysis of expression and gene regulation network of COL12A1 in colorectal cancer. </w:t>
      </w:r>
      <w:r>
        <w:rPr>
          <w:rFonts w:ascii="Times New Roman" w:hAnsi="Times New Roman" w:cs="Times New Roman"/>
          <w:b w:val="0"/>
          <w:bCs w:val="0"/>
          <w:i/>
          <w:iCs/>
        </w:rPr>
        <w:t>Cancer Med</w:t>
      </w:r>
      <w:r>
        <w:rPr>
          <w:rFonts w:ascii="Times New Roman" w:hAnsi="Times New Roman" w:cs="Times New Roman"/>
          <w:b w:val="0"/>
          <w:bCs w:val="0"/>
        </w:rPr>
        <w:t>. 2020;9(13):4743-4755. doi:10.1002/cam4.2899</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16. Harris A, Harris H, Hollingsworth MA. Complete suppression of tumor formation by high levels of basement membrane collagen. </w:t>
      </w:r>
      <w:r>
        <w:rPr>
          <w:rFonts w:ascii="Times New Roman" w:hAnsi="Times New Roman" w:cs="Times New Roman"/>
          <w:b w:val="0"/>
          <w:bCs w:val="0"/>
          <w:i/>
          <w:iCs/>
        </w:rPr>
        <w:t>Mol Cancer Res</w:t>
      </w:r>
      <w:r>
        <w:rPr>
          <w:rFonts w:ascii="Times New Roman" w:hAnsi="Times New Roman" w:cs="Times New Roman"/>
          <w:b w:val="0"/>
          <w:bCs w:val="0"/>
        </w:rPr>
        <w:t>. 2007;5(12):1241-1245. doi:10.1158/1541-7786.MCR-07-0200</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17. Rong L, Huang W, Tian S, Chi X, Zhao P, Liu F. COL1A2 is a Novel Biomarker to Improve Clinical Prediction in Human Gastric Cancer: Integrating Bioinformatics and Meta-Analysis. </w:t>
      </w:r>
      <w:r>
        <w:rPr>
          <w:rFonts w:ascii="Times New Roman" w:hAnsi="Times New Roman" w:cs="Times New Roman"/>
          <w:b w:val="0"/>
          <w:bCs w:val="0"/>
          <w:i/>
          <w:iCs/>
        </w:rPr>
        <w:t>Pathol Oncol Res</w:t>
      </w:r>
      <w:r>
        <w:rPr>
          <w:rFonts w:ascii="Times New Roman" w:hAnsi="Times New Roman" w:cs="Times New Roman"/>
          <w:b w:val="0"/>
          <w:bCs w:val="0"/>
        </w:rPr>
        <w:t>. 2018;24(1):129-134. doi:10.1007/s12253-017-0223-5</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18. Yu Y, Liu D, Liu Z, et al. The inhibitory effects of COL1A2 on colorectal cancer cell proliferation, migration, and invasion. </w:t>
      </w:r>
      <w:r>
        <w:rPr>
          <w:rFonts w:ascii="Times New Roman" w:hAnsi="Times New Roman" w:cs="Times New Roman"/>
          <w:b w:val="0"/>
          <w:bCs w:val="0"/>
          <w:i/>
          <w:iCs/>
        </w:rPr>
        <w:t>J Cancer</w:t>
      </w:r>
      <w:r>
        <w:rPr>
          <w:rFonts w:ascii="Times New Roman" w:hAnsi="Times New Roman" w:cs="Times New Roman"/>
          <w:b w:val="0"/>
          <w:bCs w:val="0"/>
        </w:rPr>
        <w:t>. 2018;9(16):2953-2962. doi:10.7150/jca.25542</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19. Li S, Li H, Xu Y, Lv X. Identification of candidate biomarkers for epithelial ovarian cancer metastasis using microarray data. </w:t>
      </w:r>
      <w:r>
        <w:rPr>
          <w:rFonts w:ascii="Times New Roman" w:hAnsi="Times New Roman" w:cs="Times New Roman"/>
          <w:b w:val="0"/>
          <w:bCs w:val="0"/>
          <w:i/>
          <w:iCs/>
        </w:rPr>
        <w:t>Oncol Lett</w:t>
      </w:r>
      <w:r>
        <w:rPr>
          <w:rFonts w:ascii="Times New Roman" w:hAnsi="Times New Roman" w:cs="Times New Roman"/>
          <w:b w:val="0"/>
          <w:bCs w:val="0"/>
        </w:rPr>
        <w:t>. 2017;14(4):3967-3974. doi:10.3892/ol.2017.6707</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20. COL1A1, COL1A2, COL3A1 and DCN are Potential Biomarkers to Predict Progression from Smokers to Suffering from Lung Adenocarcinoma. ResearchGate. doi:10.21203/rs.3.rs-76976/v1</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21. Lin J, Goldstein L, Nesbit A, Chen MY. Influence of Hormone Receptor Status on Spinal Metastatic Lesions in Patients with Breast Cancer. </w:t>
      </w:r>
      <w:r>
        <w:rPr>
          <w:rFonts w:ascii="Times New Roman" w:hAnsi="Times New Roman" w:cs="Times New Roman"/>
          <w:b w:val="0"/>
          <w:bCs w:val="0"/>
          <w:i/>
          <w:iCs/>
        </w:rPr>
        <w:t>World Neurosurg</w:t>
      </w:r>
      <w:r>
        <w:rPr>
          <w:rFonts w:ascii="Times New Roman" w:hAnsi="Times New Roman" w:cs="Times New Roman"/>
          <w:b w:val="0"/>
          <w:bCs w:val="0"/>
        </w:rPr>
        <w:t>. 2016;85:42-48. doi:10.1016/j.wneu.2015.07.068</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22. Wu J, Liu J, Wei X, et al. A feature-based analysis identifies COL1A2 as a regulator in pancreatic cancer. </w:t>
      </w:r>
      <w:r>
        <w:rPr>
          <w:rFonts w:ascii="Times New Roman" w:hAnsi="Times New Roman" w:cs="Times New Roman"/>
          <w:b w:val="0"/>
          <w:bCs w:val="0"/>
          <w:i/>
          <w:iCs/>
        </w:rPr>
        <w:t>J Enzyme Inhib Med Chem</w:t>
      </w:r>
      <w:r>
        <w:rPr>
          <w:rFonts w:ascii="Times New Roman" w:hAnsi="Times New Roman" w:cs="Times New Roman"/>
          <w:b w:val="0"/>
          <w:bCs w:val="0"/>
        </w:rPr>
        <w:t>. 2019;34(1):420-428. doi:10.1080/14756366.2018.1484734</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23. Misawa K, Kanazawa T, Misawa Y, et al. Hypermethylation of collagen α2 (I) gene (COL1A2) is an independent predictor of survival in head and neck cancer. </w:t>
      </w:r>
      <w:r>
        <w:rPr>
          <w:rFonts w:ascii="Times New Roman" w:hAnsi="Times New Roman" w:cs="Times New Roman"/>
          <w:b w:val="0"/>
          <w:bCs w:val="0"/>
          <w:i/>
          <w:iCs/>
        </w:rPr>
        <w:t>Cancer Biomark</w:t>
      </w:r>
      <w:r>
        <w:rPr>
          <w:rFonts w:ascii="Times New Roman" w:hAnsi="Times New Roman" w:cs="Times New Roman"/>
          <w:b w:val="0"/>
          <w:bCs w:val="0"/>
        </w:rPr>
        <w:t>. 2011;10(3-4):135-144. doi:10.3233/CBM-2012-0242</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24. Yan L, Xu F, Dai C. Overexpression of COL24A1 in Hepatocellular Carcinoma Predicts Poor Prognosis: A Study Based on Multiple Databases, Clinical Samples and Cell Lines. </w:t>
      </w:r>
      <w:r>
        <w:rPr>
          <w:rFonts w:ascii="Times New Roman" w:hAnsi="Times New Roman" w:cs="Times New Roman"/>
          <w:b w:val="0"/>
          <w:bCs w:val="0"/>
          <w:i/>
          <w:iCs/>
        </w:rPr>
        <w:t>Onco Targets Ther</w:t>
      </w:r>
      <w:r>
        <w:rPr>
          <w:rFonts w:ascii="Times New Roman" w:hAnsi="Times New Roman" w:cs="Times New Roman"/>
          <w:b w:val="0"/>
          <w:bCs w:val="0"/>
        </w:rPr>
        <w:t>. 2020;13:2819-2832. doi:10.2147/OTT.S247133</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25. Misawa K, Kanazawa T, Imai A, et al. Prognostic value of type XXII and XXIV collagen mRNA expression in head and neck cancer patients. </w:t>
      </w:r>
      <w:r>
        <w:rPr>
          <w:rFonts w:ascii="Times New Roman" w:hAnsi="Times New Roman" w:cs="Times New Roman"/>
          <w:b w:val="0"/>
          <w:bCs w:val="0"/>
          <w:i/>
          <w:iCs/>
        </w:rPr>
        <w:t>Mol Clin Oncol</w:t>
      </w:r>
      <w:r>
        <w:rPr>
          <w:rFonts w:ascii="Times New Roman" w:hAnsi="Times New Roman" w:cs="Times New Roman"/>
          <w:b w:val="0"/>
          <w:bCs w:val="0"/>
        </w:rPr>
        <w:t>. 2014;2(2):285-291. doi:10.3892/mco.2013.233</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26. Li DF, Wang NN, Chang X, et al. Bioinformatics analysis suggests that COL4A1 may play an important role in gastric carcinoma recurrence. </w:t>
      </w:r>
      <w:r>
        <w:rPr>
          <w:rFonts w:ascii="Times New Roman" w:hAnsi="Times New Roman" w:cs="Times New Roman"/>
          <w:b w:val="0"/>
          <w:bCs w:val="0"/>
          <w:i/>
          <w:iCs/>
        </w:rPr>
        <w:t>J Dig Dis</w:t>
      </w:r>
      <w:r>
        <w:rPr>
          <w:rFonts w:ascii="Times New Roman" w:hAnsi="Times New Roman" w:cs="Times New Roman"/>
          <w:b w:val="0"/>
          <w:bCs w:val="0"/>
        </w:rPr>
        <w:t>. 2019;20(8):391-400. doi:10.1111/1751-2980.12758</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27. Wang S-M, Chen P-M, Sung Y-W, Huang W-C, Huang H-S, Chu P-Y. Effect of COL4A1 Expression on the Survival of Neoadjuvant Chemotherapy Breast Cancer Patients. </w:t>
      </w:r>
      <w:r>
        <w:rPr>
          <w:rFonts w:ascii="Times New Roman" w:hAnsi="Times New Roman" w:cs="Times New Roman"/>
          <w:b w:val="0"/>
          <w:bCs w:val="0"/>
          <w:i/>
          <w:iCs/>
        </w:rPr>
        <w:t>J Oncol</w:t>
      </w:r>
      <w:r>
        <w:rPr>
          <w:rFonts w:ascii="Times New Roman" w:hAnsi="Times New Roman" w:cs="Times New Roman"/>
          <w:b w:val="0"/>
          <w:bCs w:val="0"/>
        </w:rPr>
        <w:t>. 2020;2020:5209695. doi:10.1155/2020/5209695</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28. Wang T, Jin H, Hu J, et al. COL4A1 promotes the growth and metastasis of hepatocellular carcinoma cells by activating FAK-Src signaling. </w:t>
      </w:r>
      <w:r>
        <w:rPr>
          <w:rFonts w:ascii="Times New Roman" w:hAnsi="Times New Roman" w:cs="Times New Roman"/>
          <w:b w:val="0"/>
          <w:bCs w:val="0"/>
          <w:i/>
          <w:iCs/>
        </w:rPr>
        <w:t>J Exp Clin Cancer Res</w:t>
      </w:r>
      <w:r>
        <w:rPr>
          <w:rFonts w:ascii="Times New Roman" w:hAnsi="Times New Roman" w:cs="Times New Roman"/>
          <w:b w:val="0"/>
          <w:bCs w:val="0"/>
        </w:rPr>
        <w:t>. 2020;39(1):148. doi:10.1186/s13046-020-01650-7</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29. Li F, Guo P, Dong K, Guo P, Wang H, Lv X. Identification of Key Biomarkers and Potential Molecular Mechanisms in Renal Cell Carcinoma by Bioinformatics Analysis. </w:t>
      </w:r>
      <w:r>
        <w:rPr>
          <w:rFonts w:ascii="Times New Roman" w:hAnsi="Times New Roman" w:cs="Times New Roman"/>
          <w:b w:val="0"/>
          <w:bCs w:val="0"/>
          <w:i/>
          <w:iCs/>
        </w:rPr>
        <w:t>J Comput Biol</w:t>
      </w:r>
      <w:r>
        <w:rPr>
          <w:rFonts w:ascii="Times New Roman" w:hAnsi="Times New Roman" w:cs="Times New Roman"/>
          <w:b w:val="0"/>
          <w:bCs w:val="0"/>
        </w:rPr>
        <w:t>. 2019;26(11):1278-1295. doi:10.1089/cmb.2019.0145</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30. Zeng X-T, Liu X-P, Liu T-Z, Wang X-H. The clinical significance of COL5A2 in patients with bladder cancer: A retrospective analysis of bladder cancer gene expression data. </w:t>
      </w:r>
      <w:r>
        <w:rPr>
          <w:rFonts w:ascii="Times New Roman" w:hAnsi="Times New Roman" w:cs="Times New Roman"/>
          <w:b w:val="0"/>
          <w:bCs w:val="0"/>
          <w:i/>
          <w:iCs/>
        </w:rPr>
        <w:t>Medicine (Baltimore)</w:t>
      </w:r>
      <w:r>
        <w:rPr>
          <w:rFonts w:ascii="Times New Roman" w:hAnsi="Times New Roman" w:cs="Times New Roman"/>
          <w:b w:val="0"/>
          <w:bCs w:val="0"/>
        </w:rPr>
        <w:t>. 2018;97(10):e0091. doi:10.1097/MD.0000000000010091</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31. Shen H, Wang L, Chen Q, et al. The prognostic value of COL3A1/FBN1/COL5A2/SPARC-mir-29a-3p-H19 associated ceRNA network in Gastric Cancer through bioinformatic exploration. </w:t>
      </w:r>
      <w:r>
        <w:rPr>
          <w:rFonts w:ascii="Times New Roman" w:hAnsi="Times New Roman" w:cs="Times New Roman"/>
          <w:b w:val="0"/>
          <w:bCs w:val="0"/>
          <w:i/>
          <w:iCs/>
        </w:rPr>
        <w:t>J Cancer</w:t>
      </w:r>
      <w:r>
        <w:rPr>
          <w:rFonts w:ascii="Times New Roman" w:hAnsi="Times New Roman" w:cs="Times New Roman"/>
          <w:b w:val="0"/>
          <w:bCs w:val="0"/>
        </w:rPr>
        <w:t>. 2020;11(17):4933-4946. doi:10.7150/jca.45378</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32. The TCGA and GEO databases identify COL5A2 as a poorly prognostic gene in patients with advanced gastric cancer. Published online July 21, 2020. doi:10.21203/rs.3.rs-43511/v1</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33. Ren W, Zhang Y, Zhang L, Lin Q, Zhang J, Xu G. Overexpression of collagen type V α1 chain in human breast invasive ductal carcinoma is mediated by TGF-β1. </w:t>
      </w:r>
      <w:r>
        <w:rPr>
          <w:rFonts w:ascii="Times New Roman" w:hAnsi="Times New Roman" w:cs="Times New Roman"/>
          <w:b w:val="0"/>
          <w:bCs w:val="0"/>
          <w:i/>
          <w:iCs/>
        </w:rPr>
        <w:t>Int J Oncol</w:t>
      </w:r>
      <w:r>
        <w:rPr>
          <w:rFonts w:ascii="Times New Roman" w:hAnsi="Times New Roman" w:cs="Times New Roman"/>
          <w:b w:val="0"/>
          <w:bCs w:val="0"/>
        </w:rPr>
        <w:t>. 2018;52(5):1694-1704. doi:10.3892/ijo.2018.4317</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34. Luan H, Zhang C, Zhang T, He Y, Su Y, Zhou L. Identification of Key Prognostic Biomarker and Its Correlation with Immune Infiltrates in Pancreatic Ductal Adenocarcinoma. </w:t>
      </w:r>
      <w:r>
        <w:rPr>
          <w:rFonts w:ascii="Times New Roman" w:hAnsi="Times New Roman" w:cs="Times New Roman"/>
          <w:b w:val="0"/>
          <w:bCs w:val="0"/>
          <w:i/>
          <w:iCs/>
        </w:rPr>
        <w:t>Dis Markers</w:t>
      </w:r>
      <w:r>
        <w:rPr>
          <w:rFonts w:ascii="Times New Roman" w:hAnsi="Times New Roman" w:cs="Times New Roman"/>
          <w:b w:val="0"/>
          <w:bCs w:val="0"/>
        </w:rPr>
        <w:t>. 2020;2020:8825997. doi:10.1155/2020/8825997</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35. Liu W, Li L, Ye H, Tao H, He H. Role of COL6A3 in colorectal cancer. </w:t>
      </w:r>
      <w:r>
        <w:rPr>
          <w:rFonts w:ascii="Times New Roman" w:hAnsi="Times New Roman" w:cs="Times New Roman"/>
          <w:b w:val="0"/>
          <w:bCs w:val="0"/>
          <w:i/>
          <w:iCs/>
        </w:rPr>
        <w:t>Oncol Rep</w:t>
      </w:r>
      <w:r>
        <w:rPr>
          <w:rFonts w:ascii="Times New Roman" w:hAnsi="Times New Roman" w:cs="Times New Roman"/>
          <w:b w:val="0"/>
          <w:bCs w:val="0"/>
        </w:rPr>
        <w:t>. 2018;39(6):2527-2536. doi:10.3892/or.2018.6331</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36. Duan Y, Liu G, Sun Y, et al. COL6A3 polymorphisms were associated with lung cancer risk in a Chinese population. </w:t>
      </w:r>
      <w:r>
        <w:rPr>
          <w:rFonts w:ascii="Times New Roman" w:hAnsi="Times New Roman" w:cs="Times New Roman"/>
          <w:b w:val="0"/>
          <w:bCs w:val="0"/>
          <w:i/>
          <w:iCs/>
        </w:rPr>
        <w:t>Respir Res</w:t>
      </w:r>
      <w:r>
        <w:rPr>
          <w:rFonts w:ascii="Times New Roman" w:hAnsi="Times New Roman" w:cs="Times New Roman"/>
          <w:b w:val="0"/>
          <w:bCs w:val="0"/>
        </w:rPr>
        <w:t>. 2019;20(1):143. doi:10.1186/s12931-019-1114-y</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37. Mattila N, Seppänen H, Mustonen H, Przybyla B, Haglund C, Lassila R. Preoperative Biomarker Panel, Including Fibrinogen and FVIII, Improves Diagnostic Accuracy for Pancreatic Ductal Adenocarcinoma. </w:t>
      </w:r>
      <w:r>
        <w:rPr>
          <w:rFonts w:ascii="Times New Roman" w:hAnsi="Times New Roman" w:cs="Times New Roman"/>
          <w:b w:val="0"/>
          <w:bCs w:val="0"/>
          <w:i/>
          <w:iCs/>
        </w:rPr>
        <w:t>Clin Appl Thromb Hemost</w:t>
      </w:r>
      <w:r>
        <w:rPr>
          <w:rFonts w:ascii="Times New Roman" w:hAnsi="Times New Roman" w:cs="Times New Roman"/>
          <w:b w:val="0"/>
          <w:bCs w:val="0"/>
        </w:rPr>
        <w:t>. 2018;24(8):1267-1275. doi:10.1177/1076029618779133</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38. Mamoor S. Fibrillin-1, encoded by FBN1, is differentially expressed in lymph node metastases in human breast cancer. Published online October 2, 2020. doi:10.31219/osf.io/87h53</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39. Chen J, Cai Y, Xu R, Pan J, Zhou J, Mei J. Identification of four hub genes as promising biomarkers to evaluate the prognosis of ovarian cancer in silico. </w:t>
      </w:r>
      <w:r>
        <w:rPr>
          <w:rFonts w:ascii="Times New Roman" w:hAnsi="Times New Roman" w:cs="Times New Roman"/>
          <w:b w:val="0"/>
          <w:bCs w:val="0"/>
          <w:i/>
          <w:iCs/>
        </w:rPr>
        <w:t>Cancer Cell Int</w:t>
      </w:r>
      <w:r>
        <w:rPr>
          <w:rFonts w:ascii="Times New Roman" w:hAnsi="Times New Roman" w:cs="Times New Roman"/>
          <w:b w:val="0"/>
          <w:bCs w:val="0"/>
        </w:rPr>
        <w:t>. 2020;20:270. doi:10.1186/s12935-020-01361-1</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40. Mo X, Su Z, Yang B, Zeng Z, Lei S, Qiao H. Identification of key genes involved in the development and progression of early-onset colorectal cancer by co-expression network analysis. </w:t>
      </w:r>
      <w:r>
        <w:rPr>
          <w:rFonts w:ascii="Times New Roman" w:hAnsi="Times New Roman" w:cs="Times New Roman"/>
          <w:b w:val="0"/>
          <w:bCs w:val="0"/>
          <w:i/>
          <w:iCs/>
        </w:rPr>
        <w:t>Oncol Lett</w:t>
      </w:r>
      <w:r>
        <w:rPr>
          <w:rFonts w:ascii="Times New Roman" w:hAnsi="Times New Roman" w:cs="Times New Roman"/>
          <w:b w:val="0"/>
          <w:bCs w:val="0"/>
        </w:rPr>
        <w:t>. 2020;19(1):177-186. doi:10.3892/ol.2019.11073</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41. Xiao X, Liu Z, Wang R, et al. Genistein suppresses FLT4 and inhibits human colorectal cancer metastasis. </w:t>
      </w:r>
      <w:r>
        <w:rPr>
          <w:rFonts w:ascii="Times New Roman" w:hAnsi="Times New Roman" w:cs="Times New Roman"/>
          <w:b w:val="0"/>
          <w:bCs w:val="0"/>
          <w:i/>
          <w:iCs/>
        </w:rPr>
        <w:t>Oncotarget</w:t>
      </w:r>
      <w:r>
        <w:rPr>
          <w:rFonts w:ascii="Times New Roman" w:hAnsi="Times New Roman" w:cs="Times New Roman"/>
          <w:b w:val="0"/>
          <w:bCs w:val="0"/>
        </w:rPr>
        <w:t>. 2015;6(5):3225-3239. doi:10.18632/oncotarget.3064</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42. Crona DJ, Skol AD, Leppänen V-M, et al. Genetic Variants of VEGFA and FLT4 Are Determinants of Survival in Renal Cell Carcinoma Patients Treated with Sorafenib. </w:t>
      </w:r>
      <w:r>
        <w:rPr>
          <w:rFonts w:ascii="Times New Roman" w:hAnsi="Times New Roman" w:cs="Times New Roman"/>
          <w:b w:val="0"/>
          <w:bCs w:val="0"/>
          <w:i/>
          <w:iCs/>
        </w:rPr>
        <w:t>Cancer Res</w:t>
      </w:r>
      <w:r>
        <w:rPr>
          <w:rFonts w:ascii="Times New Roman" w:hAnsi="Times New Roman" w:cs="Times New Roman"/>
          <w:b w:val="0"/>
          <w:bCs w:val="0"/>
        </w:rPr>
        <w:t>. 2019;79(1):231-241. doi:10.1158/0008-5472.CAN-18-1089</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43. Chen F, Takenaka K, Ogawa E, et al. Flt-4-positive endothelial cell density and its clinical significance in non-small cell lung cancer. </w:t>
      </w:r>
      <w:r>
        <w:rPr>
          <w:rFonts w:ascii="Times New Roman" w:hAnsi="Times New Roman" w:cs="Times New Roman"/>
          <w:b w:val="0"/>
          <w:bCs w:val="0"/>
          <w:i/>
          <w:iCs/>
        </w:rPr>
        <w:t>Clin Cancer Res</w:t>
      </w:r>
      <w:r>
        <w:rPr>
          <w:rFonts w:ascii="Times New Roman" w:hAnsi="Times New Roman" w:cs="Times New Roman"/>
          <w:b w:val="0"/>
          <w:bCs w:val="0"/>
        </w:rPr>
        <w:t>. 2004;10(24):8548-8553. doi:10.1158/1078-0432.CCR-04-0950</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44. Sun Y, Zhao C, Ye Y, et al. High expression of fibronectin 1 indicates poor prognosis in gastric cancer. </w:t>
      </w:r>
      <w:r>
        <w:rPr>
          <w:rFonts w:ascii="Times New Roman" w:hAnsi="Times New Roman" w:cs="Times New Roman"/>
          <w:b w:val="0"/>
          <w:bCs w:val="0"/>
          <w:i/>
          <w:iCs/>
        </w:rPr>
        <w:t>Oncol Lett</w:t>
      </w:r>
      <w:r>
        <w:rPr>
          <w:rFonts w:ascii="Times New Roman" w:hAnsi="Times New Roman" w:cs="Times New Roman"/>
          <w:b w:val="0"/>
          <w:bCs w:val="0"/>
        </w:rPr>
        <w:t>. 2020;19(1):93-102. doi:10.3892/ol.2019.11088</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45. Waalkes S, Atschekzei F, Kramer MW, et al. Fibronectin 1 mRNA expression correlates with advanced disease in renal cancer. </w:t>
      </w:r>
      <w:r>
        <w:rPr>
          <w:rFonts w:ascii="Times New Roman" w:hAnsi="Times New Roman" w:cs="Times New Roman"/>
          <w:b w:val="0"/>
          <w:bCs w:val="0"/>
          <w:i/>
          <w:iCs/>
        </w:rPr>
        <w:t>BMC Cancer</w:t>
      </w:r>
      <w:r>
        <w:rPr>
          <w:rFonts w:ascii="Times New Roman" w:hAnsi="Times New Roman" w:cs="Times New Roman"/>
          <w:b w:val="0"/>
          <w:bCs w:val="0"/>
        </w:rPr>
        <w:t>. 2010;10:503. doi:10.1186/1471-2407-10-503</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46. Sponziello M, Rosignolo F, Celano M, et al. Fibronectin-1 expression is increased in aggressive thyroid cancer and favors the migration and invasion of cancer cells. </w:t>
      </w:r>
      <w:r>
        <w:rPr>
          <w:rFonts w:ascii="Times New Roman" w:hAnsi="Times New Roman" w:cs="Times New Roman"/>
          <w:b w:val="0"/>
          <w:bCs w:val="0"/>
          <w:i/>
          <w:iCs/>
        </w:rPr>
        <w:t>Mol Cell Endocrinol</w:t>
      </w:r>
      <w:r>
        <w:rPr>
          <w:rFonts w:ascii="Times New Roman" w:hAnsi="Times New Roman" w:cs="Times New Roman"/>
          <w:b w:val="0"/>
          <w:bCs w:val="0"/>
        </w:rPr>
        <w:t>. 2016;431:123-132. doi:10.1016/j.mce.2016.05.007</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47. Wang Y, Xu H, Zhu B, Qiu Z, Lin Z. Systematic identification of the key candidate genes in breast cancer stroma. </w:t>
      </w:r>
      <w:r>
        <w:rPr>
          <w:rFonts w:ascii="Times New Roman" w:hAnsi="Times New Roman" w:cs="Times New Roman"/>
          <w:b w:val="0"/>
          <w:bCs w:val="0"/>
          <w:i/>
          <w:iCs/>
        </w:rPr>
        <w:t>Cell Mol Biol Lett</w:t>
      </w:r>
      <w:r>
        <w:rPr>
          <w:rFonts w:ascii="Times New Roman" w:hAnsi="Times New Roman" w:cs="Times New Roman"/>
          <w:b w:val="0"/>
          <w:bCs w:val="0"/>
        </w:rPr>
        <w:t>. 2018;23:44. doi:10.1186/s11658-018-0110-4</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48. Liao Y-X, Zhang Z-P, Zhao J, Liu J-P. Effects of Fibronectin 1 on Cell Proliferation, Senescence and Apoptosis of Human Glioma Cells Through the PI3K/AKT Signaling Pathway. </w:t>
      </w:r>
      <w:r>
        <w:rPr>
          <w:rFonts w:ascii="Times New Roman" w:hAnsi="Times New Roman" w:cs="Times New Roman"/>
          <w:b w:val="0"/>
          <w:bCs w:val="0"/>
          <w:i/>
          <w:iCs/>
        </w:rPr>
        <w:t>Cell Physiol Biochem</w:t>
      </w:r>
      <w:r>
        <w:rPr>
          <w:rFonts w:ascii="Times New Roman" w:hAnsi="Times New Roman" w:cs="Times New Roman"/>
          <w:b w:val="0"/>
          <w:bCs w:val="0"/>
        </w:rPr>
        <w:t>. 2018;48(3):1382-1396. doi:10.1159/000492096</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49. Wu J, Wang Y, Xu X, et al. Transcriptional activation of FN1 and IL11 by HMGA2 promotes the malignant behavior of colorectal cancer. </w:t>
      </w:r>
      <w:r>
        <w:rPr>
          <w:rFonts w:ascii="Times New Roman" w:hAnsi="Times New Roman" w:cs="Times New Roman"/>
          <w:b w:val="0"/>
          <w:bCs w:val="0"/>
          <w:i/>
          <w:iCs/>
        </w:rPr>
        <w:t>Carcinogenesis</w:t>
      </w:r>
      <w:r>
        <w:rPr>
          <w:rFonts w:ascii="Times New Roman" w:hAnsi="Times New Roman" w:cs="Times New Roman"/>
          <w:b w:val="0"/>
          <w:bCs w:val="0"/>
        </w:rPr>
        <w:t>. 2016;37(5):511-521. doi:10.1093/carcin/bgw029</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50. Wang Y, Jin Y, Bhandari A, et al. Upregulated LAMB3 increases proliferation and metastasis in thyroid cancer. </w:t>
      </w:r>
      <w:r>
        <w:rPr>
          <w:rFonts w:ascii="Times New Roman" w:hAnsi="Times New Roman" w:cs="Times New Roman"/>
          <w:b w:val="0"/>
          <w:bCs w:val="0"/>
          <w:i/>
          <w:iCs/>
        </w:rPr>
        <w:t>Onco Targets Ther</w:t>
      </w:r>
      <w:r>
        <w:rPr>
          <w:rFonts w:ascii="Times New Roman" w:hAnsi="Times New Roman" w:cs="Times New Roman"/>
          <w:b w:val="0"/>
          <w:bCs w:val="0"/>
        </w:rPr>
        <w:t>. 2018;11:37-46. doi:10.2147/OTT.S149613</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51. Oh HJ, Bae JM, Wen X-Y, Cho N-Y, Kim JH, Kang GH. Overexpression of POSTN in Tumor Stroma Is a Poor Prognostic Indicator of Colorectal Cancer. </w:t>
      </w:r>
      <w:r>
        <w:rPr>
          <w:rFonts w:ascii="Times New Roman" w:hAnsi="Times New Roman" w:cs="Times New Roman"/>
          <w:b w:val="0"/>
          <w:bCs w:val="0"/>
          <w:i/>
          <w:iCs/>
        </w:rPr>
        <w:t>J Pathol Transl Med</w:t>
      </w:r>
      <w:r>
        <w:rPr>
          <w:rFonts w:ascii="Times New Roman" w:hAnsi="Times New Roman" w:cs="Times New Roman"/>
          <w:b w:val="0"/>
          <w:bCs w:val="0"/>
        </w:rPr>
        <w:t>. 2017;51(3):306-313. doi:10.4132/jptm.2017.01.19</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52. Bao S, Ouyang G, Bai X, et al. Periostin potently promotes metastatic growth of colon cancer by augmenting cell survival via the Akt/PKB pathway. </w:t>
      </w:r>
      <w:r>
        <w:rPr>
          <w:rFonts w:ascii="Times New Roman" w:hAnsi="Times New Roman" w:cs="Times New Roman"/>
          <w:b w:val="0"/>
          <w:bCs w:val="0"/>
          <w:i/>
          <w:iCs/>
        </w:rPr>
        <w:t>Cancer Cell</w:t>
      </w:r>
      <w:r>
        <w:rPr>
          <w:rFonts w:ascii="Times New Roman" w:hAnsi="Times New Roman" w:cs="Times New Roman"/>
          <w:b w:val="0"/>
          <w:bCs w:val="0"/>
        </w:rPr>
        <w:t>. 2004;5(4):329-339. doi:10.1016/s1535-6108(04)00081-9</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53. Yu B, Wu K, Wang X, et al. Periostin secreted by cancer-associated fibroblasts promotes cancer stemness in head and neck cancer by activating protein tyrosine kinase 7. </w:t>
      </w:r>
      <w:r>
        <w:rPr>
          <w:rFonts w:ascii="Times New Roman" w:hAnsi="Times New Roman" w:cs="Times New Roman"/>
          <w:b w:val="0"/>
          <w:bCs w:val="0"/>
          <w:i/>
          <w:iCs/>
        </w:rPr>
        <w:t>Cell Death Dis</w:t>
      </w:r>
      <w:r>
        <w:rPr>
          <w:rFonts w:ascii="Times New Roman" w:hAnsi="Times New Roman" w:cs="Times New Roman"/>
          <w:b w:val="0"/>
          <w:bCs w:val="0"/>
        </w:rPr>
        <w:t>. 2018;9(11):1082. doi:10.1038/s41419-018-1116-6</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54. Zhou Y-Y, Chen L-P, Zhang Y, et al. Integrated transcriptomic analysis reveals hub genes involved in diagnosis and prognosis of pancreatic cancer. </w:t>
      </w:r>
      <w:r>
        <w:rPr>
          <w:rFonts w:ascii="Times New Roman" w:hAnsi="Times New Roman" w:cs="Times New Roman"/>
          <w:b w:val="0"/>
          <w:bCs w:val="0"/>
          <w:i/>
          <w:iCs/>
        </w:rPr>
        <w:t>Mol Med</w:t>
      </w:r>
      <w:r>
        <w:rPr>
          <w:rFonts w:ascii="Times New Roman" w:hAnsi="Times New Roman" w:cs="Times New Roman"/>
          <w:b w:val="0"/>
          <w:bCs w:val="0"/>
        </w:rPr>
        <w:t>. 2019;25(1):47. doi:10.1186/s10020-019-0113-2</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55. Cattrini C, Barboro P, Rubagotti A, et al. Integrative Analysis of Periostin in Primary and Advanced Prostate Cancer. </w:t>
      </w:r>
      <w:r>
        <w:rPr>
          <w:rFonts w:ascii="Times New Roman" w:hAnsi="Times New Roman" w:cs="Times New Roman"/>
          <w:b w:val="0"/>
          <w:bCs w:val="0"/>
          <w:i/>
          <w:iCs/>
        </w:rPr>
        <w:t>Transl Oncol</w:t>
      </w:r>
      <w:r>
        <w:rPr>
          <w:rFonts w:ascii="Times New Roman" w:hAnsi="Times New Roman" w:cs="Times New Roman"/>
          <w:b w:val="0"/>
          <w:bCs w:val="0"/>
        </w:rPr>
        <w:t>. 2020;13(7):100789. doi:10.1016/j.tranon.2020.100789</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56. Cole-Healy Z, Vergani P, Hunter K, Brown NJ, Reed MWR, Staton CA. The relationship between semaphorin 3C and microvessel density in the progression of breast and oral neoplasia. </w:t>
      </w:r>
      <w:r>
        <w:rPr>
          <w:rFonts w:ascii="Times New Roman" w:hAnsi="Times New Roman" w:cs="Times New Roman"/>
          <w:b w:val="0"/>
          <w:bCs w:val="0"/>
          <w:i/>
          <w:iCs/>
        </w:rPr>
        <w:t>Exp Mol Pathol</w:t>
      </w:r>
      <w:r>
        <w:rPr>
          <w:rFonts w:ascii="Times New Roman" w:hAnsi="Times New Roman" w:cs="Times New Roman"/>
          <w:b w:val="0"/>
          <w:bCs w:val="0"/>
        </w:rPr>
        <w:t>. 2015;99(1):19-24. doi:10.1016/j.yexmp.2015.03.041</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57. Liu R, Shuai Y, Luo J, Zhang Z. SEMA3C Promotes Cervical Cancer Growth and Is Associated With Poor Prognosis. </w:t>
      </w:r>
      <w:r>
        <w:rPr>
          <w:rFonts w:ascii="Times New Roman" w:hAnsi="Times New Roman" w:cs="Times New Roman"/>
          <w:b w:val="0"/>
          <w:bCs w:val="0"/>
          <w:i/>
          <w:iCs/>
        </w:rPr>
        <w:t>Front Oncol</w:t>
      </w:r>
      <w:r>
        <w:rPr>
          <w:rFonts w:ascii="Times New Roman" w:hAnsi="Times New Roman" w:cs="Times New Roman"/>
          <w:b w:val="0"/>
          <w:bCs w:val="0"/>
        </w:rPr>
        <w:t>. 2019;9:1035. doi:10.3389/fonc.2019.01035</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58. Vaitkienė P, Skiriutė D, Steponaitis G, Skauminas K, Tamašauskas A, Kazlauskas A. High level of Sema3C is associated with glioma malignancy. </w:t>
      </w:r>
      <w:r>
        <w:rPr>
          <w:rFonts w:ascii="Times New Roman" w:hAnsi="Times New Roman" w:cs="Times New Roman"/>
          <w:b w:val="0"/>
          <w:bCs w:val="0"/>
          <w:i/>
          <w:iCs/>
        </w:rPr>
        <w:t>Diagn Pathol</w:t>
      </w:r>
      <w:r>
        <w:rPr>
          <w:rFonts w:ascii="Times New Roman" w:hAnsi="Times New Roman" w:cs="Times New Roman"/>
          <w:b w:val="0"/>
          <w:bCs w:val="0"/>
        </w:rPr>
        <w:t>. 2015;10:58. doi:10.1186/s13000-015-0298-9</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59. Tam KJ, Hui DHF, Lee WW, et al. Semaphorin 3 C drives epithelial-to-mesenchymal transition, invasiveness, and stem-like characteristics in prostate cells. </w:t>
      </w:r>
      <w:r>
        <w:rPr>
          <w:rFonts w:ascii="Times New Roman" w:hAnsi="Times New Roman" w:cs="Times New Roman"/>
          <w:b w:val="0"/>
          <w:bCs w:val="0"/>
          <w:i/>
          <w:iCs/>
        </w:rPr>
        <w:t>Sci Rep</w:t>
      </w:r>
      <w:r>
        <w:rPr>
          <w:rFonts w:ascii="Times New Roman" w:hAnsi="Times New Roman" w:cs="Times New Roman"/>
          <w:b w:val="0"/>
          <w:bCs w:val="0"/>
        </w:rPr>
        <w:t>. 2017;7(1):11501. doi:10.1038/s41598-017-11914-6</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60. Ng L, Chow AKM, Man JHW, et al. Suppression of Slit3 induces tumor proliferation and chemoresistance in hepatocellular carcinoma through activation of GSK3β/β-catenin pathway. </w:t>
      </w:r>
      <w:r>
        <w:rPr>
          <w:rFonts w:ascii="Times New Roman" w:hAnsi="Times New Roman" w:cs="Times New Roman"/>
          <w:b w:val="0"/>
          <w:bCs w:val="0"/>
          <w:i/>
          <w:iCs/>
        </w:rPr>
        <w:t>BMC Cancer</w:t>
      </w:r>
      <w:r>
        <w:rPr>
          <w:rFonts w:ascii="Times New Roman" w:hAnsi="Times New Roman" w:cs="Times New Roman"/>
          <w:b w:val="0"/>
          <w:bCs w:val="0"/>
        </w:rPr>
        <w:t>. 2018;18(1):621. doi:10.1186/s12885-018-4326-5</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61. Zhang C, Guo H, Li B, et al. Effects of Slit3 silencing on the invasive ability of lung carcinoma A549 cells. </w:t>
      </w:r>
      <w:r>
        <w:rPr>
          <w:rFonts w:ascii="Times New Roman" w:hAnsi="Times New Roman" w:cs="Times New Roman"/>
          <w:b w:val="0"/>
          <w:bCs w:val="0"/>
          <w:i/>
          <w:iCs/>
        </w:rPr>
        <w:t>Oncol Rep</w:t>
      </w:r>
      <w:r>
        <w:rPr>
          <w:rFonts w:ascii="Times New Roman" w:hAnsi="Times New Roman" w:cs="Times New Roman"/>
          <w:b w:val="0"/>
          <w:bCs w:val="0"/>
        </w:rPr>
        <w:t>. 2015;34(2):952-960. doi:10.3892/or.2015.4031</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62. Piao J, Sun J, Yang Y, Jin T, Chen L, Lin Z. Target gene screening and evaluation of prognostic values in non-small cell lung cancers by bioinformatics analysis. </w:t>
      </w:r>
      <w:r>
        <w:rPr>
          <w:rFonts w:ascii="Times New Roman" w:hAnsi="Times New Roman" w:cs="Times New Roman"/>
          <w:b w:val="0"/>
          <w:bCs w:val="0"/>
          <w:i/>
          <w:iCs/>
        </w:rPr>
        <w:t>Gene</w:t>
      </w:r>
      <w:r>
        <w:rPr>
          <w:rFonts w:ascii="Times New Roman" w:hAnsi="Times New Roman" w:cs="Times New Roman"/>
          <w:b w:val="0"/>
          <w:bCs w:val="0"/>
        </w:rPr>
        <w:t>. 2018;647:306-311. doi:10.1016/j.gene.2018.01.003</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63. Ha M, Son YR, Kim J, et al. TEK is a novel prognostic marker for clear cell renal cell carcinoma. </w:t>
      </w:r>
      <w:r>
        <w:rPr>
          <w:rFonts w:ascii="Times New Roman" w:hAnsi="Times New Roman" w:cs="Times New Roman"/>
          <w:b w:val="0"/>
          <w:bCs w:val="0"/>
          <w:i/>
          <w:iCs/>
        </w:rPr>
        <w:t>Eur Rev Med Pharmacol Sci</w:t>
      </w:r>
      <w:r>
        <w:rPr>
          <w:rFonts w:ascii="Times New Roman" w:hAnsi="Times New Roman" w:cs="Times New Roman"/>
          <w:b w:val="0"/>
          <w:bCs w:val="0"/>
        </w:rPr>
        <w:t>. 2019;23(4):1451-1458. doi:10.26355/eurrev_201902_17102</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64. Mitsui Y, Shiina H, Kato T, et al. Versican Promotes Tumor Progression, Metastasis and Predicts Poor Prognosis in Renal Carcinoma. </w:t>
      </w:r>
      <w:r>
        <w:rPr>
          <w:rFonts w:ascii="Times New Roman" w:hAnsi="Times New Roman" w:cs="Times New Roman"/>
          <w:b w:val="0"/>
          <w:bCs w:val="0"/>
          <w:i/>
          <w:iCs/>
        </w:rPr>
        <w:t>Mol Cancer Res</w:t>
      </w:r>
      <w:r>
        <w:rPr>
          <w:rFonts w:ascii="Times New Roman" w:hAnsi="Times New Roman" w:cs="Times New Roman"/>
          <w:b w:val="0"/>
          <w:bCs w:val="0"/>
        </w:rPr>
        <w:t>. 2017;15(7):884-895. doi:10.1158/1541-7786.MCR-16-0444</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65. Chida S, Okayama H, Noda M, et al. Stromal VCAN expression as a potential prognostic biomarker for disease recurrence in stage II-III colon cancer. </w:t>
      </w:r>
      <w:r>
        <w:rPr>
          <w:rFonts w:ascii="Times New Roman" w:hAnsi="Times New Roman" w:cs="Times New Roman"/>
          <w:b w:val="0"/>
          <w:bCs w:val="0"/>
          <w:i/>
          <w:iCs/>
        </w:rPr>
        <w:t>Carcinogenesis</w:t>
      </w:r>
      <w:r>
        <w:rPr>
          <w:rFonts w:ascii="Times New Roman" w:hAnsi="Times New Roman" w:cs="Times New Roman"/>
          <w:b w:val="0"/>
          <w:bCs w:val="0"/>
        </w:rPr>
        <w:t>. 2016;37(9):878-887. doi:10.1093/carcin/bgw069</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66. Sluiter NR, de Cuba EMV, Kwakman R, et al. Versican and vascular endothelial growth factor expression levels in peritoneal metastases from colorectal cancer are associated with survival after cytoreductive surgery and hyperthermic intraperitoneal chemotherapy. </w:t>
      </w:r>
      <w:r>
        <w:rPr>
          <w:rFonts w:ascii="Times New Roman" w:hAnsi="Times New Roman" w:cs="Times New Roman"/>
          <w:b w:val="0"/>
          <w:bCs w:val="0"/>
          <w:i/>
          <w:iCs/>
        </w:rPr>
        <w:t>Clin Exp Metastasis</w:t>
      </w:r>
      <w:r>
        <w:rPr>
          <w:rFonts w:ascii="Times New Roman" w:hAnsi="Times New Roman" w:cs="Times New Roman"/>
          <w:b w:val="0"/>
          <w:bCs w:val="0"/>
        </w:rPr>
        <w:t>. 2016;33(4):297-307. doi:10.1007/s10585-016-9779-9</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67. Li W, Han F, Fu M, Wang Z. High expression of VCAN is an independent predictor of poor prognosis in gastric cancer. </w:t>
      </w:r>
      <w:r>
        <w:rPr>
          <w:rFonts w:ascii="Times New Roman" w:hAnsi="Times New Roman" w:cs="Times New Roman"/>
          <w:b w:val="0"/>
          <w:bCs w:val="0"/>
          <w:i/>
          <w:iCs/>
        </w:rPr>
        <w:t>J Int Med Res</w:t>
      </w:r>
      <w:r>
        <w:rPr>
          <w:rFonts w:ascii="Times New Roman" w:hAnsi="Times New Roman" w:cs="Times New Roman"/>
          <w:b w:val="0"/>
          <w:bCs w:val="0"/>
        </w:rPr>
        <w:t>. 2020;48(1):300060519891271. doi:10.1177/0300060519891271</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68. Luo T, Chen X, Zeng S, et al. Bioinformatic identification of key genes and analysis of prognostic values in clear cell renal cell carcinoma. </w:t>
      </w:r>
      <w:r>
        <w:rPr>
          <w:rFonts w:ascii="Times New Roman" w:hAnsi="Times New Roman" w:cs="Times New Roman"/>
          <w:b w:val="0"/>
          <w:bCs w:val="0"/>
          <w:i/>
          <w:iCs/>
        </w:rPr>
        <w:t>Oncol Lett</w:t>
      </w:r>
      <w:r>
        <w:rPr>
          <w:rFonts w:ascii="Times New Roman" w:hAnsi="Times New Roman" w:cs="Times New Roman"/>
          <w:b w:val="0"/>
          <w:bCs w:val="0"/>
        </w:rPr>
        <w:t>. 2018;16(2):1747-1757. doi:10.3892/ol.2018.8842</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69. Garam N, Maláti É, Sinkovits G, et al. Platelet Count, ADAMTS13 Activity, von Willebrand Factor Level and Survival in Patients with Colorectal Cancer: 5-Year Follow-up Study. </w:t>
      </w:r>
      <w:r>
        <w:rPr>
          <w:rFonts w:ascii="Times New Roman" w:hAnsi="Times New Roman" w:cs="Times New Roman"/>
          <w:b w:val="0"/>
          <w:bCs w:val="0"/>
          <w:i/>
          <w:iCs/>
        </w:rPr>
        <w:t>Thromb Haemost</w:t>
      </w:r>
      <w:r>
        <w:rPr>
          <w:rFonts w:ascii="Times New Roman" w:hAnsi="Times New Roman" w:cs="Times New Roman"/>
          <w:b w:val="0"/>
          <w:bCs w:val="0"/>
        </w:rPr>
        <w:t>. 2018;118(1):123-131. doi:10.1160/TH17-07-0548</w:t>
      </w:r>
    </w:p>
    <w:p>
      <w:pPr>
        <w:pStyle w:val="8"/>
        <w:tabs>
          <w:tab w:val="left" w:pos="0"/>
          <w:tab w:val="clear" w:pos="500"/>
        </w:tabs>
        <w:spacing w:line="480" w:lineRule="auto"/>
        <w:ind w:left="0" w:firstLine="0"/>
        <w:rPr>
          <w:rFonts w:ascii="Times New Roman" w:hAnsi="Times New Roman" w:cs="Times New Roman"/>
          <w:b w:val="0"/>
          <w:bCs w:val="0"/>
        </w:rPr>
      </w:pPr>
      <w:r>
        <w:rPr>
          <w:rFonts w:ascii="Times New Roman" w:hAnsi="Times New Roman" w:cs="Times New Roman"/>
          <w:b w:val="0"/>
          <w:bCs w:val="0"/>
        </w:rPr>
        <w:t xml:space="preserve">70. Takaya H, Kawaratani H, Tsuji Y, et al. von Willebrand factor is a useful biomarker for liver fibrosis and prediction of hepatocellular carcinoma development in patients with hepatitis B and C. </w:t>
      </w:r>
      <w:r>
        <w:rPr>
          <w:rFonts w:ascii="Times New Roman" w:hAnsi="Times New Roman" w:cs="Times New Roman"/>
          <w:b w:val="0"/>
          <w:bCs w:val="0"/>
          <w:i/>
          <w:iCs/>
        </w:rPr>
        <w:t>United European Gastroenterol J</w:t>
      </w:r>
      <w:r>
        <w:rPr>
          <w:rFonts w:ascii="Times New Roman" w:hAnsi="Times New Roman" w:cs="Times New Roman"/>
          <w:b w:val="0"/>
          <w:bCs w:val="0"/>
        </w:rPr>
        <w:t>. 2018;6(9):1401-1409. doi:10.1177/2050640618779660</w:t>
      </w:r>
    </w:p>
    <w:p>
      <w:pPr>
        <w:tabs>
          <w:tab w:val="left" w:pos="0"/>
        </w:tabs>
        <w:spacing w:line="480" w:lineRule="auto"/>
        <w:contextualSpacing/>
        <w:rPr>
          <w:rFonts w:ascii="Times New Roman" w:hAnsi="Times New Roman" w:cs="Times New Roman"/>
        </w:rPr>
      </w:pPr>
      <w:r>
        <w:rPr>
          <w:rFonts w:ascii="Times New Roman" w:hAnsi="Times New Roman" w:cs="Times New Roman"/>
        </w:rPr>
        <w:fldChar w:fldCharType="end"/>
      </w:r>
    </w:p>
    <w:p/>
    <w:p/>
    <w:p/>
    <w:p/>
    <w:p/>
    <w:p/>
    <w:p/>
    <w:p/>
    <w:p/>
    <w:p/>
    <w:p/>
    <w:p/>
    <w:p/>
    <w:p/>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Times New Roman Bold">
    <w:panose1 w:val="02020703060505090304"/>
    <w:charset w:val="00"/>
    <w:family w:val="auto"/>
    <w:pitch w:val="default"/>
    <w:sig w:usb0="E0000AFF" w:usb1="00007843" w:usb2="00000001" w:usb3="00000000" w:csb0="400001BF" w:csb1="DFF70000"/>
  </w:font>
  <w:font w:name="Calibri Light">
    <w:altName w:val="Helvetica Neue"/>
    <w:panose1 w:val="020F0302020204030204"/>
    <w:charset w:val="00"/>
    <w:family w:val="swiss"/>
    <w:pitch w:val="default"/>
    <w:sig w:usb0="00000000" w:usb1="00000000" w:usb2="00000009" w:usb3="00000000" w:csb0="000001FF"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doNotDisplayPageBoundaries w:val="1"/>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B7EF7D8"/>
    <w:rsid w:val="0003225C"/>
    <w:rsid w:val="000F48BB"/>
    <w:rsid w:val="001F44D9"/>
    <w:rsid w:val="002F2F66"/>
    <w:rsid w:val="00376C7E"/>
    <w:rsid w:val="004846F4"/>
    <w:rsid w:val="00496AE9"/>
    <w:rsid w:val="004E7F4C"/>
    <w:rsid w:val="004F702D"/>
    <w:rsid w:val="00561C8C"/>
    <w:rsid w:val="006717A6"/>
    <w:rsid w:val="00705F56"/>
    <w:rsid w:val="0074618C"/>
    <w:rsid w:val="00895527"/>
    <w:rsid w:val="008F0F84"/>
    <w:rsid w:val="00931479"/>
    <w:rsid w:val="009B129F"/>
    <w:rsid w:val="00A97692"/>
    <w:rsid w:val="00BD1C14"/>
    <w:rsid w:val="00DF1E2C"/>
    <w:rsid w:val="00E10793"/>
    <w:rsid w:val="07DFDE91"/>
    <w:rsid w:val="67A72A2D"/>
    <w:rsid w:val="739F7166"/>
    <w:rsid w:val="7BFDA71D"/>
    <w:rsid w:val="7FB9B45F"/>
    <w:rsid w:val="7FBEFD8E"/>
    <w:rsid w:val="BB7EF7D8"/>
    <w:rsid w:val="BFF73B56"/>
    <w:rsid w:val="EFFE40F1"/>
    <w:rsid w:val="FEFF6105"/>
    <w:rsid w:val="FF72EE2D"/>
    <w:rsid w:val="FFFFC5E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14:defaultImageDpi w14:val="33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customStyle="1" w:styleId="4">
    <w:name w:val="书目1"/>
    <w:basedOn w:val="1"/>
    <w:qFormat/>
    <w:uiPriority w:val="0"/>
    <w:pPr>
      <w:tabs>
        <w:tab w:val="left" w:pos="260"/>
      </w:tabs>
      <w:spacing w:line="480" w:lineRule="auto"/>
      <w:ind w:left="264" w:hanging="264"/>
    </w:pPr>
    <w:rPr>
      <w:rFonts w:ascii="Times New Roman" w:hAnsi="Times New Roman"/>
    </w:rPr>
  </w:style>
  <w:style w:type="paragraph" w:customStyle="1" w:styleId="5">
    <w:name w:val="书目2"/>
    <w:basedOn w:val="1"/>
    <w:link w:val="6"/>
    <w:qFormat/>
    <w:uiPriority w:val="0"/>
    <w:pPr>
      <w:widowControl/>
      <w:tabs>
        <w:tab w:val="left" w:pos="500"/>
        <w:tab w:val="left" w:pos="10500"/>
      </w:tabs>
      <w:spacing w:after="240"/>
      <w:ind w:left="504" w:right="401" w:rightChars="191" w:hanging="504"/>
      <w:jc w:val="left"/>
      <w:textAlignment w:val="center"/>
    </w:pPr>
    <w:rPr>
      <w:rFonts w:ascii="Times New Roman" w:hAnsi="Times New Roman" w:cs="Times New Roman"/>
      <w:b/>
      <w:bCs/>
      <w:sz w:val="28"/>
      <w:szCs w:val="28"/>
    </w:rPr>
  </w:style>
  <w:style w:type="character" w:customStyle="1" w:styleId="6">
    <w:name w:val="Bibliography 字符"/>
    <w:basedOn w:val="2"/>
    <w:link w:val="5"/>
    <w:qFormat/>
    <w:uiPriority w:val="0"/>
    <w:rPr>
      <w:b/>
      <w:bCs/>
      <w:kern w:val="2"/>
      <w:sz w:val="28"/>
      <w:szCs w:val="28"/>
    </w:rPr>
  </w:style>
  <w:style w:type="paragraph" w:customStyle="1" w:styleId="7">
    <w:name w:val="列表段落2"/>
    <w:basedOn w:val="1"/>
    <w:qFormat/>
    <w:uiPriority w:val="0"/>
    <w:pPr>
      <w:ind w:firstLine="420" w:firstLineChars="200"/>
    </w:pPr>
    <w:rPr>
      <w:rFonts w:ascii="Calibri" w:hAnsi="Calibri" w:eastAsia="宋体" w:cs="Times New Roman"/>
      <w:szCs w:val="21"/>
    </w:rPr>
  </w:style>
  <w:style w:type="paragraph" w:customStyle="1" w:styleId="8">
    <w:name w:val="书目3"/>
    <w:basedOn w:val="1"/>
    <w:link w:val="9"/>
    <w:qFormat/>
    <w:uiPriority w:val="0"/>
    <w:pPr>
      <w:tabs>
        <w:tab w:val="left" w:pos="500"/>
      </w:tabs>
      <w:spacing w:after="240"/>
      <w:ind w:left="504" w:hanging="504"/>
      <w:contextualSpacing/>
    </w:pPr>
    <w:rPr>
      <w:b/>
      <w:bCs/>
      <w:szCs w:val="21"/>
    </w:rPr>
  </w:style>
  <w:style w:type="character" w:customStyle="1" w:styleId="9">
    <w:name w:val="Bibliography 字符1"/>
    <w:basedOn w:val="6"/>
    <w:link w:val="8"/>
    <w:qFormat/>
    <w:uiPriority w:val="0"/>
    <w:rPr>
      <w:rFonts w:asciiTheme="minorHAnsi" w:hAnsiTheme="minorHAnsi" w:cstheme="minorBidi"/>
      <w:kern w:val="2"/>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32018</Words>
  <Characters>186665</Characters>
  <Lines>7777</Lines>
  <Paragraphs>5910</Paragraphs>
  <TotalTime>0</TotalTime>
  <ScaleCrop>false</ScaleCrop>
  <LinksUpToDate>false</LinksUpToDate>
  <CharactersWithSpaces>212773</CharactersWithSpaces>
  <Application>WPS Office_3.8.1.6116_F1E327BC-269C-435d-A152-05C5408002CA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2021-09-22T10:20:00Z</dcterms:created>
  <dc:creator>wuhuan</dc:creator>
  <cp:lastModifiedBy>wuhuan</cp:lastModifiedBy>
  <dcterms:modified xsi:type="dcterms:W3CDTF">2021-09-22T11:30:49Z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2052-3.8.1.6116</vt:lpwstr>
  </property>
  <property fmtid="{D5CDD505-2E9C-101B-9397-08002B2CF9AE}" pid="3" name="ZOTERO_PREF_1">
    <vt:lpwstr>&lt;data data-version="3" zotero-version="5.0.96.2"&gt;&lt;session id="3RLiXOcq"/&gt;&lt;style id="http://www.zotero.org/styles/american-journal-of-alzheimers-disease-and-other-dementias" hasBibliography="1" bibliographyStyleHasBeenSet="1"/&gt;&lt;prefs&gt;&lt;pref name="fieldType"</vt:lpwstr>
  </property>
  <property fmtid="{D5CDD505-2E9C-101B-9397-08002B2CF9AE}" pid="4" name="ZOTERO_PREF_2">
    <vt:lpwstr> value="Field"/&gt;&lt;pref name="delayCitationUpdates" value="true"/&gt;&lt;pref name="dontAskDelayCitationUpdates" value="true"/&gt;&lt;/prefs&gt;&lt;/data&gt;</vt:lpwstr>
  </property>
</Properties>
</file>