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6A9A" w14:textId="1D949E21" w:rsidR="00EB3161" w:rsidRPr="00BB2079" w:rsidRDefault="00BB2079" w:rsidP="00EB3161">
      <w:pPr>
        <w:jc w:val="center"/>
        <w:rPr>
          <w:rFonts w:ascii="Times New Roman" w:eastAsia="Calibri" w:hAnsi="Times New Roman" w:cs="Times New Roman"/>
          <w:u w:val="single"/>
        </w:rPr>
      </w:pPr>
      <w:r w:rsidRPr="00BB207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Supplementary material</w:t>
      </w:r>
    </w:p>
    <w:p w14:paraId="48498537" w14:textId="77777777" w:rsidR="00EB3161" w:rsidRDefault="00EB3161" w:rsidP="00EB316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47885EB4" w14:textId="77777777" w:rsidR="00EB3161" w:rsidRDefault="00EB3161" w:rsidP="00EB316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5A6036B" w14:textId="77777777" w:rsidR="00EB3161" w:rsidRDefault="00EB3161" w:rsidP="00EB316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4380B">
        <w:rPr>
          <w:rFonts w:asciiTheme="majorBidi" w:hAnsiTheme="majorBidi" w:cstheme="majorBidi"/>
          <w:b/>
          <w:bCs/>
          <w:sz w:val="24"/>
          <w:szCs w:val="24"/>
        </w:rPr>
        <w:t>Characterization Of PCL/PMMA/6-MP Nanofiber Scaffolds</w:t>
      </w:r>
    </w:p>
    <w:p w14:paraId="5CDE0C84" w14:textId="77777777" w:rsidR="00EB3161" w:rsidRPr="00BD1C7E" w:rsidRDefault="00EB3161" w:rsidP="00EB3161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D1C7E">
        <w:rPr>
          <w:rFonts w:asciiTheme="majorBidi" w:hAnsiTheme="majorBidi" w:cstheme="majorBidi"/>
          <w:b/>
          <w:bCs/>
          <w:sz w:val="24"/>
          <w:szCs w:val="24"/>
        </w:rPr>
        <w:t>FTIR:</w:t>
      </w:r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 spectra were obtained using FTIR model (IR8400s Shimadzu, Japan) in transmittance mode between 4000–400 cm</w:t>
      </w:r>
      <w:r w:rsidRPr="00BD1C7E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−1</w:t>
      </w:r>
      <w:r w:rsidRPr="00BD1C7E">
        <w:rPr>
          <w:rFonts w:asciiTheme="majorBidi" w:hAnsiTheme="majorBidi" w:cstheme="majorBidi"/>
          <w:sz w:val="24"/>
          <w:szCs w:val="24"/>
        </w:rPr>
        <w:t>, to detect</w:t>
      </w:r>
      <w:r w:rsidRPr="00BD1C7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chemical structure of 6-MP blended PCL/PMMA nanofibrous scaffolds. </w:t>
      </w:r>
    </w:p>
    <w:p w14:paraId="4D930C54" w14:textId="77777777" w:rsidR="00EB3161" w:rsidRPr="00BD1C7E" w:rsidRDefault="00EB3161" w:rsidP="00EB3161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D1C7E">
        <w:rPr>
          <w:rFonts w:asciiTheme="majorBidi" w:hAnsiTheme="majorBidi" w:cstheme="majorBidi"/>
          <w:b/>
          <w:bCs/>
          <w:sz w:val="24"/>
          <w:szCs w:val="24"/>
        </w:rPr>
        <w:t>SEM:</w:t>
      </w:r>
      <w:r w:rsidRPr="00BD1C7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>The surface and cross-section morphology of nanofibrous surface of different scaffolds were investigated by scanning electron microscope (FE-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SEM, Quattro S, Thermo-</w:t>
      </w:r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>Scientific, USA) instrument with high voltage of 5–30 KV. Dried nanofibrous samples were sectioned carefully with specific size, then steady on specific grid. Using Desk Sputter Coater (Vac-</w:t>
      </w:r>
      <w:proofErr w:type="spellStart"/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>Techniche</w:t>
      </w:r>
      <w:proofErr w:type="spellEnd"/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>, UK), each nanofibrous sample was coated by a fine layer of gold before SEM examination.</w:t>
      </w:r>
    </w:p>
    <w:p w14:paraId="1D4CCD55" w14:textId="77777777" w:rsidR="00EB3161" w:rsidRPr="00BD1C7E" w:rsidRDefault="00EB3161" w:rsidP="00EB3161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D1C7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XRD: </w:t>
      </w:r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crystallinity nature of different nanofibers was measured by X-ray diffraction model (Malvern </w:t>
      </w:r>
      <w:proofErr w:type="spellStart"/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>PANalytical</w:t>
      </w:r>
      <w:proofErr w:type="spellEnd"/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mpyrean3, advance with a tube with a copper anode using at 40 KeV and 30 mA. The sample was mounted on a six-axis goniometer and a locked coupled scan was used. The fingerprint of different scaffolds and pure 6-Mercaptopurine revealed sharp and powerful peaks, indicating its crystallinity as demonstrated by numerous distinct peaks observed at 2θ ~11.8, 14.6, 16.8, 21.2, 23.6, 25.3, 25.9, 27.6, 29.5 and 30.4 angels. </w:t>
      </w:r>
    </w:p>
    <w:p w14:paraId="62788FE6" w14:textId="69832B3B" w:rsidR="00EB3161" w:rsidRPr="000F25A0" w:rsidRDefault="00EB3161" w:rsidP="00BB2079">
      <w:pPr>
        <w:spacing w:after="0" w:line="48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D1C7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Mechanical strength:</w:t>
      </w:r>
      <w:r w:rsidRPr="00BD1C7E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>stretchable force</w:t>
      </w:r>
      <w:r w:rsidRPr="00BD1C7E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(</w:t>
      </w:r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Tensile strength) of different configuration of nanofibrous scaffolds was identified by (Z050, Zwick </w:t>
      </w:r>
      <w:proofErr w:type="spellStart"/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>Roell</w:t>
      </w:r>
      <w:proofErr w:type="spellEnd"/>
      <w:r w:rsidRPr="00BD1C7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AG, Ulm, Germany) which is standard uniaxial tensile test. Specimens of dimension (40 ×10 mm) were strained, at a speed of 10 mm/min with a preliminary length of 20 mm and 50N of cell-loads. The measurements were recorded for three specimens of each configuration to get average values, as well as standard deviations (SD).</w:t>
      </w:r>
    </w:p>
    <w:p w14:paraId="46356403" w14:textId="77777777" w:rsidR="00EB3161" w:rsidRPr="000F25A0" w:rsidRDefault="00EB3161" w:rsidP="00EB316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F25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094AB1CB" w14:textId="77777777" w:rsidR="004C49AB" w:rsidRDefault="004C49AB"/>
    <w:sectPr w:rsidR="004C49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0E36" w14:textId="77777777" w:rsidR="00E37C1F" w:rsidRDefault="00E37C1F" w:rsidP="00EB3161">
      <w:pPr>
        <w:spacing w:after="0" w:line="240" w:lineRule="auto"/>
      </w:pPr>
      <w:r>
        <w:separator/>
      </w:r>
    </w:p>
  </w:endnote>
  <w:endnote w:type="continuationSeparator" w:id="0">
    <w:p w14:paraId="04D2DDC5" w14:textId="77777777" w:rsidR="00E37C1F" w:rsidRDefault="00E37C1F" w:rsidP="00EB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404E" w14:textId="77777777" w:rsidR="00BB2079" w:rsidRDefault="00BB2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185C" w14:textId="77777777" w:rsidR="00BB2079" w:rsidRDefault="00BB2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5E40" w14:textId="77777777" w:rsidR="00BB2079" w:rsidRDefault="00BB2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BCE7" w14:textId="77777777" w:rsidR="00E37C1F" w:rsidRDefault="00E37C1F" w:rsidP="00EB3161">
      <w:pPr>
        <w:spacing w:after="0" w:line="240" w:lineRule="auto"/>
      </w:pPr>
      <w:r>
        <w:separator/>
      </w:r>
    </w:p>
  </w:footnote>
  <w:footnote w:type="continuationSeparator" w:id="0">
    <w:p w14:paraId="797599ED" w14:textId="77777777" w:rsidR="00E37C1F" w:rsidRDefault="00E37C1F" w:rsidP="00EB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C9F2" w14:textId="77777777" w:rsidR="00BB2079" w:rsidRDefault="00BB2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4835" w14:textId="77777777" w:rsidR="00EB3161" w:rsidRDefault="00EB3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FC8C" w14:textId="77777777" w:rsidR="00BB2079" w:rsidRDefault="00BB20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DE"/>
    <w:rsid w:val="004C49AB"/>
    <w:rsid w:val="005E2BDE"/>
    <w:rsid w:val="00BB2079"/>
    <w:rsid w:val="00E37C1F"/>
    <w:rsid w:val="00EB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29FC"/>
  <w15:chartTrackingRefBased/>
  <w15:docId w15:val="{DF1AB39B-68CF-41AF-A49B-CAABB560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161"/>
  </w:style>
  <w:style w:type="paragraph" w:styleId="Footer">
    <w:name w:val="footer"/>
    <w:basedOn w:val="Normal"/>
    <w:link w:val="FooterChar"/>
    <w:uiPriority w:val="99"/>
    <w:unhideWhenUsed/>
    <w:rsid w:val="00EB3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61"/>
  </w:style>
  <w:style w:type="character" w:styleId="Hyperlink">
    <w:name w:val="Hyperlink"/>
    <w:basedOn w:val="DefaultParagraphFont"/>
    <w:uiPriority w:val="99"/>
    <w:unhideWhenUsed/>
    <w:rsid w:val="00EB3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Mel Phimester</cp:lastModifiedBy>
  <cp:revision>2</cp:revision>
  <dcterms:created xsi:type="dcterms:W3CDTF">2021-09-29T00:55:00Z</dcterms:created>
  <dcterms:modified xsi:type="dcterms:W3CDTF">2021-09-29T00:55:00Z</dcterms:modified>
</cp:coreProperties>
</file>