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宋体" w:cs="Times New Roman"/>
          <w:sz w:val="21"/>
          <w:szCs w:val="21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color w:val="131413"/>
          <w:kern w:val="0"/>
          <w:sz w:val="21"/>
          <w:szCs w:val="21"/>
          <w:lang w:val="en-US" w:eastAsia="zh-CN" w:bidi="ar"/>
        </w:rPr>
        <w:t>Table S1</w:t>
      </w:r>
      <w:r>
        <w:rPr>
          <w:rFonts w:hint="default" w:ascii="Times New Roman" w:hAnsi="Times New Roman" w:eastAsia="宋体" w:cs="Times New Roman"/>
          <w:color w:val="131413"/>
          <w:kern w:val="0"/>
          <w:sz w:val="21"/>
          <w:szCs w:val="21"/>
          <w:lang w:val="en-US" w:eastAsia="zh-CN" w:bidi="ar"/>
        </w:rPr>
        <w:t xml:space="preserve"> HRs (95% CIs) for all-cause mortality across groups of </w:t>
      </w:r>
      <w:r>
        <w:rPr>
          <w:rFonts w:hint="eastAsia" w:ascii="Times New Roman" w:hAnsi="Times New Roman" w:eastAsia="宋体" w:cs="Times New Roman"/>
          <w:color w:val="131413"/>
          <w:kern w:val="0"/>
          <w:sz w:val="21"/>
          <w:szCs w:val="21"/>
          <w:lang w:val="en-US" w:eastAsia="zh-CN" w:bidi="ar"/>
        </w:rPr>
        <w:t>p</w:t>
      </w:r>
      <w:r>
        <w:rPr>
          <w:rFonts w:hint="default" w:ascii="Times New Roman" w:hAnsi="Times New Roman" w:eastAsia="宋体" w:cs="Times New Roman"/>
          <w:color w:val="131413"/>
          <w:kern w:val="0"/>
          <w:sz w:val="21"/>
          <w:szCs w:val="21"/>
          <w:lang w:val="en-US" w:eastAsia="zh-CN" w:bidi="ar"/>
        </w:rPr>
        <w:t>lasma lipid levels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1088"/>
        <w:gridCol w:w="1088"/>
        <w:gridCol w:w="1088"/>
        <w:gridCol w:w="1088"/>
        <w:gridCol w:w="1088"/>
        <w:gridCol w:w="109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176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Model 1</w:t>
            </w:r>
          </w:p>
        </w:tc>
        <w:tc>
          <w:tcPr>
            <w:tcW w:w="2176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Model 2</w:t>
            </w:r>
          </w:p>
        </w:tc>
        <w:tc>
          <w:tcPr>
            <w:tcW w:w="2178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Model 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88" w:type="dxa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HR (95% CIs)</w:t>
            </w:r>
          </w:p>
        </w:tc>
        <w:tc>
          <w:tcPr>
            <w:tcW w:w="1088" w:type="dxa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lang w:val="en-US" w:eastAsia="zh-CN" w:bidi="ar"/>
              </w:rPr>
              <w:t>P value</w:t>
            </w:r>
          </w:p>
        </w:tc>
        <w:tc>
          <w:tcPr>
            <w:tcW w:w="1088" w:type="dxa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HR (95% CIs)</w:t>
            </w:r>
          </w:p>
        </w:tc>
        <w:tc>
          <w:tcPr>
            <w:tcW w:w="1088" w:type="dxa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lang w:val="en-US" w:eastAsia="zh-CN" w:bidi="ar"/>
              </w:rPr>
              <w:t>P value</w:t>
            </w:r>
          </w:p>
        </w:tc>
        <w:tc>
          <w:tcPr>
            <w:tcW w:w="1088" w:type="dxa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HR (95% CIs)</w:t>
            </w:r>
          </w:p>
        </w:tc>
        <w:tc>
          <w:tcPr>
            <w:tcW w:w="1090" w:type="dxa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lang w:val="en-US" w:eastAsia="zh-CN" w:bidi="ar"/>
              </w:rPr>
              <w:t>P value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2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  <w:vertAlign w:val="baseline"/>
                <w:lang w:val="en-US" w:eastAsia="zh-CN"/>
              </w:rPr>
              <w:t>TC level, mg/dl</w:t>
            </w:r>
          </w:p>
        </w:tc>
        <w:tc>
          <w:tcPr>
            <w:tcW w:w="1088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88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88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88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88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90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30-Day all-cause mortality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  <w:t>24-158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1.0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1.0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1.0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  <w:t>159-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  <w:t>301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0.61 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(0.42, 0.88)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  <w:t>0.009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0.73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 (0.50, 1.06)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  <w:t>0.098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0.84 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(0.57, 1.23)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  <w:t>365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90-Day all-cause mortality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  <w:t>24-158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1.0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1.0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1.0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  <w:t>159-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  <w:t>301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0.54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 (0.39, 0.75)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  <w:t>＜</w:t>
            </w: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0.001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0.66 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(0.48, 0.92)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  <w:t>0.013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0.81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 (0.58, 1.13)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  <w:t>0.213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One-Year all-cause mortality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  <w:t>24-158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1.0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1.0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1.0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  <w:t>159-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  <w:t>301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0.49 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(0.38, 0.64)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  <w:t>＜</w:t>
            </w: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0.001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0.59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 (0.46, 0.77)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  <w:t>＜</w:t>
            </w: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0.001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0.72 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(0.55, 0.95)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0.0</w:t>
            </w: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"/>
              </w:rPr>
              <w:t>TG level, mg/dl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30-Day all-cause mortality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eastAsia="zh-CN"/>
              </w:rPr>
              <w:t>14-111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1.0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1.0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1.0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  <w:t>112-284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0.65 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(0.45, 0.93)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  <w:t>0.020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0.75 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(0.52, 1.09)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  <w:t>0.132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0.85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 (0.58, 1.24)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  <w:t>0.395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90-Day all-cause mortality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eastAsia="zh-CN"/>
              </w:rPr>
              <w:t>14-111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1.0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1.0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1.0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  <w:t>112-284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0.54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 (0.39, 0.75)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  <w:t>＜</w:t>
            </w: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0.001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0.64 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(0.46, 0.88)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  <w:t>0.007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0.70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 (0.50, 0.98)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0.0</w:t>
            </w: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One-Year all-cause mortality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eastAsia="zh-CN"/>
              </w:rPr>
              <w:t>14-111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1.0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1.0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1.0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  <w:t>112-284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0.66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 (0.51, 0.85)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  <w:t>0.001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0.78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 (0.60, 1.00)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  <w:t>0.053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0.82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 (0.63, 1.06)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eastAsia="zh-CN"/>
              </w:rPr>
              <w:t>0.138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"/>
              </w:rPr>
              <w:t>Non-HDL-C, mg/dl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30-Day all-cause mortality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eastAsia="zh-CN"/>
              </w:rPr>
              <w:t>＜100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1.0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1.0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1.0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eastAsia="zh-CN"/>
              </w:rPr>
              <w:t>≥100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0.60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 (0.42, 0.86)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  <w:t>0.005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0.74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 (0.51, 1.07)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  <w:t>0.108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0.86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 (0.59, 1.24)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  <w:t>0.413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90-Day all-cause mortality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eastAsia="zh-CN"/>
              </w:rPr>
              <w:t>＜100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1.0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1.0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1.0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eastAsia="zh-CN"/>
              </w:rPr>
              <w:t>≥100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0.52 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(0.38, 0.72)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  <w:t>＜</w:t>
            </w: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0.001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0.66 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(0.48, 0.91)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  <w:t>0.013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0.78 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(0.56, 1.08)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  <w:t>0.133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One-Year all-cause mortality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eastAsia="zh-CN"/>
              </w:rPr>
              <w:t>＜100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1.0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1.0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1.0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eastAsia="zh-CN"/>
              </w:rPr>
              <w:t>≥100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0.50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 (0.39, 0.64)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  <w:t>＜</w:t>
            </w: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0.001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0.64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 (0.49, 0.82)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  <w:t>＜</w:t>
            </w: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0.001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0.76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 (0.59, 0.99)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0.</w:t>
            </w: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eastAsia="zh-CN"/>
              </w:rPr>
              <w:t>041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5"/>
                <w:szCs w:val="15"/>
                <w:lang w:val="en-US" w:eastAsia="zh-CN" w:bidi="ar"/>
              </w:rPr>
              <w:t>RLP-C, mg/dl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30-Day all-cause mortality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  <w:t>1-21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1.0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1.0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1.0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  <w:t>22-79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0.67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 (0.47, 0.96)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  <w:t>0.030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0.78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 (0.54, 1.12)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  <w:t>0.183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0.88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 (0.61, 1.28)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  <w:t>0.506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90-Day all-cause mortality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  <w:t>1-21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1.0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1.0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1.0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  <w:t>22-79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0.58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 (0.42, 0.79)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  <w:t>＜</w:t>
            </w: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0.001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0.68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 (0.49, 0.94)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  <w:t>0.020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0.76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 (0.55, 1.06)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  <w:t>0.103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One-Year all-cause mortality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  <w:t>1-21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1.0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1.0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1.0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  <w:t>22-79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0.72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 (0.56, 0.93)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0.0</w:t>
            </w: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eastAsia="zh-CN"/>
              </w:rPr>
              <w:t>11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0.86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 (0.67, 1.11)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0.</w:t>
            </w: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eastAsia="zh-CN"/>
              </w:rPr>
              <w:t>241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0.94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 (0.73, 1.22)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</w:rPr>
              <w:t>0.</w:t>
            </w:r>
            <w:r>
              <w:rPr>
                <w:rFonts w:hint="default" w:ascii="Times New Roman" w:hAnsi="Times New Roman" w:eastAsia="宋体" w:cs="Times New Roman"/>
                <w:kern w:val="0"/>
                <w:sz w:val="15"/>
                <w:szCs w:val="15"/>
                <w:lang w:val="en-US" w:eastAsia="zh-CN"/>
              </w:rPr>
              <w:t>654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CxybtmAdvTT7329fd89 . I" w:cs="Times New Roman"/>
          <w:b/>
          <w:bCs/>
          <w:color w:val="000000"/>
          <w:kern w:val="0"/>
          <w:sz w:val="18"/>
          <w:szCs w:val="18"/>
          <w:lang w:val="en-US" w:eastAsia="zh-CN" w:bidi="ar"/>
        </w:rPr>
        <w:t>Abbreviations</w:t>
      </w:r>
      <w:r>
        <w:rPr>
          <w:rFonts w:hint="default" w:ascii="Times New Roman" w:hAnsi="Times New Roman" w:eastAsia="DxygbhAdvTTe45e47d2" w:cs="Times New Roman"/>
          <w:b/>
          <w:bCs/>
          <w:color w:val="000000"/>
          <w:kern w:val="0"/>
          <w:sz w:val="18"/>
          <w:szCs w:val="18"/>
          <w:lang w:val="en-US" w:eastAsia="zh-CN" w:bidi="ar"/>
        </w:rPr>
        <w:t>:</w:t>
      </w:r>
      <w:r>
        <w:rPr>
          <w:rFonts w:hint="eastAsia" w:ascii="Times New Roman" w:hAnsi="Times New Roman" w:eastAsia="DxygbhAdvTTe45e47d2" w:cs="Times New Roman"/>
          <w:color w:val="000000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 New Roman" w:hAnsi="Times New Roman" w:eastAsia="CxybtmAdvTT7329fd89 . I" w:cs="Times New Roman"/>
          <w:color w:val="000000"/>
          <w:kern w:val="0"/>
          <w:sz w:val="18"/>
          <w:szCs w:val="18"/>
          <w:lang w:val="en-US" w:eastAsia="zh-CN" w:bidi="ar"/>
        </w:rPr>
        <w:t>HR</w:t>
      </w:r>
      <w:r>
        <w:rPr>
          <w:rFonts w:hint="eastAsia" w:ascii="Times New Roman" w:hAnsi="Times New Roman" w:eastAsia="CxybtmAdvTT7329fd89 . I" w:cs="Times New Roman"/>
          <w:color w:val="000000"/>
          <w:kern w:val="0"/>
          <w:sz w:val="18"/>
          <w:szCs w:val="18"/>
          <w:lang w:val="en-US" w:eastAsia="zh-CN" w:bidi="ar"/>
        </w:rPr>
        <w:t xml:space="preserve">: </w:t>
      </w:r>
      <w:r>
        <w:rPr>
          <w:rFonts w:hint="default" w:ascii="Times New Roman" w:hAnsi="Times New Roman" w:eastAsia="DxygbhAdvTTe45e47d2" w:cs="Times New Roman"/>
          <w:color w:val="000000"/>
          <w:kern w:val="0"/>
          <w:sz w:val="18"/>
          <w:szCs w:val="18"/>
          <w:lang w:val="en-US" w:eastAsia="zh-CN" w:bidi="ar"/>
        </w:rPr>
        <w:t>hazard ratio</w:t>
      </w:r>
      <w:r>
        <w:rPr>
          <w:rFonts w:hint="eastAsia" w:ascii="Times New Roman" w:hAnsi="Times New Roman" w:eastAsia="DxygbhAdvTTe45e47d2" w:cs="Times New Roman"/>
          <w:color w:val="000000"/>
          <w:kern w:val="0"/>
          <w:sz w:val="18"/>
          <w:szCs w:val="18"/>
          <w:lang w:val="en-US" w:eastAsia="zh-CN" w:bidi="ar"/>
        </w:rPr>
        <w:t>;</w:t>
      </w:r>
      <w:r>
        <w:rPr>
          <w:rFonts w:hint="default" w:ascii="Times New Roman" w:hAnsi="Times New Roman" w:eastAsia="DxygbhAdvTTe45e47d2" w:cs="Times New Roman"/>
          <w:color w:val="000000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 New Roman" w:hAnsi="Times New Roman" w:eastAsia="CxybtmAdvTT7329fd89 . I" w:cs="Times New Roman"/>
          <w:color w:val="000000"/>
          <w:kern w:val="0"/>
          <w:sz w:val="18"/>
          <w:szCs w:val="18"/>
          <w:lang w:val="en-US" w:eastAsia="zh-CN" w:bidi="ar"/>
        </w:rPr>
        <w:t>CI</w:t>
      </w:r>
      <w:r>
        <w:rPr>
          <w:rFonts w:hint="eastAsia" w:ascii="Times New Roman" w:hAnsi="Times New Roman" w:eastAsia="CxybtmAdvTT7329fd89 . I" w:cs="Times New Roman"/>
          <w:color w:val="000000"/>
          <w:kern w:val="0"/>
          <w:sz w:val="18"/>
          <w:szCs w:val="18"/>
          <w:lang w:val="en-US" w:eastAsia="zh-CN" w:bidi="ar"/>
        </w:rPr>
        <w:t xml:space="preserve">: </w:t>
      </w:r>
      <w:r>
        <w:rPr>
          <w:rFonts w:hint="default" w:ascii="Times New Roman" w:hAnsi="Times New Roman" w:eastAsia="DxygbhAdvTTe45e47d2" w:cs="Times New Roman"/>
          <w:color w:val="000000"/>
          <w:kern w:val="0"/>
          <w:sz w:val="18"/>
          <w:szCs w:val="18"/>
          <w:lang w:val="en-US" w:eastAsia="zh-CN" w:bidi="ar"/>
        </w:rPr>
        <w:t>confidence interval</w:t>
      </w:r>
      <w:r>
        <w:rPr>
          <w:rFonts w:hint="eastAsia" w:ascii="Times New Roman" w:hAnsi="Times New Roman" w:eastAsia="DxygbhAdvTTe45e47d2" w:cs="Times New Roman"/>
          <w:color w:val="000000"/>
          <w:kern w:val="0"/>
          <w:sz w:val="18"/>
          <w:szCs w:val="18"/>
          <w:lang w:val="en-US" w:eastAsia="zh-CN" w:bidi="ar"/>
        </w:rPr>
        <w:t xml:space="preserve">; </w:t>
      </w:r>
      <w:r>
        <w:rPr>
          <w:rFonts w:hint="eastAsia" w:ascii="Times New Roman" w:hAnsi="Times New Roman" w:eastAsia="宋体" w:cs="Times New Roman"/>
          <w:color w:val="131413"/>
          <w:kern w:val="0"/>
          <w:sz w:val="18"/>
          <w:szCs w:val="18"/>
          <w:vertAlign w:val="baseline"/>
          <w:lang w:val="en-US" w:eastAsia="zh-CN" w:bidi="ar"/>
        </w:rPr>
        <w:t>T</w:t>
      </w:r>
      <w:r>
        <w:rPr>
          <w:rFonts w:hint="default" w:ascii="Times New Roman" w:hAnsi="Times New Roman" w:eastAsia="宋体" w:cs="Times New Roman"/>
          <w:color w:val="131413"/>
          <w:kern w:val="0"/>
          <w:sz w:val="18"/>
          <w:szCs w:val="18"/>
          <w:vertAlign w:val="baseline"/>
          <w:lang w:val="en-US" w:eastAsia="zh-CN" w:bidi="ar"/>
        </w:rPr>
        <w:t xml:space="preserve">C: </w:t>
      </w:r>
      <w:r>
        <w:rPr>
          <w:rFonts w:hint="eastAsia" w:ascii="Times New Roman" w:hAnsi="Times New Roman" w:eastAsia="宋体" w:cs="Times New Roman"/>
          <w:color w:val="131413"/>
          <w:kern w:val="0"/>
          <w:sz w:val="18"/>
          <w:szCs w:val="18"/>
          <w:vertAlign w:val="baseline"/>
          <w:lang w:val="en-US" w:eastAsia="zh-CN" w:bidi="ar"/>
        </w:rPr>
        <w:t>t</w:t>
      </w:r>
      <w:r>
        <w:rPr>
          <w:rFonts w:hint="default" w:ascii="Times New Roman" w:hAnsi="Times New Roman" w:eastAsia="幼圆" w:cs="Times New Roman"/>
          <w:sz w:val="18"/>
          <w:szCs w:val="18"/>
        </w:rPr>
        <w:t>otal cholesterol</w:t>
      </w:r>
      <w:r>
        <w:rPr>
          <w:rFonts w:hint="eastAsia" w:ascii="Times New Roman" w:hAnsi="Times New Roman" w:eastAsia="幼圆" w:cs="Times New Roman"/>
          <w:sz w:val="18"/>
          <w:szCs w:val="18"/>
          <w:lang w:val="en-US" w:eastAsia="zh-CN"/>
        </w:rPr>
        <w:t xml:space="preserve">; TG: triglycerides; 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Non-HDL-C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: non-high density lipoprotein cholesterol; RLP-C: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remnant lipoprotein cholesterol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>.</w:t>
      </w:r>
    </w:p>
    <w:p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18"/>
          <w:szCs w:val="18"/>
          <w:lang w:val="en-US" w:eastAsia="zh-CN" w:bidi="ar"/>
        </w:rPr>
        <w:t>Notes: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Models 1, 2 and 3 were derived from Cox proportional hazards regression models: model 1 covariates were adjusted for nothing; model 2 covariates were adjusted for age, sex and ethnicity;model 3 covariates were adjusted for age, sex, ethnicity, serum urea nitrogen, serum creatinine, 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m</w:t>
      </w:r>
      <w:r>
        <w:rPr>
          <w:rFonts w:hint="default" w:ascii="Times New Roman" w:hAnsi="Times New Roman" w:eastAsia="幼圆" w:cs="Times New Roman"/>
          <w:sz w:val="18"/>
          <w:szCs w:val="18"/>
          <w:lang w:val="en-US" w:eastAsia="zh-CN"/>
        </w:rPr>
        <w:t xml:space="preserve">ean arterial pressure, </w:t>
      </w:r>
      <w:r>
        <w:rPr>
          <w:rFonts w:hint="eastAsia" w:ascii="Times New Roman" w:hAnsi="Times New Roman" w:eastAsia="宋体" w:cs="Times New Roman"/>
          <w:color w:val="131413"/>
          <w:kern w:val="0"/>
          <w:sz w:val="18"/>
          <w:szCs w:val="18"/>
          <w:vertAlign w:val="baseline"/>
          <w:lang w:val="en-US" w:eastAsia="zh-CN" w:bidi="ar"/>
        </w:rPr>
        <w:t>c</w:t>
      </w:r>
      <w:r>
        <w:rPr>
          <w:rFonts w:hint="default" w:ascii="Times New Roman" w:hAnsi="Times New Roman" w:eastAsia="宋体" w:cs="Times New Roman"/>
          <w:color w:val="131413"/>
          <w:kern w:val="0"/>
          <w:sz w:val="18"/>
          <w:szCs w:val="18"/>
          <w:vertAlign w:val="baseline"/>
          <w:lang w:val="en-US" w:eastAsia="zh-CN" w:bidi="ar"/>
        </w:rPr>
        <w:t xml:space="preserve">oronary heart disease, </w:t>
      </w:r>
      <w:r>
        <w:rPr>
          <w:rFonts w:hint="eastAsia" w:ascii="Times New Roman" w:hAnsi="Times New Roman" w:eastAsia="宋体" w:cs="Times New Roman"/>
          <w:color w:val="131413"/>
          <w:kern w:val="0"/>
          <w:sz w:val="18"/>
          <w:szCs w:val="18"/>
          <w:vertAlign w:val="baseline"/>
          <w:lang w:val="en-US" w:eastAsia="zh-CN" w:bidi="ar"/>
        </w:rPr>
        <w:t>c</w:t>
      </w:r>
      <w:r>
        <w:rPr>
          <w:rFonts w:hint="default" w:ascii="Times New Roman" w:hAnsi="Times New Roman" w:eastAsia="宋体" w:cs="Times New Roman"/>
          <w:color w:val="131413"/>
          <w:kern w:val="0"/>
          <w:sz w:val="18"/>
          <w:szCs w:val="18"/>
          <w:vertAlign w:val="baseline"/>
          <w:lang w:val="en-US" w:eastAsia="zh-CN" w:bidi="ar"/>
        </w:rPr>
        <w:t>ardiogenic shock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.</w:t>
      </w:r>
    </w:p>
    <w:p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p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宋体" w:cs="Times New Roman"/>
          <w:sz w:val="21"/>
          <w:szCs w:val="21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color w:val="131413"/>
          <w:kern w:val="0"/>
          <w:sz w:val="21"/>
          <w:szCs w:val="21"/>
          <w:lang w:val="en-US" w:eastAsia="zh-CN" w:bidi="ar"/>
        </w:rPr>
        <w:t>Table S2</w:t>
      </w:r>
      <w:r>
        <w:rPr>
          <w:rFonts w:hint="eastAsia" w:ascii="Times New Roman" w:hAnsi="Times New Roman" w:eastAsia="宋体" w:cs="Times New Roman"/>
          <w:color w:val="131413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131413"/>
          <w:kern w:val="0"/>
          <w:sz w:val="21"/>
          <w:szCs w:val="21"/>
          <w:lang w:val="en-US" w:eastAsia="zh-CN" w:bidi="ar"/>
        </w:rPr>
        <w:t>HRs (95% CIs) for all-cause mortality across groups of LDL</w:t>
      </w:r>
      <w:r>
        <w:rPr>
          <w:rFonts w:hint="eastAsia" w:ascii="Times New Roman" w:hAnsi="Times New Roman" w:eastAsia="宋体" w:cs="Times New Roman"/>
          <w:color w:val="131413"/>
          <w:kern w:val="0"/>
          <w:sz w:val="21"/>
          <w:szCs w:val="21"/>
          <w:lang w:val="en-US" w:eastAsia="zh-CN" w:bidi="ar"/>
        </w:rPr>
        <w:t>-C</w:t>
      </w:r>
      <w:r>
        <w:rPr>
          <w:rFonts w:hint="default" w:ascii="Times New Roman" w:hAnsi="Times New Roman" w:eastAsia="宋体" w:cs="Times New Roman"/>
          <w:color w:val="131413"/>
          <w:kern w:val="0"/>
          <w:sz w:val="21"/>
          <w:szCs w:val="21"/>
          <w:lang w:val="en-US" w:eastAsia="zh-CN" w:bidi="ar"/>
        </w:rPr>
        <w:t xml:space="preserve"> level</w:t>
      </w:r>
    </w:p>
    <w:p>
      <w:pPr>
        <w:rPr>
          <w:rFonts w:ascii="Times New Roman" w:hAnsi="Times New Roman" w:cs="Times New Roman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3"/>
        <w:gridCol w:w="2254"/>
        <w:gridCol w:w="1270"/>
        <w:gridCol w:w="2254"/>
        <w:gridCol w:w="1270"/>
        <w:gridCol w:w="2254"/>
        <w:gridCol w:w="1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9" w:type="pct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31413"/>
                <w:kern w:val="0"/>
                <w:sz w:val="21"/>
                <w:szCs w:val="21"/>
                <w:vertAlign w:val="baseline"/>
                <w:lang w:val="en-US" w:eastAsia="zh-CN" w:bidi="ar"/>
              </w:rPr>
              <w:t>LDL-C level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color w:val="131413"/>
                <w:kern w:val="0"/>
                <w:sz w:val="21"/>
                <w:szCs w:val="21"/>
                <w:vertAlign w:val="baseline"/>
                <w:lang w:val="en-US" w:eastAsia="zh-CN" w:bidi="ar"/>
              </w:rPr>
              <w:t>mg/dl</w:t>
            </w:r>
          </w:p>
        </w:tc>
        <w:tc>
          <w:tcPr>
            <w:tcW w:w="1243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Model 1</w:t>
            </w:r>
          </w:p>
        </w:tc>
        <w:tc>
          <w:tcPr>
            <w:tcW w:w="1243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Model 2</w:t>
            </w:r>
          </w:p>
        </w:tc>
        <w:tc>
          <w:tcPr>
            <w:tcW w:w="1214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Model 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9" w:type="pct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5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HR (95% CIs)</w:t>
            </w:r>
          </w:p>
        </w:tc>
        <w:tc>
          <w:tcPr>
            <w:tcW w:w="448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P value</w:t>
            </w:r>
          </w:p>
        </w:tc>
        <w:tc>
          <w:tcPr>
            <w:tcW w:w="795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HR (95% CIs)</w:t>
            </w:r>
          </w:p>
        </w:tc>
        <w:tc>
          <w:tcPr>
            <w:tcW w:w="448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P value</w:t>
            </w:r>
          </w:p>
        </w:tc>
        <w:tc>
          <w:tcPr>
            <w:tcW w:w="795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HR (95% CIs)</w:t>
            </w:r>
          </w:p>
        </w:tc>
        <w:tc>
          <w:tcPr>
            <w:tcW w:w="419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lang w:bidi="ar"/>
              </w:rPr>
              <w:t>P 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9" w:type="pct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Divided into four groups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30-Day all-cause mortality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＜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-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0.51 (0.31, 0.83)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007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0.55 (0.34, 0.90)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019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0.70 (0.42, 1.16)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-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113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0.67 (0.43, 1.05)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0.76 (0.49, 1.19)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232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1.08 (0.68, 1.73)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＞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113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0.30 (0.17, 0.54)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&lt;0.00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0.36 (0.20, 0.65)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&lt;0.00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0.53 (0.29, 0.97)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90-Day all-cause mortality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＜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-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0.54 (0.36, 0.82)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004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0.59 (0.39, 0.89)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012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0.75 (0.49, 1.16)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-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113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0.62 (0.42, 0.91)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0.70 (0.47, 1.04)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1.06 (0.70, 1.60)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＞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113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0.27 (0.16, 0.45)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&lt;0.001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0.33 (0.19, 0.55)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&lt;0.001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0.50 (0.29, 0.87)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One-Year all-cause mortality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＜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-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0.65 (0.47, 0.89)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008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0.70 (0.51, 0.97)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032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0.90 (0.64, 1.25)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-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113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0.64 (0.46, 0.88)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0.006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0.73 (0.53, 1.00)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1.09 (0.78, 1.52)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＞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113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0.26 (0.17, 0.40)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&lt;0.001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0.32 (0.21, 0.50)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&lt;0.001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0.49 (0.31, 0.76)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9" w:type="pct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Divide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 xml:space="preserve"> into five groups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129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30-Day all-cause mortality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＜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9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59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 xml:space="preserve"> -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0.47 (0.28, 0.81)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006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0.51 (0.30, 0.88)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015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0.66 (0.38, 1.13)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0.1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9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77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 xml:space="preserve"> -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0.46 (0.27, 0.78)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0.00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0.51 (0.29, 0.87)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0.0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0.74 (0.42, 1.30)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9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97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 xml:space="preserve"> -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0.62 (0.38, 1.02)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0.0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0.74 (0.45, 1.21)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225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1.16 (0.68, 1.95)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129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＞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0.27 (0.14, 0.52)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&lt;0.001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0.33 (0.17, 0.64)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0.00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0.51 (0.26, 1.00)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0.0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90-Day all-cause mortality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＜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9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59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 xml:space="preserve"> -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0.47 (0.30, 0.73)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0.50 (0.32, 0.79)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003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0.63 (0.40, 1.01)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9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77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 xml:space="preserve"> -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0.42 (0.26, 0.66)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&lt;0.001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0.46 (0.29, 0.73)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0.0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0.69 (0.42, 1.12)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9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97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 xml:space="preserve"> -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0.52 (0.34, 0.80)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0.003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0.62 (0.40, 0.96)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0.0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1.03 (0.64, 1.64)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＞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0.24 (0.14, 0.42)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&lt;0.001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0.30 (0.17, 0.53)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&lt;0.001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0.48 (0.26, 0.86)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0.0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9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One-Year all-cause mortality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＜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9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59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 xml:space="preserve"> -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0.55 (0.39, 0.78)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&lt;0.001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0.59 (0.41, 0.83)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003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0.73 (0.51, 1.05)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9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77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 xml:space="preserve"> -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0.49 (0.35, 0.71)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&lt;0.001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0.55 (0.38, 0.78)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0.0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0.81 (0.56, 1.19)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9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97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 xml:space="preserve"> -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0.48 (0.33, 0.69)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&lt;0.001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0.58 (0.40, 0.83)</w:t>
            </w:r>
          </w:p>
        </w:tc>
        <w:tc>
          <w:tcPr>
            <w:tcW w:w="448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0.00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0.92 (0.63, 1.36)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9" w:type="pct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＞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795" w:type="pct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0.24 (0.15, 0.38)</w:t>
            </w:r>
          </w:p>
        </w:tc>
        <w:tc>
          <w:tcPr>
            <w:tcW w:w="448" w:type="pct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&lt;0.001</w:t>
            </w:r>
          </w:p>
        </w:tc>
        <w:tc>
          <w:tcPr>
            <w:tcW w:w="795" w:type="pct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0.30 (0.19, 0.49)</w:t>
            </w:r>
          </w:p>
        </w:tc>
        <w:tc>
          <w:tcPr>
            <w:tcW w:w="448" w:type="pct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&lt;0.001</w:t>
            </w:r>
          </w:p>
        </w:tc>
        <w:tc>
          <w:tcPr>
            <w:tcW w:w="795" w:type="pct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0.48 (0.29, 0.77)</w:t>
            </w:r>
          </w:p>
        </w:tc>
        <w:tc>
          <w:tcPr>
            <w:tcW w:w="419" w:type="pct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</w:rPr>
              <w:t>0.00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幼圆" w:cs="Times New Roman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CxybtmAdvTT7329fd89 . I" w:cs="Times New Roman"/>
          <w:b/>
          <w:bCs/>
          <w:color w:val="000000"/>
          <w:kern w:val="0"/>
          <w:sz w:val="18"/>
          <w:szCs w:val="18"/>
          <w:lang w:val="en-US" w:eastAsia="zh-CN" w:bidi="ar"/>
        </w:rPr>
        <w:t>Abbreviations</w:t>
      </w:r>
      <w:r>
        <w:rPr>
          <w:rFonts w:hint="default" w:ascii="Times New Roman" w:hAnsi="Times New Roman" w:eastAsia="DxygbhAdvTTe45e47d2" w:cs="Times New Roman"/>
          <w:b/>
          <w:bCs/>
          <w:color w:val="000000"/>
          <w:kern w:val="0"/>
          <w:sz w:val="18"/>
          <w:szCs w:val="18"/>
          <w:lang w:val="en-US" w:eastAsia="zh-CN" w:bidi="ar"/>
        </w:rPr>
        <w:t>:</w:t>
      </w:r>
      <w:r>
        <w:rPr>
          <w:rFonts w:hint="eastAsia" w:ascii="Times New Roman" w:hAnsi="Times New Roman" w:eastAsia="DxygbhAdvTTe45e47d2" w:cs="Times New Roman"/>
          <w:b/>
          <w:bCs/>
          <w:color w:val="000000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 New Roman" w:hAnsi="Times New Roman" w:eastAsia="CxybtmAdvTT7329fd89 . I" w:cs="Times New Roman"/>
          <w:color w:val="000000"/>
          <w:kern w:val="0"/>
          <w:sz w:val="18"/>
          <w:szCs w:val="18"/>
          <w:lang w:val="en-US" w:eastAsia="zh-CN" w:bidi="ar"/>
        </w:rPr>
        <w:t>HR</w:t>
      </w:r>
      <w:r>
        <w:rPr>
          <w:rFonts w:hint="eastAsia" w:ascii="Times New Roman" w:hAnsi="Times New Roman" w:eastAsia="CxybtmAdvTT7329fd89 . I" w:cs="Times New Roman"/>
          <w:color w:val="000000"/>
          <w:kern w:val="0"/>
          <w:sz w:val="18"/>
          <w:szCs w:val="18"/>
          <w:lang w:val="en-US" w:eastAsia="zh-CN" w:bidi="ar"/>
        </w:rPr>
        <w:t xml:space="preserve">: </w:t>
      </w:r>
      <w:r>
        <w:rPr>
          <w:rFonts w:hint="default" w:ascii="Times New Roman" w:hAnsi="Times New Roman" w:eastAsia="DxygbhAdvTTe45e47d2" w:cs="Times New Roman"/>
          <w:color w:val="000000"/>
          <w:kern w:val="0"/>
          <w:sz w:val="18"/>
          <w:szCs w:val="18"/>
          <w:lang w:val="en-US" w:eastAsia="zh-CN" w:bidi="ar"/>
        </w:rPr>
        <w:t xml:space="preserve">hazard ratio, </w:t>
      </w:r>
      <w:r>
        <w:rPr>
          <w:rFonts w:hint="default" w:ascii="Times New Roman" w:hAnsi="Times New Roman" w:eastAsia="CxybtmAdvTT7329fd89 . I" w:cs="Times New Roman"/>
          <w:color w:val="000000"/>
          <w:kern w:val="0"/>
          <w:sz w:val="18"/>
          <w:szCs w:val="18"/>
          <w:lang w:val="en-US" w:eastAsia="zh-CN" w:bidi="ar"/>
        </w:rPr>
        <w:t>CI</w:t>
      </w:r>
      <w:r>
        <w:rPr>
          <w:rFonts w:hint="eastAsia" w:ascii="Times New Roman" w:hAnsi="Times New Roman" w:eastAsia="CxybtmAdvTT7329fd89 . I" w:cs="Times New Roman"/>
          <w:color w:val="000000"/>
          <w:kern w:val="0"/>
          <w:sz w:val="18"/>
          <w:szCs w:val="18"/>
          <w:lang w:val="en-US" w:eastAsia="zh-CN" w:bidi="ar"/>
        </w:rPr>
        <w:t xml:space="preserve">: </w:t>
      </w:r>
      <w:r>
        <w:rPr>
          <w:rFonts w:hint="default" w:ascii="Times New Roman" w:hAnsi="Times New Roman" w:eastAsia="DxygbhAdvTTe45e47d2" w:cs="Times New Roman"/>
          <w:color w:val="000000"/>
          <w:kern w:val="0"/>
          <w:sz w:val="18"/>
          <w:szCs w:val="18"/>
          <w:lang w:val="en-US" w:eastAsia="zh-CN" w:bidi="ar"/>
        </w:rPr>
        <w:t>confidence interval</w:t>
      </w:r>
      <w:r>
        <w:rPr>
          <w:rFonts w:hint="eastAsia" w:ascii="Times New Roman" w:hAnsi="Times New Roman" w:eastAsia="DxygbhAdvTTe45e47d2" w:cs="Times New Roman"/>
          <w:color w:val="000000"/>
          <w:kern w:val="0"/>
          <w:sz w:val="18"/>
          <w:szCs w:val="18"/>
          <w:lang w:val="en-US" w:eastAsia="zh-CN" w:bidi="ar"/>
        </w:rPr>
        <w:t xml:space="preserve">; </w:t>
      </w:r>
      <w:r>
        <w:rPr>
          <w:rFonts w:hint="default" w:ascii="Times New Roman" w:hAnsi="Times New Roman" w:eastAsia="宋体" w:cs="Times New Roman"/>
          <w:color w:val="131413"/>
          <w:kern w:val="0"/>
          <w:sz w:val="18"/>
          <w:szCs w:val="18"/>
          <w:vertAlign w:val="baseline"/>
          <w:lang w:val="en-US" w:eastAsia="zh-CN" w:bidi="ar"/>
        </w:rPr>
        <w:t xml:space="preserve">LDL-C: </w:t>
      </w:r>
      <w:r>
        <w:rPr>
          <w:rFonts w:hint="default" w:ascii="Times New Roman" w:hAnsi="Times New Roman" w:eastAsia="幼圆" w:cs="Times New Roman"/>
          <w:sz w:val="18"/>
          <w:szCs w:val="18"/>
        </w:rPr>
        <w:t>low density lipoprotein cholesterol</w:t>
      </w:r>
      <w:r>
        <w:rPr>
          <w:rFonts w:hint="eastAsia" w:ascii="Times New Roman" w:hAnsi="Times New Roman" w:eastAsia="幼圆" w:cs="Times New Roman"/>
          <w:sz w:val="18"/>
          <w:szCs w:val="18"/>
          <w:lang w:val="en-US" w:eastAsia="zh-CN"/>
        </w:rPr>
        <w:t>.</w:t>
      </w:r>
    </w:p>
    <w:p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18"/>
          <w:szCs w:val="18"/>
          <w:lang w:val="en-US" w:eastAsia="zh-CN" w:bidi="ar"/>
        </w:rPr>
        <w:t>Notes: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Models 1, 2 and 3 were derived from Cox proportional hazards regression models: model 1 covariates were adjusted for nothing; model 2 covariates were adjusted for age, sex and ethnicity;model 3 covariates were adjusted for age, sex, ethnicity, serum urea nitrogen, serum creatinine, </w:t>
      </w:r>
      <w:r>
        <w:rPr>
          <w:rFonts w:hint="eastAsia" w:ascii="Times New Roman" w:hAnsi="Times New Roman" w:eastAsia="幼圆" w:cs="Times New Roman"/>
          <w:sz w:val="18"/>
          <w:szCs w:val="18"/>
          <w:lang w:val="en-US" w:eastAsia="zh-CN"/>
        </w:rPr>
        <w:t>m</w:t>
      </w:r>
      <w:r>
        <w:rPr>
          <w:rFonts w:hint="default" w:ascii="Times New Roman" w:hAnsi="Times New Roman" w:eastAsia="幼圆" w:cs="Times New Roman"/>
          <w:sz w:val="18"/>
          <w:szCs w:val="18"/>
          <w:lang w:val="en-US" w:eastAsia="zh-CN"/>
        </w:rPr>
        <w:t xml:space="preserve">ean arterial pressure, </w:t>
      </w:r>
      <w:r>
        <w:rPr>
          <w:rFonts w:hint="eastAsia" w:ascii="Times New Roman" w:hAnsi="Times New Roman" w:eastAsia="宋体" w:cs="Times New Roman"/>
          <w:color w:val="131413"/>
          <w:kern w:val="0"/>
          <w:sz w:val="18"/>
          <w:szCs w:val="18"/>
          <w:vertAlign w:val="baseline"/>
          <w:lang w:val="en-US" w:eastAsia="zh-CN" w:bidi="ar"/>
        </w:rPr>
        <w:t>c</w:t>
      </w:r>
      <w:r>
        <w:rPr>
          <w:rFonts w:hint="default" w:ascii="Times New Roman" w:hAnsi="Times New Roman" w:eastAsia="宋体" w:cs="Times New Roman"/>
          <w:color w:val="131413"/>
          <w:kern w:val="0"/>
          <w:sz w:val="18"/>
          <w:szCs w:val="18"/>
          <w:vertAlign w:val="baseline"/>
          <w:lang w:val="en-US" w:eastAsia="zh-CN" w:bidi="ar"/>
        </w:rPr>
        <w:t xml:space="preserve">oronary heart disease, </w:t>
      </w:r>
      <w:r>
        <w:rPr>
          <w:rFonts w:hint="eastAsia" w:ascii="Times New Roman" w:hAnsi="Times New Roman" w:eastAsia="宋体" w:cs="Times New Roman"/>
          <w:color w:val="131413"/>
          <w:kern w:val="0"/>
          <w:sz w:val="18"/>
          <w:szCs w:val="18"/>
          <w:vertAlign w:val="baseline"/>
          <w:lang w:val="en-US" w:eastAsia="zh-CN" w:bidi="ar"/>
        </w:rPr>
        <w:t>c</w:t>
      </w:r>
      <w:r>
        <w:rPr>
          <w:rFonts w:hint="default" w:ascii="Times New Roman" w:hAnsi="Times New Roman" w:eastAsia="宋体" w:cs="Times New Roman"/>
          <w:color w:val="131413"/>
          <w:kern w:val="0"/>
          <w:sz w:val="18"/>
          <w:szCs w:val="18"/>
          <w:vertAlign w:val="baseline"/>
          <w:lang w:val="en-US" w:eastAsia="zh-CN" w:bidi="ar"/>
        </w:rPr>
        <w:t>ardiogenic shock</w:t>
      </w:r>
      <w:r>
        <w:rPr>
          <w:rFonts w:hint="eastAsia" w:ascii="Times New Roman" w:hAnsi="Times New Roman" w:eastAsia="宋体" w:cs="Times New Roman"/>
          <w:color w:val="131413"/>
          <w:kern w:val="0"/>
          <w:sz w:val="18"/>
          <w:szCs w:val="18"/>
          <w:vertAlign w:val="baseline"/>
          <w:lang w:val="en-US" w:eastAsia="zh-CN" w:bidi="ar"/>
        </w:rPr>
        <w:t>.</w:t>
      </w:r>
    </w:p>
    <w:p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</w:pPr>
    </w:p>
    <w:sectPr>
      <w:pgSz w:w="16838" w:h="11906" w:orient="landscape"/>
      <w:pgMar w:top="1803" w:right="1440" w:bottom="1803" w:left="1440" w:header="851" w:footer="992" w:gutter="0"/>
      <w:paperSrc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xybtmAdvTT7329fd89 . 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xygbhAdvTTe45e47d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1548D"/>
    <w:rsid w:val="093A3609"/>
    <w:rsid w:val="140A04A3"/>
    <w:rsid w:val="18AD4467"/>
    <w:rsid w:val="1D7C60D0"/>
    <w:rsid w:val="23574746"/>
    <w:rsid w:val="24AC690C"/>
    <w:rsid w:val="273173CB"/>
    <w:rsid w:val="2D133D8D"/>
    <w:rsid w:val="2E58202F"/>
    <w:rsid w:val="3DAA6571"/>
    <w:rsid w:val="491334B4"/>
    <w:rsid w:val="49C953A6"/>
    <w:rsid w:val="4B9B5CE9"/>
    <w:rsid w:val="4FD8064D"/>
    <w:rsid w:val="548C3161"/>
    <w:rsid w:val="58C03ABC"/>
    <w:rsid w:val="6150009A"/>
    <w:rsid w:val="653635F7"/>
    <w:rsid w:val="741A33E4"/>
    <w:rsid w:val="77832842"/>
    <w:rsid w:val="7D1A1574"/>
    <w:rsid w:val="7EC636EA"/>
    <w:rsid w:val="7FEE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940</Characters>
  <Lines>0</Lines>
  <Paragraphs>0</Paragraphs>
  <TotalTime>0</TotalTime>
  <ScaleCrop>false</ScaleCrop>
  <LinksUpToDate>false</LinksUpToDate>
  <CharactersWithSpaces>1058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2020-12-28T15:31:00Z</dcterms:created>
  <dc:creator>lenovo</dc:creator>
  <cp:lastModifiedBy>lenovo</cp:lastModifiedBy>
  <dcterms:modified xsi:type="dcterms:W3CDTF">2021-10-21T10:25:49Z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34CA0C5879B149E6B0C226439B4E2977</vt:lpwstr>
  </property>
</Properties>
</file>