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instrText xml:space="preserve"> HYPERLINK "D:/Youdao/Dict/8.9.6.0/resultui/html/index.html" \l "/javascript:;" </w:instrTex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upplementary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 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instrText xml:space="preserve"> HYPERLINK "D:/Youdao/Dict/8.9.6.0/resultui/html/index.html" \l "/javascript:;" </w:instrTex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materials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     </w:t>
      </w:r>
    </w:p>
    <w:p>
      <w:pPr>
        <w:spacing w:line="480" w:lineRule="auto"/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</w:pP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>Machine learning analysis reveals abnormal</w:t>
      </w:r>
      <w:bookmarkStart w:id="0" w:name="OLE_LINK4"/>
      <w:bookmarkEnd w:id="0"/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static and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d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ynamic low-frequency oscillations indicative of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l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>ong-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t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erm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m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enstrual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p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ain in </w:t>
      </w:r>
      <w:bookmarkStart w:id="1" w:name="OLE_LINK10"/>
      <w:bookmarkEnd w:id="1"/>
      <w:bookmarkStart w:id="2" w:name="OLE_LINK2"/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p</w:t>
      </w:r>
      <w:bookmarkEnd w:id="2"/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rimary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d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 xml:space="preserve">ysmenorrhea </w:t>
      </w:r>
      <w:r>
        <w:rPr>
          <w:rFonts w:ascii="Times New Roman" w:hAnsi="Times New Roman" w:eastAsia="宋体" w:cs="Times New Roman"/>
          <w:b/>
          <w:color w:val="212121"/>
          <w:sz w:val="30"/>
          <w:szCs w:val="30"/>
          <w:shd w:val="clear" w:color="auto" w:fill="FFFFFF"/>
          <w:lang w:bidi="ar"/>
        </w:rPr>
        <w:t>p</w:t>
      </w:r>
      <w:r>
        <w:rPr>
          <w:rFonts w:ascii="Times New Roman" w:hAnsi="Times New Roman" w:eastAsia="Georgia" w:cs="Times New Roman"/>
          <w:b/>
          <w:color w:val="212121"/>
          <w:sz w:val="30"/>
          <w:szCs w:val="30"/>
          <w:shd w:val="clear" w:color="auto" w:fill="FFFFFF"/>
          <w:lang w:bidi="ar"/>
        </w:rPr>
        <w:t>atients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bookmarkStart w:id="7" w:name="_GoBack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138420" cy="4309745"/>
            <wp:effectExtent l="0" t="0" r="12700" b="3175"/>
            <wp:docPr id="2" name="图片 2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842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" w:name="OLE_LINK1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FigureS1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Note: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Distribution patterns of dALFF variance (window lengths (30 TRs [60s]) were observed at the group level in PD and HC groups in the typical frequency band (0.01–0.08 Hz).(A) Diffe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rent dALFF values between two groups.(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) The mean values of altered dALFF between the two groups were shown with a histogram.(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Abbreviations: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ALFF, dynamic amplitude of low-frequency fluctuation; PD,Primary Dysmenorrhea; HC, health controls; L, left; R, right ;</w:t>
      </w:r>
    </w:p>
    <w:bookmarkEnd w:id="3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59070" cy="4462780"/>
            <wp:effectExtent l="0" t="0" r="13970" b="2540"/>
            <wp:docPr id="3" name="图片 3" descr="figur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Note:</w:t>
      </w:r>
      <w:bookmarkStart w:id="4" w:name="OLE_LINK7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Distribution patterns of dALFF variance (window lengths (100 TRs [200s]) were observed at the group level in PD and HC groups in the typical frequency band (0.01–0.08 Hz).(A) Diffe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rent dALFF values between two groups.(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) The mean values of altered dALFF between the two groups were shown with a histogram.(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) 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Abbreviations: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ALFF, dynamic amplitude of low-frequency fluctuation; PD,Primary Dysmenorrhea; HC, health controls; L, left; R, right 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  <w:t xml:space="preserve">TableS1: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Different dALFF values between two groups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window lengths (30 TRs [60 s] )</w:t>
      </w:r>
    </w:p>
    <w:tbl>
      <w:tblPr>
        <w:tblStyle w:val="2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056"/>
        <w:gridCol w:w="1040"/>
        <w:gridCol w:w="1290"/>
        <w:gridCol w:w="162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bookmarkStart w:id="5" w:name="OLE_LINK6"/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Condition 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Brain regions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BA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Verdana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Peak T-scores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Verdana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MNI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coordinates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(x,y,z)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Cluster size (voxels)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Fusiform_R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-4.3703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-45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Temporal_Mid_R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-5.1628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-66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Temporal_Sup_R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-3.971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  -9  -6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Thalamus_L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-5.1187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-6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-12  27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Precentral_R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-4.3405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33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-15  48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Postcentral_R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-4.9757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-42  63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Precentral_R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-4.3845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-21  78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</w:tr>
      <w:bookmarkEnd w:id="5"/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Note:</w:t>
      </w:r>
      <w:r>
        <w:rPr>
          <w:rFonts w:hint="default" w:ascii="Times New Roman" w:hAnsi="Times New Roman" w:eastAsia="宋体" w:cs="Times New Roman"/>
          <w:sz w:val="24"/>
          <w:szCs w:val="24"/>
        </w:rPr>
        <w:t>The statistical threshold was set at the voxel level with p&lt;0.01 for multiple comparisons using Gaussian random-field theory.(voxel-level P&lt;0.01, GRF correction, cluster-level P&lt;0.05).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bookmarkStart w:id="6" w:name="OLE_LINK5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ALFF, dynamic amplitude of low-frequency fluctuation; PD, Primary Dysmenorrhea; HC, health controls; L, left; R, right ;</w:t>
      </w:r>
      <w:bookmarkEnd w:id="6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GRF, Gaussian random field;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"/>
        </w:rPr>
        <w:t xml:space="preserve">Table S2: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Different dALFF values between two groups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window lengths (100 TRs [200 s])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056"/>
        <w:gridCol w:w="1040"/>
        <w:gridCol w:w="1165"/>
        <w:gridCol w:w="209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Condition 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Brain regions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BA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Verdana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Peak T-scores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eastAsia="Verdana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MNI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coordinates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Verdana" w:cs="Times New Roman"/>
                <w:kern w:val="2"/>
                <w:sz w:val="24"/>
                <w:szCs w:val="24"/>
                <w:lang w:val="en-US" w:eastAsia="zh-CN" w:bidi="ar"/>
              </w:rPr>
              <w:t>(x,y,z)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Cluster size (voxels)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Temporal_Mid_R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-4.6528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45 -66   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Parietal_Inf_R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-4.1517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51 -42  30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PD&lt;HC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Postcentral_R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-4.0971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33 -60  60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Note:</w:t>
      </w:r>
      <w:r>
        <w:rPr>
          <w:rFonts w:hint="default" w:ascii="Times New Roman" w:hAnsi="Times New Roman" w:eastAsia="宋体" w:cs="Times New Roman"/>
          <w:sz w:val="24"/>
          <w:szCs w:val="24"/>
        </w:rPr>
        <w:t>The statistical threshold was set at the voxel level with p&lt;0.01 for multiple comparisons using Gaussian random-field theory.(voxel-level P&lt;0.01, GRF correction, cluster-level P&lt;0.05).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ALFF, dynamic amplitude of low-frequency fluctuation; PD, Primary Dysmenorrhea; HC, health controls; L, left; R, right;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GRF,Gaussian random field;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17C7"/>
    <w:rsid w:val="03153462"/>
    <w:rsid w:val="06365048"/>
    <w:rsid w:val="064A45C1"/>
    <w:rsid w:val="08477263"/>
    <w:rsid w:val="092E7332"/>
    <w:rsid w:val="09BA3323"/>
    <w:rsid w:val="0A4414A1"/>
    <w:rsid w:val="0FD5477B"/>
    <w:rsid w:val="17BF1CA0"/>
    <w:rsid w:val="18BD3A1A"/>
    <w:rsid w:val="19163C9B"/>
    <w:rsid w:val="1C9A3CF2"/>
    <w:rsid w:val="1CBF7367"/>
    <w:rsid w:val="226728DB"/>
    <w:rsid w:val="255700B8"/>
    <w:rsid w:val="25E55A3C"/>
    <w:rsid w:val="285204B3"/>
    <w:rsid w:val="294448B6"/>
    <w:rsid w:val="2A014E39"/>
    <w:rsid w:val="2AF1237D"/>
    <w:rsid w:val="2F9C082D"/>
    <w:rsid w:val="328A1FA4"/>
    <w:rsid w:val="36C43D9B"/>
    <w:rsid w:val="378C09A2"/>
    <w:rsid w:val="39072FD7"/>
    <w:rsid w:val="393663F2"/>
    <w:rsid w:val="3B6A326D"/>
    <w:rsid w:val="3EC75492"/>
    <w:rsid w:val="3F6D76A2"/>
    <w:rsid w:val="3FDE4050"/>
    <w:rsid w:val="5A750495"/>
    <w:rsid w:val="5BCA1F25"/>
    <w:rsid w:val="5E3B44E7"/>
    <w:rsid w:val="60BD0A77"/>
    <w:rsid w:val="61B1647A"/>
    <w:rsid w:val="62812ECB"/>
    <w:rsid w:val="639E5F10"/>
    <w:rsid w:val="666B0B2B"/>
    <w:rsid w:val="68672333"/>
    <w:rsid w:val="695208BC"/>
    <w:rsid w:val="794531A0"/>
    <w:rsid w:val="7DA54BFD"/>
    <w:rsid w:val="7DE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正文_0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2021-06-09T08:14:00Z</dcterms:created>
  <dc:creator>ASUS</dc:creator>
  <cp:lastModifiedBy>黄兴</cp:lastModifiedBy>
  <dcterms:modified xsi:type="dcterms:W3CDTF">2021-09-18T02:38:40Z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