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9070E" w14:textId="31D373A1" w:rsidR="00700FB0" w:rsidRDefault="00700FB0" w:rsidP="00700FB0">
      <w:pPr>
        <w:widowControl w:val="0"/>
      </w:pPr>
      <w:r w:rsidRPr="00702C14">
        <w:rPr>
          <w:b/>
          <w:bCs/>
        </w:rPr>
        <w:t>Appendix 1</w:t>
      </w:r>
      <w:r w:rsidRPr="005471C7">
        <w:t>. Discrimination indexes of the General Medicine In-training Examination</w:t>
      </w:r>
      <w:r w:rsidRPr="005471C7" w:rsidDel="00700FB0">
        <w:t xml:space="preserve"> </w:t>
      </w:r>
      <w:r w:rsidRPr="005471C7">
        <w:t>and Professional and Linguistic Assessments Board</w:t>
      </w:r>
      <w:r w:rsidRPr="005471C7" w:rsidDel="00700FB0">
        <w:t xml:space="preserve"> </w:t>
      </w:r>
      <w:r w:rsidRPr="005471C7">
        <w:t>1 examination scores (table)</w:t>
      </w:r>
    </w:p>
    <w:p w14:paraId="2D9873A5" w14:textId="77777777" w:rsidR="00702C14" w:rsidRPr="005471C7" w:rsidRDefault="00702C14" w:rsidP="00700FB0">
      <w:pPr>
        <w:widowControl w:val="0"/>
      </w:pPr>
    </w:p>
    <w:tbl>
      <w:tblPr>
        <w:tblW w:w="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00"/>
        <w:gridCol w:w="1300"/>
        <w:gridCol w:w="1300"/>
        <w:gridCol w:w="1300"/>
      </w:tblGrid>
      <w:tr w:rsidR="00AD643D" w:rsidRPr="00AD643D" w14:paraId="0BA56CD8" w14:textId="77777777" w:rsidTr="00AD643D">
        <w:trPr>
          <w:trHeight w:val="580"/>
        </w:trPr>
        <w:tc>
          <w:tcPr>
            <w:tcW w:w="1300" w:type="dxa"/>
            <w:shd w:val="clear" w:color="auto" w:fill="auto"/>
            <w:noWrap/>
            <w:hideMark/>
          </w:tcPr>
          <w:p w14:paraId="28307995" w14:textId="77777777" w:rsidR="00700FB0" w:rsidRPr="00AD643D" w:rsidRDefault="00700FB0" w:rsidP="00AD643D">
            <w:pPr>
              <w:widowControl w:val="0"/>
            </w:pPr>
            <w:r w:rsidRPr="00AD643D">
              <w:t>Examination</w:t>
            </w:r>
          </w:p>
        </w:tc>
        <w:tc>
          <w:tcPr>
            <w:tcW w:w="1300" w:type="dxa"/>
            <w:shd w:val="clear" w:color="auto" w:fill="auto"/>
            <w:noWrap/>
            <w:hideMark/>
          </w:tcPr>
          <w:p w14:paraId="66B50645" w14:textId="77777777" w:rsidR="00700FB0" w:rsidRPr="00AD643D" w:rsidRDefault="00700FB0" w:rsidP="00AD643D">
            <w:pPr>
              <w:widowControl w:val="0"/>
            </w:pPr>
            <w:r w:rsidRPr="00AD643D">
              <w:t>n</w:t>
            </w:r>
          </w:p>
        </w:tc>
        <w:tc>
          <w:tcPr>
            <w:tcW w:w="1300" w:type="dxa"/>
            <w:shd w:val="clear" w:color="auto" w:fill="auto"/>
            <w:noWrap/>
            <w:hideMark/>
          </w:tcPr>
          <w:p w14:paraId="49BE674C" w14:textId="77777777" w:rsidR="00700FB0" w:rsidRPr="00AD643D" w:rsidRDefault="00700FB0" w:rsidP="00AD643D">
            <w:pPr>
              <w:widowControl w:val="0"/>
            </w:pPr>
            <w:r w:rsidRPr="00AD643D">
              <w:t>Mean</w:t>
            </w:r>
          </w:p>
        </w:tc>
        <w:tc>
          <w:tcPr>
            <w:tcW w:w="1300" w:type="dxa"/>
            <w:shd w:val="clear" w:color="auto" w:fill="auto"/>
            <w:noWrap/>
            <w:hideMark/>
          </w:tcPr>
          <w:p w14:paraId="288DAD78" w14:textId="77777777" w:rsidR="00700FB0" w:rsidRPr="00AD643D" w:rsidRDefault="00700FB0" w:rsidP="00AD643D">
            <w:pPr>
              <w:widowControl w:val="0"/>
            </w:pPr>
            <w:r w:rsidRPr="00AD643D">
              <w:t>SD</w:t>
            </w:r>
          </w:p>
        </w:tc>
        <w:tc>
          <w:tcPr>
            <w:tcW w:w="1300" w:type="dxa"/>
            <w:shd w:val="clear" w:color="auto" w:fill="auto"/>
            <w:noWrap/>
            <w:hideMark/>
          </w:tcPr>
          <w:p w14:paraId="5E44ACC8" w14:textId="6AF84E6E" w:rsidR="00700FB0" w:rsidRPr="00AD643D" w:rsidRDefault="00700FB0" w:rsidP="00AD643D">
            <w:pPr>
              <w:widowControl w:val="0"/>
            </w:pPr>
            <w:r w:rsidRPr="00AD643D">
              <w:t>p</w:t>
            </w:r>
            <w:r w:rsidR="001F1509" w:rsidRPr="00AD643D">
              <w:t>-</w:t>
            </w:r>
            <w:r w:rsidRPr="00AD643D">
              <w:t>Value</w:t>
            </w:r>
          </w:p>
        </w:tc>
      </w:tr>
      <w:tr w:rsidR="00AD643D" w:rsidRPr="00AD643D" w14:paraId="528DE134" w14:textId="77777777" w:rsidTr="00AD643D">
        <w:trPr>
          <w:trHeight w:val="580"/>
        </w:trPr>
        <w:tc>
          <w:tcPr>
            <w:tcW w:w="0" w:type="auto"/>
            <w:shd w:val="clear" w:color="auto" w:fill="auto"/>
            <w:noWrap/>
            <w:hideMark/>
          </w:tcPr>
          <w:p w14:paraId="644D5B6E" w14:textId="77777777" w:rsidR="00700FB0" w:rsidRPr="00AD643D" w:rsidRDefault="00700FB0" w:rsidP="00AD643D">
            <w:pPr>
              <w:widowControl w:val="0"/>
            </w:pPr>
            <w:r w:rsidRPr="00AD643D">
              <w:t>GM-ITE</w:t>
            </w:r>
          </w:p>
        </w:tc>
        <w:tc>
          <w:tcPr>
            <w:tcW w:w="0" w:type="auto"/>
            <w:shd w:val="clear" w:color="auto" w:fill="auto"/>
            <w:noWrap/>
            <w:hideMark/>
          </w:tcPr>
          <w:p w14:paraId="06B97750" w14:textId="77777777" w:rsidR="00700FB0" w:rsidRPr="00AD643D" w:rsidRDefault="00700FB0" w:rsidP="00AD643D">
            <w:pPr>
              <w:widowControl w:val="0"/>
            </w:pPr>
            <w:r w:rsidRPr="00AD643D">
              <w:t>59</w:t>
            </w:r>
          </w:p>
        </w:tc>
        <w:tc>
          <w:tcPr>
            <w:tcW w:w="0" w:type="auto"/>
            <w:shd w:val="clear" w:color="auto" w:fill="auto"/>
            <w:noWrap/>
            <w:hideMark/>
          </w:tcPr>
          <w:p w14:paraId="1422DE34" w14:textId="77777777" w:rsidR="00700FB0" w:rsidRPr="00AD643D" w:rsidRDefault="00700FB0" w:rsidP="00AD643D">
            <w:pPr>
              <w:widowControl w:val="0"/>
            </w:pPr>
            <w:r w:rsidRPr="00AD643D">
              <w:t>0.23</w:t>
            </w:r>
          </w:p>
        </w:tc>
        <w:tc>
          <w:tcPr>
            <w:tcW w:w="0" w:type="auto"/>
            <w:shd w:val="clear" w:color="auto" w:fill="auto"/>
            <w:noWrap/>
            <w:hideMark/>
          </w:tcPr>
          <w:p w14:paraId="18B335D4" w14:textId="77777777" w:rsidR="00700FB0" w:rsidRPr="00AD643D" w:rsidRDefault="00700FB0" w:rsidP="00AD643D">
            <w:pPr>
              <w:widowControl w:val="0"/>
            </w:pPr>
            <w:r w:rsidRPr="00AD643D">
              <w:t>0.15</w:t>
            </w:r>
          </w:p>
        </w:tc>
        <w:tc>
          <w:tcPr>
            <w:tcW w:w="0" w:type="auto"/>
            <w:shd w:val="clear" w:color="auto" w:fill="auto"/>
            <w:noWrap/>
            <w:hideMark/>
          </w:tcPr>
          <w:p w14:paraId="2E24BDB0" w14:textId="77777777" w:rsidR="00700FB0" w:rsidRPr="00AD643D" w:rsidRDefault="00700FB0" w:rsidP="00AD643D">
            <w:pPr>
              <w:widowControl w:val="0"/>
            </w:pPr>
            <w:r w:rsidRPr="00AD643D">
              <w:t>0.004</w:t>
            </w:r>
          </w:p>
        </w:tc>
      </w:tr>
      <w:tr w:rsidR="00AD643D" w:rsidRPr="00AD643D" w14:paraId="3EE5847A" w14:textId="77777777" w:rsidTr="00AD643D">
        <w:trPr>
          <w:trHeight w:val="580"/>
        </w:trPr>
        <w:tc>
          <w:tcPr>
            <w:tcW w:w="0" w:type="auto"/>
            <w:shd w:val="clear" w:color="auto" w:fill="auto"/>
            <w:noWrap/>
            <w:hideMark/>
          </w:tcPr>
          <w:p w14:paraId="280560AF" w14:textId="77777777" w:rsidR="00700FB0" w:rsidRPr="00AD643D" w:rsidRDefault="00700FB0" w:rsidP="00AD643D">
            <w:pPr>
              <w:widowControl w:val="0"/>
            </w:pPr>
            <w:r w:rsidRPr="00AD643D">
              <w:t>PLAB</w:t>
            </w:r>
          </w:p>
        </w:tc>
        <w:tc>
          <w:tcPr>
            <w:tcW w:w="0" w:type="auto"/>
            <w:shd w:val="clear" w:color="auto" w:fill="auto"/>
            <w:noWrap/>
            <w:hideMark/>
          </w:tcPr>
          <w:p w14:paraId="715AD66A" w14:textId="77777777" w:rsidR="00700FB0" w:rsidRPr="00AD643D" w:rsidRDefault="00700FB0" w:rsidP="00AD643D">
            <w:pPr>
              <w:widowControl w:val="0"/>
            </w:pPr>
            <w:r w:rsidRPr="00AD643D">
              <w:t>180</w:t>
            </w:r>
          </w:p>
        </w:tc>
        <w:tc>
          <w:tcPr>
            <w:tcW w:w="0" w:type="auto"/>
            <w:shd w:val="clear" w:color="auto" w:fill="auto"/>
            <w:noWrap/>
            <w:hideMark/>
          </w:tcPr>
          <w:p w14:paraId="44E08D3B" w14:textId="77777777" w:rsidR="00700FB0" w:rsidRPr="00AD643D" w:rsidRDefault="00700FB0" w:rsidP="00AD643D">
            <w:pPr>
              <w:widowControl w:val="0"/>
            </w:pPr>
            <w:r w:rsidRPr="00AD643D">
              <w:t>0.16</w:t>
            </w:r>
          </w:p>
        </w:tc>
        <w:tc>
          <w:tcPr>
            <w:tcW w:w="0" w:type="auto"/>
            <w:shd w:val="clear" w:color="auto" w:fill="auto"/>
            <w:noWrap/>
            <w:hideMark/>
          </w:tcPr>
          <w:p w14:paraId="7596D97C" w14:textId="77777777" w:rsidR="00700FB0" w:rsidRPr="00AD643D" w:rsidRDefault="00700FB0" w:rsidP="00AD643D">
            <w:pPr>
              <w:widowControl w:val="0"/>
            </w:pPr>
            <w:r w:rsidRPr="00AD643D">
              <w:t>0.16</w:t>
            </w:r>
          </w:p>
        </w:tc>
        <w:tc>
          <w:tcPr>
            <w:tcW w:w="0" w:type="auto"/>
            <w:shd w:val="clear" w:color="auto" w:fill="auto"/>
            <w:noWrap/>
            <w:hideMark/>
          </w:tcPr>
          <w:p w14:paraId="37226E12" w14:textId="77777777" w:rsidR="00700FB0" w:rsidRPr="00AD643D" w:rsidRDefault="00700FB0" w:rsidP="00AD643D">
            <w:pPr>
              <w:widowControl w:val="0"/>
            </w:pPr>
            <w:r w:rsidRPr="00AD643D">
              <w:t> -</w:t>
            </w:r>
          </w:p>
        </w:tc>
      </w:tr>
    </w:tbl>
    <w:p w14:paraId="7632F6AA" w14:textId="77777777" w:rsidR="00702C14" w:rsidRDefault="00702C14" w:rsidP="00700FB0">
      <w:pPr>
        <w:widowControl w:val="0"/>
      </w:pPr>
    </w:p>
    <w:p w14:paraId="0618114B" w14:textId="6D01B96A" w:rsidR="00700FB0" w:rsidRPr="005471C7" w:rsidRDefault="00700FB0" w:rsidP="00700FB0">
      <w:pPr>
        <w:widowControl w:val="0"/>
      </w:pPr>
      <w:r w:rsidRPr="005471C7">
        <w:t xml:space="preserve">Note: The mean discrimination indexes of both examinations were assessed using the </w:t>
      </w:r>
      <w:r w:rsidRPr="005471C7">
        <w:rPr>
          <w:i/>
        </w:rPr>
        <w:t>t</w:t>
      </w:r>
      <w:r w:rsidRPr="005471C7">
        <w:t xml:space="preserve"> test. We set p &lt; 0.05 as statistically significant. Abbreviations: PLAB, Professional and Linguistic Assessments Board; GM-ITE, General Medicine In-training Examination.</w:t>
      </w:r>
    </w:p>
    <w:p w14:paraId="645C1CF8" w14:textId="23D0D449" w:rsidR="00700FB0" w:rsidRDefault="00700FB0" w:rsidP="00700FB0">
      <w:pPr>
        <w:widowControl w:val="0"/>
      </w:pPr>
    </w:p>
    <w:p w14:paraId="1D6CB5A2" w14:textId="4A2AB51E" w:rsidR="00702C14" w:rsidRDefault="00702C14" w:rsidP="00700FB0">
      <w:pPr>
        <w:widowControl w:val="0"/>
      </w:pPr>
    </w:p>
    <w:p w14:paraId="637327D2" w14:textId="5C9D0E78" w:rsidR="00702C14" w:rsidRDefault="00702C14" w:rsidP="00700FB0">
      <w:pPr>
        <w:widowControl w:val="0"/>
      </w:pPr>
    </w:p>
    <w:p w14:paraId="10410224" w14:textId="4BBC065B" w:rsidR="00702C14" w:rsidRDefault="00702C14" w:rsidP="00700FB0">
      <w:pPr>
        <w:widowControl w:val="0"/>
      </w:pPr>
    </w:p>
    <w:p w14:paraId="074C9C1A" w14:textId="631A3D0C" w:rsidR="00702C14" w:rsidRDefault="00702C14" w:rsidP="00700FB0">
      <w:pPr>
        <w:widowControl w:val="0"/>
      </w:pPr>
    </w:p>
    <w:p w14:paraId="00A4D2E0" w14:textId="5DA08C1D" w:rsidR="00702C14" w:rsidRDefault="00702C14" w:rsidP="00700FB0">
      <w:pPr>
        <w:widowControl w:val="0"/>
      </w:pPr>
    </w:p>
    <w:p w14:paraId="732C116F" w14:textId="50C75789" w:rsidR="00702C14" w:rsidRDefault="00702C14" w:rsidP="00700FB0">
      <w:pPr>
        <w:widowControl w:val="0"/>
      </w:pPr>
    </w:p>
    <w:p w14:paraId="0A760F7E" w14:textId="181B719B" w:rsidR="00702C14" w:rsidRDefault="00702C14" w:rsidP="00700FB0">
      <w:pPr>
        <w:widowControl w:val="0"/>
      </w:pPr>
    </w:p>
    <w:p w14:paraId="6FE20BF1" w14:textId="709B2901" w:rsidR="00702C14" w:rsidRDefault="00702C14" w:rsidP="00700FB0">
      <w:pPr>
        <w:widowControl w:val="0"/>
      </w:pPr>
    </w:p>
    <w:p w14:paraId="0B810DD1" w14:textId="638DC02D" w:rsidR="00702C14" w:rsidRDefault="00702C14" w:rsidP="00700FB0">
      <w:pPr>
        <w:widowControl w:val="0"/>
      </w:pPr>
    </w:p>
    <w:p w14:paraId="5012715D" w14:textId="2E1A8D73" w:rsidR="00702C14" w:rsidRDefault="00702C14" w:rsidP="00700FB0">
      <w:pPr>
        <w:widowControl w:val="0"/>
      </w:pPr>
    </w:p>
    <w:p w14:paraId="4BB13344" w14:textId="3BAE8841" w:rsidR="00702C14" w:rsidRDefault="00702C14" w:rsidP="00700FB0">
      <w:pPr>
        <w:widowControl w:val="0"/>
      </w:pPr>
    </w:p>
    <w:p w14:paraId="31AE048C" w14:textId="32023C05" w:rsidR="00702C14" w:rsidRDefault="00702C14" w:rsidP="00700FB0">
      <w:pPr>
        <w:widowControl w:val="0"/>
      </w:pPr>
    </w:p>
    <w:p w14:paraId="1AC568A8" w14:textId="7EC33D80" w:rsidR="00702C14" w:rsidRDefault="00702C14" w:rsidP="00700FB0">
      <w:pPr>
        <w:widowControl w:val="0"/>
      </w:pPr>
    </w:p>
    <w:p w14:paraId="231B5C5A" w14:textId="1C2FA255" w:rsidR="00702C14" w:rsidRDefault="00702C14" w:rsidP="00700FB0">
      <w:pPr>
        <w:widowControl w:val="0"/>
      </w:pPr>
    </w:p>
    <w:p w14:paraId="6A735D02" w14:textId="75BC3499" w:rsidR="00702C14" w:rsidRDefault="00702C14" w:rsidP="00700FB0">
      <w:pPr>
        <w:widowControl w:val="0"/>
      </w:pPr>
    </w:p>
    <w:p w14:paraId="7CE3A244" w14:textId="77777777" w:rsidR="00702C14" w:rsidRPr="005471C7" w:rsidRDefault="00702C14" w:rsidP="00700FB0">
      <w:pPr>
        <w:widowControl w:val="0"/>
      </w:pPr>
    </w:p>
    <w:p w14:paraId="551E9CEA" w14:textId="7925EB4E" w:rsidR="00700FB0" w:rsidRPr="005471C7" w:rsidRDefault="00700FB0" w:rsidP="00700FB0">
      <w:pPr>
        <w:widowControl w:val="0"/>
      </w:pPr>
      <w:r w:rsidRPr="00702C14">
        <w:rPr>
          <w:b/>
          <w:bCs/>
        </w:rPr>
        <w:lastRenderedPageBreak/>
        <w:t>Appendix 2</w:t>
      </w:r>
      <w:r w:rsidRPr="005471C7">
        <w:t>. An example of a video question in the General Medicine In-training Examination</w:t>
      </w:r>
    </w:p>
    <w:p w14:paraId="1276AC94" w14:textId="77777777" w:rsidR="00700FB0" w:rsidRPr="005471C7" w:rsidRDefault="00700FB0" w:rsidP="00700FB0">
      <w:pPr>
        <w:widowControl w:val="0"/>
      </w:pPr>
    </w:p>
    <w:p w14:paraId="6DC76EFF" w14:textId="77777777" w:rsidR="00700FB0" w:rsidRPr="005471C7" w:rsidRDefault="00700FB0" w:rsidP="00700FB0">
      <w:pPr>
        <w:widowControl w:val="0"/>
      </w:pPr>
      <w:r w:rsidRPr="005471C7">
        <w:t>Question:</w:t>
      </w:r>
    </w:p>
    <w:p w14:paraId="16FA268C" w14:textId="77777777" w:rsidR="00700FB0" w:rsidRPr="005471C7" w:rsidRDefault="00700FB0" w:rsidP="00700FB0">
      <w:pPr>
        <w:widowControl w:val="0"/>
      </w:pPr>
      <w:r w:rsidRPr="005471C7">
        <w:t>A previously healthy 46-year-old man is seeking care for twitching in the left arm. Neurological and other physical findings are normal.</w:t>
      </w:r>
    </w:p>
    <w:p w14:paraId="15A590B8" w14:textId="77777777" w:rsidR="00700FB0" w:rsidRPr="005471C7" w:rsidRDefault="00700FB0" w:rsidP="00700FB0">
      <w:pPr>
        <w:widowControl w:val="0"/>
      </w:pPr>
    </w:p>
    <w:p w14:paraId="0BAD9DBE" w14:textId="77777777" w:rsidR="00700FB0" w:rsidRPr="005471C7" w:rsidRDefault="00700FB0" w:rsidP="00700FB0">
      <w:pPr>
        <w:widowControl w:val="0"/>
      </w:pPr>
      <w:r w:rsidRPr="005471C7">
        <w:t>A video showing the findings from the left upper arm is available at the following link:</w:t>
      </w:r>
    </w:p>
    <w:p w14:paraId="1E892CA9" w14:textId="77777777" w:rsidR="00700FB0" w:rsidRPr="005471C7" w:rsidRDefault="00700FB0" w:rsidP="00700FB0">
      <w:pPr>
        <w:widowControl w:val="0"/>
      </w:pPr>
    </w:p>
    <w:tbl>
      <w:tblPr>
        <w:tblW w:w="0" w:type="auto"/>
        <w:tblLook w:val="04A0" w:firstRow="1" w:lastRow="0" w:firstColumn="1" w:lastColumn="0" w:noHBand="0" w:noVBand="1"/>
      </w:tblPr>
      <w:tblGrid>
        <w:gridCol w:w="1980"/>
        <w:gridCol w:w="6514"/>
      </w:tblGrid>
      <w:tr w:rsidR="00700FB0" w:rsidRPr="00AD643D" w14:paraId="33FA4F2D" w14:textId="77777777" w:rsidTr="0036591D">
        <w:tc>
          <w:tcPr>
            <w:tcW w:w="1980" w:type="dxa"/>
            <w:shd w:val="clear" w:color="auto" w:fill="auto"/>
          </w:tcPr>
          <w:p w14:paraId="0F831070" w14:textId="77777777" w:rsidR="00700FB0" w:rsidRPr="00AD643D" w:rsidRDefault="0010525E" w:rsidP="0036591D">
            <w:pPr>
              <w:widowControl w:val="0"/>
              <w:rPr>
                <w:kern w:val="2"/>
                <w:sz w:val="24"/>
              </w:rPr>
            </w:pPr>
            <w:r w:rsidRPr="0010525E">
              <w:rPr>
                <w:noProof/>
                <w:kern w:val="2"/>
                <w:sz w:val="24"/>
              </w:rPr>
              <w:pict w14:anchorId="3A813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alt="Description: QR コード&#13;&#13;&#13;&#13;&#10;&#13;&#13;&#13;&#13;&#10;自動的に生成された説明" style="width:58pt;height:58pt;visibility:visible;mso-width-percent:0;mso-height-percent:0;mso-width-percent:0;mso-height-percent:0">
                  <v:imagedata r:id="rId7" o:title="QR コード&#13;&#13;&#13;&#13;&#10;&#13;&#13;&#13;&#13;&#10;自動的に生成された説明"/>
                </v:shape>
              </w:pict>
            </w:r>
          </w:p>
        </w:tc>
        <w:tc>
          <w:tcPr>
            <w:tcW w:w="6514" w:type="dxa"/>
            <w:shd w:val="clear" w:color="auto" w:fill="auto"/>
            <w:vAlign w:val="center"/>
          </w:tcPr>
          <w:p w14:paraId="321A3F47" w14:textId="77777777" w:rsidR="00700FB0" w:rsidRPr="00AD643D" w:rsidRDefault="00700FB0" w:rsidP="0036591D">
            <w:pPr>
              <w:widowControl w:val="0"/>
              <w:rPr>
                <w:kern w:val="2"/>
                <w:sz w:val="24"/>
              </w:rPr>
            </w:pPr>
            <w:r w:rsidRPr="005471C7">
              <w:rPr>
                <w:kern w:val="2"/>
                <w:sz w:val="24"/>
              </w:rPr>
              <w:t>https://vimeo.com/488752675/6fd2ad2f8a</w:t>
            </w:r>
          </w:p>
        </w:tc>
      </w:tr>
    </w:tbl>
    <w:p w14:paraId="24BC36A9" w14:textId="77777777" w:rsidR="00700FB0" w:rsidRPr="005471C7" w:rsidRDefault="00700FB0" w:rsidP="00700FB0">
      <w:pPr>
        <w:widowControl w:val="0"/>
      </w:pPr>
    </w:p>
    <w:p w14:paraId="6389A58B" w14:textId="77777777" w:rsidR="00700FB0" w:rsidRPr="005471C7" w:rsidRDefault="00700FB0" w:rsidP="00700FB0">
      <w:pPr>
        <w:widowControl w:val="0"/>
      </w:pPr>
      <w:r w:rsidRPr="005471C7">
        <w:t>What disease do these findings suggest?</w:t>
      </w:r>
    </w:p>
    <w:p w14:paraId="32A0AF85" w14:textId="77777777" w:rsidR="00700FB0" w:rsidRPr="005471C7" w:rsidRDefault="00700FB0" w:rsidP="00700FB0">
      <w:pPr>
        <w:widowControl w:val="0"/>
      </w:pPr>
      <w:r w:rsidRPr="005471C7">
        <w:t>(1)</w:t>
      </w:r>
      <w:r w:rsidRPr="005471C7">
        <w:tab/>
        <w:t>Amyotrophic lateral sclerosis (ALS)</w:t>
      </w:r>
    </w:p>
    <w:p w14:paraId="597A5BFA" w14:textId="77777777" w:rsidR="00700FB0" w:rsidRPr="005471C7" w:rsidRDefault="00700FB0" w:rsidP="00700FB0">
      <w:pPr>
        <w:widowControl w:val="0"/>
      </w:pPr>
      <w:r w:rsidRPr="005471C7">
        <w:t>(2)</w:t>
      </w:r>
      <w:r w:rsidRPr="005471C7">
        <w:tab/>
        <w:t>Antiphospholipid syndrome</w:t>
      </w:r>
    </w:p>
    <w:p w14:paraId="46277DC8" w14:textId="77777777" w:rsidR="00700FB0" w:rsidRPr="005471C7" w:rsidRDefault="00700FB0" w:rsidP="00700FB0">
      <w:pPr>
        <w:widowControl w:val="0"/>
      </w:pPr>
      <w:r w:rsidRPr="005471C7">
        <w:t>(3)</w:t>
      </w:r>
      <w:r w:rsidRPr="005471C7">
        <w:tab/>
        <w:t>Creutzfeldt-Jakob disease</w:t>
      </w:r>
    </w:p>
    <w:p w14:paraId="74113413" w14:textId="77777777" w:rsidR="00700FB0" w:rsidRPr="005471C7" w:rsidRDefault="00700FB0" w:rsidP="00700FB0">
      <w:pPr>
        <w:widowControl w:val="0"/>
      </w:pPr>
      <w:r w:rsidRPr="005471C7">
        <w:t>(4)</w:t>
      </w:r>
      <w:r w:rsidRPr="005471C7">
        <w:tab/>
        <w:t>Parkinson’s disease</w:t>
      </w:r>
    </w:p>
    <w:p w14:paraId="5307B59C" w14:textId="77777777" w:rsidR="00700FB0" w:rsidRPr="005471C7" w:rsidRDefault="00700FB0" w:rsidP="00700FB0">
      <w:pPr>
        <w:widowControl w:val="0"/>
      </w:pPr>
      <w:r w:rsidRPr="005471C7">
        <w:t>(5)</w:t>
      </w:r>
      <w:r w:rsidRPr="005471C7">
        <w:tab/>
        <w:t>Lance-Adams syndrome</w:t>
      </w:r>
    </w:p>
    <w:p w14:paraId="69CF137C" w14:textId="77777777" w:rsidR="00700FB0" w:rsidRPr="005471C7" w:rsidRDefault="00700FB0" w:rsidP="00700FB0">
      <w:pPr>
        <w:widowControl w:val="0"/>
      </w:pPr>
    </w:p>
    <w:p w14:paraId="482B78E1" w14:textId="77777777" w:rsidR="00700FB0" w:rsidRPr="005471C7" w:rsidRDefault="00700FB0" w:rsidP="00700FB0">
      <w:pPr>
        <w:widowControl w:val="0"/>
      </w:pPr>
      <w:r w:rsidRPr="005471C7">
        <w:t>Answer:</w:t>
      </w:r>
    </w:p>
    <w:p w14:paraId="46C91ABE" w14:textId="77777777" w:rsidR="00700FB0" w:rsidRPr="005471C7" w:rsidRDefault="00700FB0" w:rsidP="00700FB0">
      <w:pPr>
        <w:widowControl w:val="0"/>
      </w:pPr>
      <w:r w:rsidRPr="005471C7">
        <w:t>(1)</w:t>
      </w:r>
      <w:r w:rsidRPr="005471C7">
        <w:tab/>
        <w:t>Amyotrophic lateral sclerosis (ALS)</w:t>
      </w:r>
    </w:p>
    <w:p w14:paraId="2C13BE0C" w14:textId="77777777" w:rsidR="00700FB0" w:rsidRPr="005471C7" w:rsidRDefault="00700FB0" w:rsidP="00700FB0">
      <w:pPr>
        <w:widowControl w:val="0"/>
      </w:pPr>
    </w:p>
    <w:p w14:paraId="0C6E8FBB" w14:textId="77777777" w:rsidR="00700FB0" w:rsidRPr="005471C7" w:rsidRDefault="00700FB0" w:rsidP="00700FB0">
      <w:pPr>
        <w:widowControl w:val="0"/>
      </w:pPr>
      <w:r w:rsidRPr="005471C7">
        <w:t>Commentary:</w:t>
      </w:r>
    </w:p>
    <w:p w14:paraId="088CA359" w14:textId="77777777" w:rsidR="00700FB0" w:rsidRPr="005471C7" w:rsidRDefault="00700FB0" w:rsidP="00700FB0">
      <w:pPr>
        <w:widowControl w:val="0"/>
      </w:pPr>
      <w:r w:rsidRPr="005471C7">
        <w:t>When examining a patient with involuntary movements, clinicians must describe the phenomena they observe exactly as the phenomena appear and must also be acquainted with generally known symptoms.</w:t>
      </w:r>
    </w:p>
    <w:p w14:paraId="16633978" w14:textId="77777777" w:rsidR="00700FB0" w:rsidRPr="005471C7" w:rsidRDefault="00700FB0" w:rsidP="00700FB0">
      <w:pPr>
        <w:widowControl w:val="0"/>
      </w:pPr>
      <w:r w:rsidRPr="005471C7">
        <w:t xml:space="preserve">Of the attempted approaches to classification, an approach that classifies movement according to the site involved is relatively easy to grasp. It focuses on (1) movement at the level of the muscle </w:t>
      </w:r>
      <w:r w:rsidRPr="005471C7">
        <w:lastRenderedPageBreak/>
        <w:t>fiber and/or bundle, (2) movement extending to one or several muscles, and (3) movement at the level affecting the limbs and/or trunk. The involuntary contractions seen in the video, which seem to occur in a single muscle and feature no joint movement, are classifiable as “(1) movement at the level of the muscle bundle.” This category includes fasciculation and myokymia.</w:t>
      </w:r>
    </w:p>
    <w:p w14:paraId="77A0638B" w14:textId="77777777" w:rsidR="00700FB0" w:rsidRPr="005471C7" w:rsidRDefault="00700FB0" w:rsidP="00700FB0">
      <w:pPr>
        <w:widowControl w:val="0"/>
      </w:pPr>
      <w:r w:rsidRPr="005471C7">
        <w:t>This type of involuntary movement calls to mind diseases involving lower motor neurons, such as amyotrophic lateral sclerosis (ALS), multifocal motor neuropathy, radiation plexopathy, and Isaacs’ syndrome. In this case, myokymia was electromyographically confirmed. Myokymia is a relatively infrequent electromyographic anomaly in ALS but does appear in clinical practice. Choice 1 is therefore correct.</w:t>
      </w:r>
    </w:p>
    <w:p w14:paraId="5F17B91D" w14:textId="77777777" w:rsidR="00700FB0" w:rsidRPr="005471C7" w:rsidRDefault="00700FB0" w:rsidP="00700FB0">
      <w:pPr>
        <w:widowControl w:val="0"/>
      </w:pPr>
      <w:r w:rsidRPr="005471C7">
        <w:t>Antiphospholipid syndrome frequently causes chorea, and Creutzfeldt-Jakob disease is characterized by myoclonus. Although Parkinson’s disease features various involuntary movements, resting tremors are most typical. The Lance-Adams syndrome, which follows hypoxic encephalopathy, is an action myoclonus caused by cortical excitation.</w:t>
      </w:r>
    </w:p>
    <w:p w14:paraId="2C2583D9" w14:textId="77777777" w:rsidR="00700FB0" w:rsidRPr="005471C7" w:rsidRDefault="00700FB0" w:rsidP="00700FB0">
      <w:pPr>
        <w:widowControl w:val="0"/>
      </w:pPr>
    </w:p>
    <w:p w14:paraId="363FEE67" w14:textId="77777777" w:rsidR="00700FB0" w:rsidRPr="005471C7" w:rsidRDefault="00700FB0" w:rsidP="00700FB0">
      <w:pPr>
        <w:widowControl w:val="0"/>
      </w:pPr>
      <w:r w:rsidRPr="005471C7">
        <w:t>References:</w:t>
      </w:r>
    </w:p>
    <w:p w14:paraId="4DA9C5B3" w14:textId="11C085AD" w:rsidR="00700FB0" w:rsidRPr="005471C7" w:rsidRDefault="00700FB0" w:rsidP="00700FB0">
      <w:pPr>
        <w:widowControl w:val="0"/>
      </w:pPr>
      <w:r w:rsidRPr="005471C7">
        <w:t xml:space="preserve">1) Yurie N, Takanori Y. Involuntary movement. </w:t>
      </w:r>
      <w:r w:rsidRPr="005471C7">
        <w:rPr>
          <w:i/>
        </w:rPr>
        <w:t>Medicina.</w:t>
      </w:r>
      <w:r w:rsidRPr="005471C7">
        <w:t xml:space="preserve"> </w:t>
      </w:r>
      <w:proofErr w:type="gramStart"/>
      <w:r w:rsidRPr="005471C7">
        <w:t>2014;51:1254</w:t>
      </w:r>
      <w:proofErr w:type="gramEnd"/>
      <w:r w:rsidRPr="005471C7">
        <w:t>. (</w:t>
      </w:r>
      <w:proofErr w:type="gramStart"/>
      <w:r w:rsidRPr="005471C7">
        <w:t>in</w:t>
      </w:r>
      <w:proofErr w:type="gramEnd"/>
      <w:r w:rsidRPr="005471C7">
        <w:t xml:space="preserve"> Japanese)</w:t>
      </w:r>
    </w:p>
    <w:p w14:paraId="31D10388" w14:textId="6ED007CA" w:rsidR="00FF6EA8" w:rsidRPr="00C05717" w:rsidRDefault="00700FB0" w:rsidP="00700FB0">
      <w:pPr>
        <w:widowControl w:val="0"/>
      </w:pPr>
      <w:r w:rsidRPr="005471C7">
        <w:t xml:space="preserve">2) Whaley NR, Rubin DI. Myokimic discharges in amyotrophic lateral sclerosis (ALS). </w:t>
      </w:r>
      <w:r w:rsidRPr="005471C7">
        <w:rPr>
          <w:i/>
        </w:rPr>
        <w:t>Muscle Nerve</w:t>
      </w:r>
      <w:r w:rsidRPr="005471C7">
        <w:t xml:space="preserve">. </w:t>
      </w:r>
      <w:proofErr w:type="gramStart"/>
      <w:r w:rsidRPr="005471C7">
        <w:t>2010;41:107</w:t>
      </w:r>
      <w:proofErr w:type="gramEnd"/>
      <w:r w:rsidR="0070690E" w:rsidRPr="005471C7">
        <w:rPr>
          <w:rFonts w:cs="Arial"/>
        </w:rPr>
        <w:t>–</w:t>
      </w:r>
      <w:r w:rsidRPr="005471C7">
        <w:t>109, 2010.</w:t>
      </w:r>
    </w:p>
    <w:sectPr w:rsidR="00FF6EA8" w:rsidRPr="00C05717" w:rsidSect="00C94612">
      <w:footerReference w:type="even" r:id="rId8"/>
      <w:footerReference w:type="default" r:id="rId9"/>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FD4C2" w14:textId="77777777" w:rsidR="0010525E" w:rsidRDefault="0010525E">
      <w:r>
        <w:separator/>
      </w:r>
    </w:p>
  </w:endnote>
  <w:endnote w:type="continuationSeparator" w:id="0">
    <w:p w14:paraId="26C9E9F5" w14:textId="77777777" w:rsidR="0010525E" w:rsidRDefault="0010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C30E5" w14:textId="77777777" w:rsidR="00C05717" w:rsidRDefault="00C05717" w:rsidP="00FF266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8CCA359" w14:textId="77777777" w:rsidR="00C05717" w:rsidRDefault="00C0571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F1806" w14:textId="77777777" w:rsidR="00C05717" w:rsidRDefault="00C05717" w:rsidP="00FF266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1A27">
      <w:rPr>
        <w:rStyle w:val="a4"/>
        <w:noProof/>
      </w:rPr>
      <w:t>2</w:t>
    </w:r>
    <w:r>
      <w:rPr>
        <w:rStyle w:val="a4"/>
      </w:rPr>
      <w:fldChar w:fldCharType="end"/>
    </w:r>
  </w:p>
  <w:p w14:paraId="10F94944" w14:textId="77777777" w:rsidR="00C05717" w:rsidRDefault="00C057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9C204" w14:textId="77777777" w:rsidR="0010525E" w:rsidRDefault="0010525E">
      <w:r>
        <w:separator/>
      </w:r>
    </w:p>
  </w:footnote>
  <w:footnote w:type="continuationSeparator" w:id="0">
    <w:p w14:paraId="655F7BC7" w14:textId="77777777" w:rsidR="0010525E" w:rsidRDefault="00105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2642"/>
    <w:multiLevelType w:val="hybridMultilevel"/>
    <w:tmpl w:val="F01AC36E"/>
    <w:lvl w:ilvl="0" w:tplc="E0A6D0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90372B"/>
    <w:multiLevelType w:val="hybridMultilevel"/>
    <w:tmpl w:val="E95AB9FC"/>
    <w:lvl w:ilvl="0" w:tplc="9E98A6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B0813"/>
    <w:multiLevelType w:val="hybridMultilevel"/>
    <w:tmpl w:val="606C6874"/>
    <w:lvl w:ilvl="0" w:tplc="BF2461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8"/>
  </w:num>
  <w:num w:numId="4">
    <w:abstractNumId w:val="6"/>
  </w:num>
  <w:num w:numId="5">
    <w:abstractNumId w:val="1"/>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26C0C"/>
    <w:rsid w:val="00033695"/>
    <w:rsid w:val="000342A0"/>
    <w:rsid w:val="00035CCC"/>
    <w:rsid w:val="00043C1E"/>
    <w:rsid w:val="0005257A"/>
    <w:rsid w:val="00054361"/>
    <w:rsid w:val="00062025"/>
    <w:rsid w:val="000666AF"/>
    <w:rsid w:val="0007252D"/>
    <w:rsid w:val="000812CE"/>
    <w:rsid w:val="0008401B"/>
    <w:rsid w:val="000840F9"/>
    <w:rsid w:val="00087F9B"/>
    <w:rsid w:val="00092C49"/>
    <w:rsid w:val="00094DCD"/>
    <w:rsid w:val="000A2154"/>
    <w:rsid w:val="000A4388"/>
    <w:rsid w:val="000B2BC9"/>
    <w:rsid w:val="000C59ED"/>
    <w:rsid w:val="000D3E37"/>
    <w:rsid w:val="000E6B48"/>
    <w:rsid w:val="000E7758"/>
    <w:rsid w:val="000F2D66"/>
    <w:rsid w:val="000F57D1"/>
    <w:rsid w:val="0010525E"/>
    <w:rsid w:val="00113D28"/>
    <w:rsid w:val="00117777"/>
    <w:rsid w:val="00127CD5"/>
    <w:rsid w:val="0013387A"/>
    <w:rsid w:val="0015665C"/>
    <w:rsid w:val="0017004E"/>
    <w:rsid w:val="00170F20"/>
    <w:rsid w:val="0017178D"/>
    <w:rsid w:val="00173279"/>
    <w:rsid w:val="00191F49"/>
    <w:rsid w:val="001969A5"/>
    <w:rsid w:val="001E7479"/>
    <w:rsid w:val="001F1509"/>
    <w:rsid w:val="001F7B54"/>
    <w:rsid w:val="00201989"/>
    <w:rsid w:val="00203209"/>
    <w:rsid w:val="00217D65"/>
    <w:rsid w:val="00240E76"/>
    <w:rsid w:val="00246A32"/>
    <w:rsid w:val="00260444"/>
    <w:rsid w:val="00270A96"/>
    <w:rsid w:val="00272487"/>
    <w:rsid w:val="00285503"/>
    <w:rsid w:val="00286E82"/>
    <w:rsid w:val="00294CB0"/>
    <w:rsid w:val="002A2D9E"/>
    <w:rsid w:val="002D1A3E"/>
    <w:rsid w:val="002F4012"/>
    <w:rsid w:val="003155A1"/>
    <w:rsid w:val="00320521"/>
    <w:rsid w:val="00324666"/>
    <w:rsid w:val="0036591D"/>
    <w:rsid w:val="0038573C"/>
    <w:rsid w:val="0038598C"/>
    <w:rsid w:val="0039041E"/>
    <w:rsid w:val="00390499"/>
    <w:rsid w:val="00392D84"/>
    <w:rsid w:val="003948EC"/>
    <w:rsid w:val="003A6F39"/>
    <w:rsid w:val="003B4083"/>
    <w:rsid w:val="003D1953"/>
    <w:rsid w:val="003D69BD"/>
    <w:rsid w:val="00410570"/>
    <w:rsid w:val="00411796"/>
    <w:rsid w:val="0042397A"/>
    <w:rsid w:val="00425507"/>
    <w:rsid w:val="00431388"/>
    <w:rsid w:val="00473BF1"/>
    <w:rsid w:val="004754C9"/>
    <w:rsid w:val="004B52C5"/>
    <w:rsid w:val="004C5313"/>
    <w:rsid w:val="004C5DB2"/>
    <w:rsid w:val="004E0368"/>
    <w:rsid w:val="004E2F6D"/>
    <w:rsid w:val="004E782D"/>
    <w:rsid w:val="00511DB2"/>
    <w:rsid w:val="005471C7"/>
    <w:rsid w:val="00553800"/>
    <w:rsid w:val="00556F09"/>
    <w:rsid w:val="00565970"/>
    <w:rsid w:val="005A6431"/>
    <w:rsid w:val="005E1ECB"/>
    <w:rsid w:val="00600B5C"/>
    <w:rsid w:val="0060400B"/>
    <w:rsid w:val="00611C5F"/>
    <w:rsid w:val="00616A5D"/>
    <w:rsid w:val="0062140C"/>
    <w:rsid w:val="00632D66"/>
    <w:rsid w:val="00646CF0"/>
    <w:rsid w:val="00661C2D"/>
    <w:rsid w:val="00662E52"/>
    <w:rsid w:val="00664525"/>
    <w:rsid w:val="00667BDF"/>
    <w:rsid w:val="00676A86"/>
    <w:rsid w:val="00680193"/>
    <w:rsid w:val="00687546"/>
    <w:rsid w:val="006A1F82"/>
    <w:rsid w:val="006C5368"/>
    <w:rsid w:val="006C58F2"/>
    <w:rsid w:val="006C6E88"/>
    <w:rsid w:val="006D0474"/>
    <w:rsid w:val="006D142F"/>
    <w:rsid w:val="006D4AC5"/>
    <w:rsid w:val="006E7713"/>
    <w:rsid w:val="00700FB0"/>
    <w:rsid w:val="00702C14"/>
    <w:rsid w:val="0070690E"/>
    <w:rsid w:val="00711171"/>
    <w:rsid w:val="00723455"/>
    <w:rsid w:val="007265D3"/>
    <w:rsid w:val="00735690"/>
    <w:rsid w:val="00742250"/>
    <w:rsid w:val="00745C2A"/>
    <w:rsid w:val="00753E6B"/>
    <w:rsid w:val="0075746A"/>
    <w:rsid w:val="00776A7C"/>
    <w:rsid w:val="00780A29"/>
    <w:rsid w:val="007900DA"/>
    <w:rsid w:val="007A1BDB"/>
    <w:rsid w:val="007A2AB8"/>
    <w:rsid w:val="007A3BEE"/>
    <w:rsid w:val="007C30BC"/>
    <w:rsid w:val="007D3011"/>
    <w:rsid w:val="007E39E1"/>
    <w:rsid w:val="007E5D6F"/>
    <w:rsid w:val="007F32DA"/>
    <w:rsid w:val="007F3E8B"/>
    <w:rsid w:val="0080582B"/>
    <w:rsid w:val="00827FC5"/>
    <w:rsid w:val="00852799"/>
    <w:rsid w:val="0088598F"/>
    <w:rsid w:val="00887016"/>
    <w:rsid w:val="008A08C0"/>
    <w:rsid w:val="008A1AF5"/>
    <w:rsid w:val="008A4036"/>
    <w:rsid w:val="008A52A5"/>
    <w:rsid w:val="008B697C"/>
    <w:rsid w:val="008B7AD5"/>
    <w:rsid w:val="008C361E"/>
    <w:rsid w:val="008E3EA8"/>
    <w:rsid w:val="00900663"/>
    <w:rsid w:val="00901244"/>
    <w:rsid w:val="0091401F"/>
    <w:rsid w:val="009147B3"/>
    <w:rsid w:val="00923007"/>
    <w:rsid w:val="009345FC"/>
    <w:rsid w:val="00937F3D"/>
    <w:rsid w:val="00946800"/>
    <w:rsid w:val="009563F4"/>
    <w:rsid w:val="00956C4D"/>
    <w:rsid w:val="00982449"/>
    <w:rsid w:val="009828D3"/>
    <w:rsid w:val="00992305"/>
    <w:rsid w:val="00992CB9"/>
    <w:rsid w:val="009A1F5A"/>
    <w:rsid w:val="009B1D49"/>
    <w:rsid w:val="009D3AD0"/>
    <w:rsid w:val="00A06FE0"/>
    <w:rsid w:val="00A10913"/>
    <w:rsid w:val="00A20FFB"/>
    <w:rsid w:val="00A3756A"/>
    <w:rsid w:val="00A445D7"/>
    <w:rsid w:val="00A6170F"/>
    <w:rsid w:val="00A63CD7"/>
    <w:rsid w:val="00A70251"/>
    <w:rsid w:val="00AB389E"/>
    <w:rsid w:val="00AB47E4"/>
    <w:rsid w:val="00AC1F93"/>
    <w:rsid w:val="00AC5480"/>
    <w:rsid w:val="00AD19A5"/>
    <w:rsid w:val="00AD643D"/>
    <w:rsid w:val="00AD76B0"/>
    <w:rsid w:val="00AE5062"/>
    <w:rsid w:val="00B01FC0"/>
    <w:rsid w:val="00B26A6E"/>
    <w:rsid w:val="00B30BC3"/>
    <w:rsid w:val="00B44CDC"/>
    <w:rsid w:val="00B51503"/>
    <w:rsid w:val="00B56A98"/>
    <w:rsid w:val="00B62794"/>
    <w:rsid w:val="00B7570E"/>
    <w:rsid w:val="00B82724"/>
    <w:rsid w:val="00B86FEB"/>
    <w:rsid w:val="00B96017"/>
    <w:rsid w:val="00BB027B"/>
    <w:rsid w:val="00BC0338"/>
    <w:rsid w:val="00BF08AD"/>
    <w:rsid w:val="00C05717"/>
    <w:rsid w:val="00C33791"/>
    <w:rsid w:val="00C43B3D"/>
    <w:rsid w:val="00C548FC"/>
    <w:rsid w:val="00C701F9"/>
    <w:rsid w:val="00C94612"/>
    <w:rsid w:val="00CB0023"/>
    <w:rsid w:val="00CC1ADF"/>
    <w:rsid w:val="00CD758F"/>
    <w:rsid w:val="00CE79D7"/>
    <w:rsid w:val="00CE7DDC"/>
    <w:rsid w:val="00D00B4B"/>
    <w:rsid w:val="00D01A27"/>
    <w:rsid w:val="00D10823"/>
    <w:rsid w:val="00D20F53"/>
    <w:rsid w:val="00D50641"/>
    <w:rsid w:val="00D51863"/>
    <w:rsid w:val="00D578A6"/>
    <w:rsid w:val="00D700C3"/>
    <w:rsid w:val="00D7204D"/>
    <w:rsid w:val="00D81B3E"/>
    <w:rsid w:val="00D94F22"/>
    <w:rsid w:val="00DB0A0D"/>
    <w:rsid w:val="00DE5F42"/>
    <w:rsid w:val="00DF418B"/>
    <w:rsid w:val="00DF4C7F"/>
    <w:rsid w:val="00DF6A1F"/>
    <w:rsid w:val="00E01730"/>
    <w:rsid w:val="00E031E1"/>
    <w:rsid w:val="00E1216B"/>
    <w:rsid w:val="00E45ED2"/>
    <w:rsid w:val="00E96D45"/>
    <w:rsid w:val="00ED4D96"/>
    <w:rsid w:val="00EE0017"/>
    <w:rsid w:val="00EE2FBA"/>
    <w:rsid w:val="00F03012"/>
    <w:rsid w:val="00F05A9C"/>
    <w:rsid w:val="00F05E46"/>
    <w:rsid w:val="00F16121"/>
    <w:rsid w:val="00F210A1"/>
    <w:rsid w:val="00F24210"/>
    <w:rsid w:val="00F31D08"/>
    <w:rsid w:val="00F41860"/>
    <w:rsid w:val="00F424C5"/>
    <w:rsid w:val="00F56A5E"/>
    <w:rsid w:val="00F67733"/>
    <w:rsid w:val="00F70A2B"/>
    <w:rsid w:val="00F82795"/>
    <w:rsid w:val="00F91124"/>
    <w:rsid w:val="00F9503E"/>
    <w:rsid w:val="00FA2EA1"/>
    <w:rsid w:val="00FB5A89"/>
    <w:rsid w:val="00FC05F2"/>
    <w:rsid w:val="00FC6A05"/>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5C5787"/>
  <w15:docId w15:val="{F69292C7-FF03-A14D-A449-FF23323E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400B"/>
    <w:pPr>
      <w:spacing w:line="480" w:lineRule="auto"/>
    </w:pPr>
    <w:rPr>
      <w:rFonts w:ascii="Arial" w:hAnsi="Arial"/>
      <w:szCs w:val="24"/>
      <w:lang w:eastAsia="en-US"/>
    </w:rPr>
  </w:style>
  <w:style w:type="paragraph" w:styleId="1">
    <w:name w:val="heading 1"/>
    <w:basedOn w:val="a"/>
    <w:next w:val="a"/>
    <w:qFormat/>
    <w:rsid w:val="0060400B"/>
    <w:pPr>
      <w:keepNext/>
      <w:spacing w:before="240" w:after="60"/>
      <w:outlineLvl w:val="0"/>
    </w:pPr>
    <w:rPr>
      <w:rFonts w:cs="Arial"/>
      <w:b/>
      <w:bCs/>
      <w:kern w:val="32"/>
      <w:sz w:val="32"/>
      <w:szCs w:val="32"/>
    </w:rPr>
  </w:style>
  <w:style w:type="paragraph" w:styleId="2">
    <w:name w:val="heading 2"/>
    <w:basedOn w:val="a"/>
    <w:next w:val="a"/>
    <w:qFormat/>
    <w:rsid w:val="0060400B"/>
    <w:pPr>
      <w:keepNext/>
      <w:spacing w:before="240" w:after="60"/>
      <w:outlineLvl w:val="1"/>
    </w:pPr>
    <w:rPr>
      <w:rFonts w:cs="Arial"/>
      <w:b/>
      <w:bCs/>
      <w:i/>
      <w:iCs/>
      <w:sz w:val="28"/>
      <w:szCs w:val="28"/>
    </w:rPr>
  </w:style>
  <w:style w:type="paragraph" w:styleId="3">
    <w:name w:val="heading 3"/>
    <w:basedOn w:val="a"/>
    <w:next w:val="a"/>
    <w:qFormat/>
    <w:rsid w:val="0060400B"/>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82795"/>
    <w:pPr>
      <w:tabs>
        <w:tab w:val="center" w:pos="4320"/>
        <w:tab w:val="right" w:pos="8640"/>
      </w:tabs>
    </w:pPr>
  </w:style>
  <w:style w:type="character" w:styleId="a4">
    <w:name w:val="page number"/>
    <w:basedOn w:val="a0"/>
    <w:rsid w:val="00F82795"/>
  </w:style>
  <w:style w:type="character" w:styleId="a5">
    <w:name w:val="Emphasis"/>
    <w:qFormat/>
    <w:rsid w:val="00FF6EA8"/>
    <w:rPr>
      <w:b/>
      <w:bCs/>
      <w:i w:val="0"/>
      <w:iCs w:val="0"/>
    </w:rPr>
  </w:style>
  <w:style w:type="character" w:styleId="a6">
    <w:name w:val="Hyperlink"/>
    <w:rsid w:val="00887016"/>
    <w:rPr>
      <w:color w:val="0000FF"/>
      <w:u w:val="single"/>
    </w:rPr>
  </w:style>
  <w:style w:type="character" w:styleId="a7">
    <w:name w:val="annotation reference"/>
    <w:semiHidden/>
    <w:rsid w:val="00D00B4B"/>
    <w:rPr>
      <w:sz w:val="16"/>
      <w:szCs w:val="16"/>
    </w:rPr>
  </w:style>
  <w:style w:type="paragraph" w:styleId="a8">
    <w:name w:val="annotation text"/>
    <w:basedOn w:val="a"/>
    <w:semiHidden/>
    <w:rsid w:val="00D00B4B"/>
    <w:rPr>
      <w:szCs w:val="20"/>
    </w:rPr>
  </w:style>
  <w:style w:type="paragraph" w:styleId="a9">
    <w:name w:val="annotation subject"/>
    <w:basedOn w:val="a8"/>
    <w:next w:val="a8"/>
    <w:semiHidden/>
    <w:rsid w:val="00D00B4B"/>
    <w:rPr>
      <w:b/>
      <w:bCs/>
    </w:rPr>
  </w:style>
  <w:style w:type="paragraph" w:styleId="aa">
    <w:name w:val="Balloon Text"/>
    <w:basedOn w:val="a"/>
    <w:semiHidden/>
    <w:rsid w:val="00D00B4B"/>
    <w:rPr>
      <w:rFonts w:ascii="Tahoma" w:hAnsi="Tahoma" w:cs="Tahoma"/>
      <w:sz w:val="16"/>
      <w:szCs w:val="16"/>
    </w:rPr>
  </w:style>
  <w:style w:type="character" w:styleId="ab">
    <w:name w:val="line number"/>
    <w:rsid w:val="00C94612"/>
  </w:style>
  <w:style w:type="character" w:customStyle="1" w:styleId="merops-change">
    <w:name w:val="merops-change"/>
    <w:rsid w:val="00700FB0"/>
  </w:style>
  <w:style w:type="character" w:customStyle="1" w:styleId="refcontentsbody">
    <w:name w:val="ref.contents.body"/>
    <w:rsid w:val="00700FB0"/>
  </w:style>
  <w:style w:type="character" w:customStyle="1" w:styleId="idyear">
    <w:name w:val="id.year"/>
    <w:rsid w:val="00700FB0"/>
  </w:style>
  <w:style w:type="character" w:customStyle="1" w:styleId="miscellaneous">
    <w:name w:val="miscellaneous"/>
    <w:rsid w:val="00700FB0"/>
  </w:style>
  <w:style w:type="character" w:customStyle="1" w:styleId="organization">
    <w:name w:val="organization"/>
    <w:rsid w:val="00700FB0"/>
  </w:style>
  <w:style w:type="character" w:customStyle="1" w:styleId="termtranslatedwithcontainer">
    <w:name w:val="term.translated.withcontainer"/>
    <w:rsid w:val="00700FB0"/>
  </w:style>
  <w:style w:type="character" w:customStyle="1" w:styleId="formattedtext">
    <w:name w:val="formatted.text"/>
    <w:rsid w:val="00700FB0"/>
  </w:style>
  <w:style w:type="character" w:customStyle="1" w:styleId="termurlaccessedintro">
    <w:name w:val="term.url.accessed.intro"/>
    <w:rsid w:val="00700FB0"/>
  </w:style>
  <w:style w:type="character" w:customStyle="1" w:styleId="groupdate">
    <w:name w:val="group.date"/>
    <w:rsid w:val="00700FB0"/>
  </w:style>
  <w:style w:type="character" w:customStyle="1" w:styleId="idmonth">
    <w:name w:val="id.month"/>
    <w:rsid w:val="00700FB0"/>
  </w:style>
  <w:style w:type="table" w:styleId="ac">
    <w:name w:val="Table Grid"/>
    <w:basedOn w:val="a1"/>
    <w:uiPriority w:val="59"/>
    <w:rsid w:val="00700FB0"/>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700FB0"/>
    <w:pPr>
      <w:tabs>
        <w:tab w:val="center" w:pos="4513"/>
        <w:tab w:val="right" w:pos="9026"/>
      </w:tabs>
    </w:pPr>
  </w:style>
  <w:style w:type="character" w:customStyle="1" w:styleId="ae">
    <w:name w:val="ヘッダー (文字)"/>
    <w:link w:val="ad"/>
    <w:rsid w:val="00700FB0"/>
    <w:rPr>
      <w:rFonts w:ascii="Arial" w:hAnsi="Arial"/>
      <w:szCs w:val="24"/>
      <w:lang w:val="en-US" w:eastAsia="en-US"/>
    </w:rPr>
  </w:style>
  <w:style w:type="paragraph" w:styleId="af">
    <w:name w:val="Body Text"/>
    <w:basedOn w:val="a"/>
    <w:link w:val="af0"/>
    <w:rsid w:val="0070690E"/>
    <w:pPr>
      <w:spacing w:after="120"/>
    </w:pPr>
  </w:style>
  <w:style w:type="character" w:customStyle="1" w:styleId="af0">
    <w:name w:val="本文 (文字)"/>
    <w:link w:val="af"/>
    <w:rsid w:val="0070690E"/>
    <w:rPr>
      <w:rFonts w:ascii="Arial" w:hAnsi="Arial"/>
      <w:szCs w:val="24"/>
      <w:lang w:val="en-US" w:eastAsia="en-US"/>
    </w:rPr>
  </w:style>
  <w:style w:type="paragraph" w:styleId="af1">
    <w:name w:val="Revision"/>
    <w:hidden/>
    <w:uiPriority w:val="99"/>
    <w:semiHidden/>
    <w:rsid w:val="00702C14"/>
    <w:rPr>
      <w:rFonts w:ascii="Arial" w:hAnsi="Arial"/>
      <w:szCs w:val="24"/>
      <w:lang w:eastAsia="en-US"/>
    </w:rPr>
  </w:style>
  <w:style w:type="table" w:styleId="af2">
    <w:name w:val="Table Theme"/>
    <w:basedOn w:val="a1"/>
    <w:rsid w:val="00702C14"/>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5231">
      <w:bodyDiv w:val="1"/>
      <w:marLeft w:val="0"/>
      <w:marRight w:val="0"/>
      <w:marTop w:val="0"/>
      <w:marBottom w:val="0"/>
      <w:divBdr>
        <w:top w:val="none" w:sz="0" w:space="0" w:color="auto"/>
        <w:left w:val="none" w:sz="0" w:space="0" w:color="auto"/>
        <w:bottom w:val="none" w:sz="0" w:space="0" w:color="auto"/>
        <w:right w:val="none" w:sz="0" w:space="0" w:color="auto"/>
      </w:divBdr>
    </w:div>
    <w:div w:id="565452254">
      <w:bodyDiv w:val="1"/>
      <w:marLeft w:val="0"/>
      <w:marRight w:val="0"/>
      <w:marTop w:val="0"/>
      <w:marBottom w:val="0"/>
      <w:divBdr>
        <w:top w:val="none" w:sz="0" w:space="0" w:color="auto"/>
        <w:left w:val="none" w:sz="0" w:space="0" w:color="auto"/>
        <w:bottom w:val="none" w:sz="0" w:space="0" w:color="auto"/>
        <w:right w:val="none" w:sz="0" w:space="0" w:color="auto"/>
      </w:divBdr>
    </w:div>
    <w:div w:id="609439756">
      <w:bodyDiv w:val="1"/>
      <w:marLeft w:val="0"/>
      <w:marRight w:val="0"/>
      <w:marTop w:val="0"/>
      <w:marBottom w:val="0"/>
      <w:divBdr>
        <w:top w:val="none" w:sz="0" w:space="0" w:color="auto"/>
        <w:left w:val="none" w:sz="0" w:space="0" w:color="auto"/>
        <w:bottom w:val="none" w:sz="0" w:space="0" w:color="auto"/>
        <w:right w:val="none" w:sz="0" w:space="0" w:color="auto"/>
      </w:divBdr>
    </w:div>
    <w:div w:id="675495445">
      <w:bodyDiv w:val="1"/>
      <w:marLeft w:val="0"/>
      <w:marRight w:val="0"/>
      <w:marTop w:val="0"/>
      <w:marBottom w:val="0"/>
      <w:divBdr>
        <w:top w:val="none" w:sz="0" w:space="0" w:color="auto"/>
        <w:left w:val="none" w:sz="0" w:space="0" w:color="auto"/>
        <w:bottom w:val="none" w:sz="0" w:space="0" w:color="auto"/>
        <w:right w:val="none" w:sz="0" w:space="0" w:color="auto"/>
      </w:divBdr>
    </w:div>
    <w:div w:id="751050965">
      <w:bodyDiv w:val="1"/>
      <w:marLeft w:val="0"/>
      <w:marRight w:val="0"/>
      <w:marTop w:val="0"/>
      <w:marBottom w:val="0"/>
      <w:divBdr>
        <w:top w:val="none" w:sz="0" w:space="0" w:color="auto"/>
        <w:left w:val="none" w:sz="0" w:space="0" w:color="auto"/>
        <w:bottom w:val="none" w:sz="0" w:space="0" w:color="auto"/>
        <w:right w:val="none" w:sz="0" w:space="0" w:color="auto"/>
      </w:divBdr>
    </w:div>
    <w:div w:id="907300458">
      <w:bodyDiv w:val="1"/>
      <w:marLeft w:val="0"/>
      <w:marRight w:val="0"/>
      <w:marTop w:val="0"/>
      <w:marBottom w:val="0"/>
      <w:divBdr>
        <w:top w:val="none" w:sz="0" w:space="0" w:color="auto"/>
        <w:left w:val="none" w:sz="0" w:space="0" w:color="auto"/>
        <w:bottom w:val="none" w:sz="0" w:space="0" w:color="auto"/>
        <w:right w:val="none" w:sz="0" w:space="0" w:color="auto"/>
      </w:divBdr>
    </w:div>
    <w:div w:id="177794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3</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UPMC</Company>
  <LinksUpToDate>false</LinksUpToDate>
  <CharactersWithSpaces>2860</CharactersWithSpaces>
  <SharedDoc>false</SharedDoc>
  <HLinks>
    <vt:vector size="12" baseType="variant">
      <vt:variant>
        <vt:i4>2031741</vt:i4>
      </vt:variant>
      <vt:variant>
        <vt:i4>0</vt:i4>
      </vt:variant>
      <vt:variant>
        <vt:i4>0</vt:i4>
      </vt:variant>
      <vt:variant>
        <vt:i4>5</vt:i4>
      </vt:variant>
      <vt:variant>
        <vt:lpwstr>mailto:ynishiza@juntendo.ac.jp</vt:lpwstr>
      </vt:variant>
      <vt:variant>
        <vt:lpwstr/>
      </vt:variant>
      <vt:variant>
        <vt:i4>6488064</vt:i4>
      </vt:variant>
      <vt:variant>
        <vt:i4>2</vt:i4>
      </vt:variant>
      <vt:variant>
        <vt:i4>0</vt:i4>
      </vt:variant>
      <vt:variant>
        <vt:i4>5</vt:i4>
      </vt:variant>
      <vt:variant>
        <vt:lpwstr>https://www.dovepress.com/journal_pricing_bands.php?journal_id=39&amp;lang=en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contraceptive implant</dc:title>
  <dc:subject/>
  <dc:creator>hohmhl</dc:creator>
  <cp:keywords/>
  <cp:lastModifiedBy>Nagasaki Kazuya</cp:lastModifiedBy>
  <cp:revision>23</cp:revision>
  <cp:lastPrinted>2021-09-01T07:10:00Z</cp:lastPrinted>
  <dcterms:created xsi:type="dcterms:W3CDTF">2021-07-19T14:05:00Z</dcterms:created>
  <dcterms:modified xsi:type="dcterms:W3CDTF">2021-09-01T09:56:00Z</dcterms:modified>
</cp:coreProperties>
</file>