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3F476" w14:textId="57EAD952" w:rsidR="00515375" w:rsidRPr="00CA430D" w:rsidRDefault="00AD2DB1" w:rsidP="00515375">
      <w:pPr>
        <w:tabs>
          <w:tab w:val="left" w:pos="312"/>
        </w:tabs>
        <w:spacing w:line="360" w:lineRule="auto"/>
        <w:jc w:val="center"/>
        <w:rPr>
          <w:rFonts w:ascii="Times New Roman" w:hAnsi="Times New Roman" w:cs="Times New Roman"/>
          <w:kern w:val="0"/>
          <w:szCs w:val="21"/>
        </w:rPr>
      </w:pPr>
      <w:r w:rsidRPr="005325B7">
        <w:rPr>
          <w:rFonts w:ascii="Times New Roman" w:eastAsia="SimSun" w:hAnsi="Times New Roman" w:cs="Times New Roman"/>
          <w:b/>
          <w:bCs/>
          <w:szCs w:val="21"/>
        </w:rPr>
        <w:t xml:space="preserve">Supplementary </w:t>
      </w:r>
      <w:r w:rsidR="005325B7" w:rsidRPr="005325B7">
        <w:rPr>
          <w:rFonts w:ascii="Times New Roman" w:eastAsia="SimSun" w:hAnsi="Times New Roman" w:cs="Times New Roman"/>
          <w:b/>
          <w:bCs/>
          <w:szCs w:val="21"/>
        </w:rPr>
        <w:t>T</w:t>
      </w:r>
      <w:r w:rsidR="00CA430D" w:rsidRPr="005325B7">
        <w:rPr>
          <w:rFonts w:ascii="Times New Roman" w:eastAsia="SimSun" w:hAnsi="Times New Roman" w:cs="Times New Roman"/>
          <w:b/>
          <w:bCs/>
          <w:szCs w:val="21"/>
        </w:rPr>
        <w:t>able</w:t>
      </w:r>
      <w:r w:rsidR="005325B7">
        <w:rPr>
          <w:rFonts w:ascii="Times New Roman" w:eastAsia="SimSun" w:hAnsi="Times New Roman" w:cs="Times New Roman"/>
          <w:b/>
          <w:bCs/>
          <w:szCs w:val="21"/>
        </w:rPr>
        <w:t xml:space="preserve"> </w:t>
      </w:r>
      <w:r w:rsidR="001013FD" w:rsidRPr="005325B7">
        <w:rPr>
          <w:rFonts w:ascii="Times New Roman" w:eastAsia="SimSun" w:hAnsi="Times New Roman" w:cs="Times New Roman"/>
          <w:b/>
          <w:bCs/>
          <w:szCs w:val="21"/>
        </w:rPr>
        <w:t>1</w:t>
      </w:r>
      <w:r w:rsidR="00515375" w:rsidRPr="00CA430D">
        <w:rPr>
          <w:rFonts w:ascii="Times New Roman" w:eastAsia="SimSun" w:hAnsi="Times New Roman" w:cs="Times New Roman"/>
          <w:szCs w:val="21"/>
        </w:rPr>
        <w:t xml:space="preserve"> </w:t>
      </w:r>
      <w:bookmarkStart w:id="0" w:name="_Hlk76392319"/>
      <w:r w:rsidR="00515375" w:rsidRPr="00CA430D">
        <w:rPr>
          <w:rFonts w:ascii="Times New Roman" w:hAnsi="Times New Roman" w:cs="Times New Roman"/>
          <w:color w:val="231F20"/>
          <w:szCs w:val="21"/>
        </w:rPr>
        <w:t xml:space="preserve">Evaluating </w:t>
      </w:r>
      <w:r w:rsidR="00515375" w:rsidRPr="00CA430D">
        <w:rPr>
          <w:rFonts w:ascii="Times New Roman" w:hAnsi="Times New Roman" w:cs="Times New Roman"/>
          <w:bCs/>
          <w:color w:val="231F20"/>
          <w:szCs w:val="21"/>
        </w:rPr>
        <w:t xml:space="preserve">AML or ALL by </w:t>
      </w:r>
      <w:r w:rsidR="00515375" w:rsidRPr="00CA430D">
        <w:rPr>
          <w:rFonts w:ascii="Times New Roman" w:hAnsi="Times New Roman" w:cs="Times New Roman"/>
          <w:color w:val="231F20"/>
          <w:szCs w:val="21"/>
        </w:rPr>
        <w:t>PKM2</w:t>
      </w:r>
      <w:bookmarkEnd w:id="0"/>
    </w:p>
    <w:tbl>
      <w:tblPr>
        <w:tblStyle w:val="TableGrid"/>
        <w:tblW w:w="9111" w:type="dxa"/>
        <w:jc w:val="center"/>
        <w:tblLayout w:type="fixed"/>
        <w:tblLook w:val="04A0" w:firstRow="1" w:lastRow="0" w:firstColumn="1" w:lastColumn="0" w:noHBand="0" w:noVBand="1"/>
      </w:tblPr>
      <w:tblGrid>
        <w:gridCol w:w="1467"/>
        <w:gridCol w:w="1701"/>
        <w:gridCol w:w="1417"/>
        <w:gridCol w:w="1560"/>
        <w:gridCol w:w="1565"/>
        <w:gridCol w:w="1401"/>
      </w:tblGrid>
      <w:tr w:rsidR="00515375" w:rsidRPr="00CA430D" w14:paraId="22BE9E2F" w14:textId="77777777" w:rsidTr="006A4CD7">
        <w:trPr>
          <w:trHeight w:val="778"/>
          <w:jc w:val="center"/>
        </w:trPr>
        <w:tc>
          <w:tcPr>
            <w:tcW w:w="1467" w:type="dxa"/>
            <w:tcBorders>
              <w:left w:val="nil"/>
              <w:bottom w:val="single" w:sz="8" w:space="0" w:color="000000"/>
              <w:right w:val="nil"/>
            </w:tcBorders>
            <w:vAlign w:val="center"/>
          </w:tcPr>
          <w:p w14:paraId="69CD2E63" w14:textId="15BFCDA1" w:rsidR="00515375" w:rsidRPr="00CA430D" w:rsidRDefault="00CA430D" w:rsidP="006A4CD7">
            <w:pPr>
              <w:widowControl/>
              <w:spacing w:line="360" w:lineRule="auto"/>
              <w:jc w:val="center"/>
              <w:textAlignment w:val="center"/>
              <w:rPr>
                <w:color w:val="000000"/>
                <w:szCs w:val="21"/>
              </w:rPr>
            </w:pPr>
            <w:bookmarkStart w:id="1" w:name="_Hlk76392292"/>
            <w:r w:rsidRPr="00CA430D">
              <w:rPr>
                <w:color w:val="000000"/>
                <w:szCs w:val="21"/>
              </w:rPr>
              <w:t>P</w:t>
            </w:r>
            <w:r w:rsidR="00515375" w:rsidRPr="00CA430D">
              <w:rPr>
                <w:color w:val="000000"/>
                <w:szCs w:val="21"/>
              </w:rPr>
              <w:t>arameter</w:t>
            </w:r>
          </w:p>
        </w:tc>
        <w:tc>
          <w:tcPr>
            <w:tcW w:w="1701" w:type="dxa"/>
            <w:tcBorders>
              <w:left w:val="nil"/>
              <w:bottom w:val="single" w:sz="8" w:space="0" w:color="000000"/>
              <w:right w:val="nil"/>
            </w:tcBorders>
            <w:vAlign w:val="center"/>
          </w:tcPr>
          <w:p w14:paraId="7F796CFE" w14:textId="45818D88" w:rsidR="00515375" w:rsidRPr="00CA430D" w:rsidRDefault="00ED6571" w:rsidP="006A4CD7">
            <w:pPr>
              <w:widowControl/>
              <w:spacing w:line="360" w:lineRule="auto"/>
              <w:jc w:val="center"/>
              <w:textAlignment w:val="center"/>
              <w:rPr>
                <w:color w:val="000000"/>
                <w:szCs w:val="21"/>
              </w:rPr>
            </w:pPr>
            <w:r w:rsidRPr="00CA430D">
              <w:rPr>
                <w:color w:val="000000"/>
                <w:szCs w:val="21"/>
              </w:rPr>
              <w:t>AUC (</w:t>
            </w:r>
            <w:r w:rsidR="00515375" w:rsidRPr="00CA430D">
              <w:rPr>
                <w:color w:val="000000"/>
                <w:szCs w:val="21"/>
              </w:rPr>
              <w:t>95%CI)</w:t>
            </w:r>
          </w:p>
        </w:tc>
        <w:tc>
          <w:tcPr>
            <w:tcW w:w="1417" w:type="dxa"/>
            <w:tcBorders>
              <w:left w:val="nil"/>
              <w:bottom w:val="single" w:sz="8" w:space="0" w:color="000000"/>
              <w:right w:val="nil"/>
            </w:tcBorders>
            <w:vAlign w:val="center"/>
          </w:tcPr>
          <w:p w14:paraId="70575517"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P value</w:t>
            </w:r>
          </w:p>
        </w:tc>
        <w:tc>
          <w:tcPr>
            <w:tcW w:w="1560" w:type="dxa"/>
            <w:tcBorders>
              <w:left w:val="nil"/>
              <w:bottom w:val="single" w:sz="8" w:space="0" w:color="000000"/>
              <w:right w:val="nil"/>
            </w:tcBorders>
            <w:vAlign w:val="center"/>
          </w:tcPr>
          <w:p w14:paraId="61684745"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Sensitivity (%)</w:t>
            </w:r>
          </w:p>
        </w:tc>
        <w:tc>
          <w:tcPr>
            <w:tcW w:w="1565" w:type="dxa"/>
            <w:tcBorders>
              <w:left w:val="nil"/>
              <w:bottom w:val="single" w:sz="8" w:space="0" w:color="000000"/>
              <w:right w:val="nil"/>
            </w:tcBorders>
            <w:vAlign w:val="center"/>
          </w:tcPr>
          <w:p w14:paraId="7882FBE7"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Specificity (%)</w:t>
            </w:r>
          </w:p>
        </w:tc>
        <w:tc>
          <w:tcPr>
            <w:tcW w:w="1401" w:type="dxa"/>
            <w:tcBorders>
              <w:left w:val="nil"/>
              <w:bottom w:val="single" w:sz="8" w:space="0" w:color="000000"/>
              <w:right w:val="nil"/>
            </w:tcBorders>
            <w:vAlign w:val="center"/>
          </w:tcPr>
          <w:p w14:paraId="5406C4F4"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Youden index</w:t>
            </w:r>
          </w:p>
        </w:tc>
      </w:tr>
      <w:tr w:rsidR="00515375" w:rsidRPr="00CA430D" w14:paraId="39F3A097" w14:textId="77777777" w:rsidTr="006A4CD7">
        <w:trPr>
          <w:trHeight w:val="400"/>
          <w:jc w:val="center"/>
        </w:trPr>
        <w:tc>
          <w:tcPr>
            <w:tcW w:w="1467" w:type="dxa"/>
            <w:tcBorders>
              <w:top w:val="single" w:sz="8" w:space="0" w:color="000000"/>
              <w:left w:val="nil"/>
              <w:bottom w:val="nil"/>
              <w:right w:val="nil"/>
            </w:tcBorders>
            <w:vAlign w:val="center"/>
          </w:tcPr>
          <w:p w14:paraId="05C726E0"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PKM2-AML</w:t>
            </w:r>
          </w:p>
        </w:tc>
        <w:tc>
          <w:tcPr>
            <w:tcW w:w="1701" w:type="dxa"/>
            <w:tcBorders>
              <w:top w:val="single" w:sz="8" w:space="0" w:color="000000"/>
              <w:left w:val="nil"/>
              <w:bottom w:val="nil"/>
              <w:right w:val="nil"/>
            </w:tcBorders>
            <w:vAlign w:val="center"/>
          </w:tcPr>
          <w:p w14:paraId="442B22E3"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0.827</w:t>
            </w:r>
          </w:p>
          <w:p w14:paraId="45E62B31"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(0.8214-0.9371)</w:t>
            </w:r>
          </w:p>
        </w:tc>
        <w:tc>
          <w:tcPr>
            <w:tcW w:w="1417" w:type="dxa"/>
            <w:tcBorders>
              <w:top w:val="single" w:sz="8" w:space="0" w:color="000000"/>
              <w:left w:val="nil"/>
              <w:bottom w:val="nil"/>
              <w:right w:val="nil"/>
            </w:tcBorders>
            <w:vAlign w:val="center"/>
          </w:tcPr>
          <w:p w14:paraId="2A13D0A4"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w:t>
            </w:r>
            <w:r w:rsidRPr="00CA430D">
              <w:rPr>
                <w:color w:val="000000"/>
                <w:szCs w:val="21"/>
              </w:rPr>
              <w:t>0.001</w:t>
            </w:r>
          </w:p>
        </w:tc>
        <w:tc>
          <w:tcPr>
            <w:tcW w:w="1560" w:type="dxa"/>
            <w:tcBorders>
              <w:top w:val="single" w:sz="8" w:space="0" w:color="000000"/>
              <w:left w:val="nil"/>
              <w:bottom w:val="nil"/>
              <w:right w:val="nil"/>
            </w:tcBorders>
            <w:vAlign w:val="center"/>
          </w:tcPr>
          <w:p w14:paraId="5537F540"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91.2%</w:t>
            </w:r>
          </w:p>
        </w:tc>
        <w:tc>
          <w:tcPr>
            <w:tcW w:w="1565" w:type="dxa"/>
            <w:tcBorders>
              <w:top w:val="single" w:sz="8" w:space="0" w:color="000000"/>
              <w:left w:val="nil"/>
              <w:bottom w:val="nil"/>
              <w:right w:val="nil"/>
            </w:tcBorders>
            <w:vAlign w:val="center"/>
          </w:tcPr>
          <w:p w14:paraId="5EC871A3"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66.7%</w:t>
            </w:r>
          </w:p>
        </w:tc>
        <w:tc>
          <w:tcPr>
            <w:tcW w:w="1401" w:type="dxa"/>
            <w:tcBorders>
              <w:top w:val="single" w:sz="8" w:space="0" w:color="000000"/>
              <w:left w:val="nil"/>
              <w:bottom w:val="nil"/>
              <w:right w:val="nil"/>
            </w:tcBorders>
            <w:vAlign w:val="center"/>
          </w:tcPr>
          <w:p w14:paraId="4ABC6ECE"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0.579</w:t>
            </w:r>
          </w:p>
        </w:tc>
      </w:tr>
      <w:tr w:rsidR="00515375" w:rsidRPr="00CA430D" w14:paraId="60614B16" w14:textId="77777777" w:rsidTr="006A4CD7">
        <w:trPr>
          <w:trHeight w:val="400"/>
          <w:jc w:val="center"/>
        </w:trPr>
        <w:tc>
          <w:tcPr>
            <w:tcW w:w="1467" w:type="dxa"/>
            <w:tcBorders>
              <w:top w:val="nil"/>
              <w:left w:val="nil"/>
              <w:bottom w:val="single" w:sz="4" w:space="0" w:color="auto"/>
              <w:right w:val="nil"/>
            </w:tcBorders>
            <w:vAlign w:val="center"/>
          </w:tcPr>
          <w:p w14:paraId="52648CD5"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PKM2-ALL</w:t>
            </w:r>
          </w:p>
        </w:tc>
        <w:tc>
          <w:tcPr>
            <w:tcW w:w="1701" w:type="dxa"/>
            <w:tcBorders>
              <w:top w:val="nil"/>
              <w:left w:val="nil"/>
              <w:bottom w:val="single" w:sz="4" w:space="0" w:color="auto"/>
              <w:right w:val="nil"/>
            </w:tcBorders>
            <w:vAlign w:val="center"/>
          </w:tcPr>
          <w:p w14:paraId="767BA842"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0.837</w:t>
            </w:r>
          </w:p>
          <w:p w14:paraId="00F2E6DD"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(0.8214 -0.9371)</w:t>
            </w:r>
          </w:p>
        </w:tc>
        <w:tc>
          <w:tcPr>
            <w:tcW w:w="1417" w:type="dxa"/>
            <w:tcBorders>
              <w:top w:val="nil"/>
              <w:left w:val="nil"/>
              <w:bottom w:val="single" w:sz="4" w:space="0" w:color="auto"/>
              <w:right w:val="nil"/>
            </w:tcBorders>
            <w:vAlign w:val="center"/>
          </w:tcPr>
          <w:p w14:paraId="018F5B92"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w:t>
            </w:r>
            <w:r w:rsidRPr="00CA430D">
              <w:rPr>
                <w:color w:val="000000"/>
                <w:szCs w:val="21"/>
              </w:rPr>
              <w:t>0.001</w:t>
            </w:r>
          </w:p>
        </w:tc>
        <w:tc>
          <w:tcPr>
            <w:tcW w:w="1560" w:type="dxa"/>
            <w:tcBorders>
              <w:top w:val="nil"/>
              <w:left w:val="nil"/>
              <w:bottom w:val="single" w:sz="4" w:space="0" w:color="auto"/>
              <w:right w:val="nil"/>
            </w:tcBorders>
            <w:vAlign w:val="center"/>
          </w:tcPr>
          <w:p w14:paraId="73B894C1"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88.2%</w:t>
            </w:r>
          </w:p>
        </w:tc>
        <w:tc>
          <w:tcPr>
            <w:tcW w:w="1565" w:type="dxa"/>
            <w:tcBorders>
              <w:top w:val="nil"/>
              <w:left w:val="nil"/>
              <w:bottom w:val="single" w:sz="4" w:space="0" w:color="auto"/>
              <w:right w:val="nil"/>
            </w:tcBorders>
            <w:vAlign w:val="center"/>
          </w:tcPr>
          <w:p w14:paraId="0B2F959B"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66.7%</w:t>
            </w:r>
          </w:p>
        </w:tc>
        <w:tc>
          <w:tcPr>
            <w:tcW w:w="1401" w:type="dxa"/>
            <w:tcBorders>
              <w:top w:val="nil"/>
              <w:left w:val="nil"/>
              <w:bottom w:val="single" w:sz="4" w:space="0" w:color="auto"/>
              <w:right w:val="nil"/>
            </w:tcBorders>
            <w:vAlign w:val="center"/>
          </w:tcPr>
          <w:p w14:paraId="3B8B0C3D" w14:textId="77777777" w:rsidR="00515375" w:rsidRPr="00CA430D" w:rsidRDefault="00515375" w:rsidP="006A4CD7">
            <w:pPr>
              <w:widowControl/>
              <w:spacing w:line="360" w:lineRule="auto"/>
              <w:jc w:val="center"/>
              <w:textAlignment w:val="center"/>
              <w:rPr>
                <w:color w:val="000000"/>
                <w:szCs w:val="21"/>
              </w:rPr>
            </w:pPr>
            <w:r w:rsidRPr="00CA430D">
              <w:rPr>
                <w:color w:val="000000"/>
                <w:szCs w:val="21"/>
              </w:rPr>
              <w:t>0.549</w:t>
            </w:r>
          </w:p>
        </w:tc>
      </w:tr>
    </w:tbl>
    <w:bookmarkEnd w:id="1"/>
    <w:p w14:paraId="7FB8451F" w14:textId="73391429" w:rsidR="000F5E99" w:rsidRPr="00CA430D" w:rsidRDefault="005325B7" w:rsidP="005325B7">
      <w:pPr>
        <w:jc w:val="left"/>
        <w:rPr>
          <w:rFonts w:ascii="Times New Roman" w:hAnsi="Times New Roman" w:cs="Times New Roman"/>
          <w:bCs/>
          <w:kern w:val="0"/>
          <w:szCs w:val="21"/>
        </w:rPr>
      </w:pPr>
      <w:r w:rsidRPr="005325B7">
        <w:rPr>
          <w:rFonts w:ascii="Times New Roman" w:hAnsi="Times New Roman" w:cs="Times New Roman"/>
          <w:b/>
          <w:kern w:val="0"/>
          <w:szCs w:val="21"/>
        </w:rPr>
        <w:t>Notes:</w:t>
      </w:r>
      <w:r>
        <w:rPr>
          <w:rFonts w:ascii="Times New Roman" w:hAnsi="Times New Roman" w:cs="Times New Roman"/>
          <w:bCs/>
          <w:kern w:val="0"/>
          <w:szCs w:val="21"/>
        </w:rPr>
        <w:t xml:space="preserve"> </w:t>
      </w:r>
      <w:r w:rsidRPr="005325B7">
        <w:rPr>
          <w:rFonts w:ascii="Times New Roman" w:hAnsi="Times New Roman" w:cs="Times New Roman"/>
          <w:bCs/>
          <w:kern w:val="0"/>
          <w:szCs w:val="21"/>
        </w:rPr>
        <w:t>PKM2 could distinguish the AML patients from the healthy individuals, and the AUC was 0.827. Moreover, the sensitivity was 91.2%, and the specificity was 66.7%. PKM2 could distinguish the ALL patients from the healthy individuals, and the AUC was 0.837. Moreover, the sensitivity was 88.2%, and the specificity was 66.7%.</w:t>
      </w:r>
    </w:p>
    <w:p w14:paraId="5D5148C1" w14:textId="77777777" w:rsidR="000F5E99" w:rsidRPr="00CA430D" w:rsidRDefault="000F5E99" w:rsidP="001A150D">
      <w:pPr>
        <w:jc w:val="center"/>
        <w:rPr>
          <w:rFonts w:ascii="Times New Roman" w:hAnsi="Times New Roman" w:cs="Times New Roman"/>
          <w:bCs/>
          <w:kern w:val="0"/>
          <w:szCs w:val="21"/>
        </w:rPr>
      </w:pPr>
    </w:p>
    <w:p w14:paraId="784F9C57" w14:textId="59F957B8" w:rsidR="001A150D" w:rsidRPr="00CA430D" w:rsidRDefault="007B1B7A" w:rsidP="001A150D">
      <w:pPr>
        <w:jc w:val="center"/>
        <w:rPr>
          <w:rFonts w:ascii="Times New Roman" w:hAnsi="Times New Roman" w:cs="Times New Roman"/>
          <w:bCs/>
          <w:kern w:val="0"/>
          <w:szCs w:val="21"/>
        </w:rPr>
      </w:pPr>
      <w:r w:rsidRPr="005325B7">
        <w:rPr>
          <w:rFonts w:ascii="Times New Roman" w:eastAsia="SimSun" w:hAnsi="Times New Roman" w:cs="Times New Roman"/>
          <w:b/>
          <w:bCs/>
          <w:szCs w:val="21"/>
        </w:rPr>
        <w:t xml:space="preserve">Supplementary </w:t>
      </w:r>
      <w:r w:rsidR="005325B7" w:rsidRPr="005325B7">
        <w:rPr>
          <w:rFonts w:ascii="Times New Roman" w:eastAsia="SimSun" w:hAnsi="Times New Roman" w:cs="Times New Roman"/>
          <w:b/>
          <w:bCs/>
          <w:szCs w:val="21"/>
        </w:rPr>
        <w:t>T</w:t>
      </w:r>
      <w:r w:rsidRPr="005325B7">
        <w:rPr>
          <w:rFonts w:ascii="Times New Roman" w:eastAsia="SimSun" w:hAnsi="Times New Roman" w:cs="Times New Roman"/>
          <w:b/>
          <w:bCs/>
          <w:szCs w:val="21"/>
        </w:rPr>
        <w:t>able</w:t>
      </w:r>
      <w:r w:rsidRPr="005325B7">
        <w:rPr>
          <w:rFonts w:ascii="Times New Roman" w:hAnsi="Times New Roman" w:cs="Times New Roman"/>
          <w:b/>
          <w:bCs/>
          <w:kern w:val="0"/>
          <w:szCs w:val="21"/>
        </w:rPr>
        <w:t xml:space="preserve"> </w:t>
      </w:r>
      <w:r w:rsidR="001A150D" w:rsidRPr="005325B7">
        <w:rPr>
          <w:rFonts w:ascii="Times New Roman" w:hAnsi="Times New Roman" w:cs="Times New Roman"/>
          <w:b/>
          <w:bCs/>
          <w:kern w:val="0"/>
          <w:szCs w:val="21"/>
        </w:rPr>
        <w:t>2</w:t>
      </w:r>
      <w:r w:rsidR="001A150D" w:rsidRPr="00CA430D">
        <w:rPr>
          <w:rFonts w:ascii="Times New Roman" w:hAnsi="Times New Roman" w:cs="Times New Roman"/>
          <w:bCs/>
          <w:kern w:val="0"/>
          <w:szCs w:val="21"/>
        </w:rPr>
        <w:t xml:space="preserve"> The baseline data of </w:t>
      </w:r>
      <w:r w:rsidR="00CA430D" w:rsidRPr="00CA430D">
        <w:rPr>
          <w:rFonts w:ascii="Times New Roman" w:hAnsi="Times New Roman" w:cs="Times New Roman"/>
          <w:bCs/>
          <w:kern w:val="0"/>
          <w:szCs w:val="21"/>
        </w:rPr>
        <w:t>s</w:t>
      </w:r>
      <w:r w:rsidR="001A150D" w:rsidRPr="00CA430D">
        <w:rPr>
          <w:rFonts w:ascii="Times New Roman" w:hAnsi="Times New Roman" w:cs="Times New Roman"/>
          <w:bCs/>
          <w:kern w:val="0"/>
          <w:szCs w:val="21"/>
        </w:rPr>
        <w:t>urvival</w:t>
      </w:r>
    </w:p>
    <w:tbl>
      <w:tblPr>
        <w:tblStyle w:val="61"/>
        <w:tblW w:w="10099" w:type="dxa"/>
        <w:jc w:val="center"/>
        <w:tblLayout w:type="fixed"/>
        <w:tblLook w:val="04A0" w:firstRow="1" w:lastRow="0" w:firstColumn="1" w:lastColumn="0" w:noHBand="0" w:noVBand="1"/>
      </w:tblPr>
      <w:tblGrid>
        <w:gridCol w:w="2019"/>
        <w:gridCol w:w="1418"/>
        <w:gridCol w:w="1701"/>
        <w:gridCol w:w="850"/>
        <w:gridCol w:w="1418"/>
        <w:gridCol w:w="1701"/>
        <w:gridCol w:w="992"/>
      </w:tblGrid>
      <w:tr w:rsidR="001A150D" w:rsidRPr="00CA430D" w14:paraId="58878F20" w14:textId="77777777" w:rsidTr="00F96DF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019" w:type="dxa"/>
            <w:shd w:val="clear" w:color="auto" w:fill="auto"/>
            <w:noWrap/>
          </w:tcPr>
          <w:p w14:paraId="212DBAAE" w14:textId="77777777" w:rsidR="001A150D" w:rsidRPr="00CA430D" w:rsidRDefault="001A150D" w:rsidP="00F96DFE">
            <w:pPr>
              <w:spacing w:line="360" w:lineRule="auto"/>
              <w:jc w:val="center"/>
              <w:rPr>
                <w:b w:val="0"/>
                <w:bCs w:val="0"/>
                <w:color w:val="auto"/>
                <w:sz w:val="18"/>
                <w:szCs w:val="21"/>
              </w:rPr>
            </w:pPr>
          </w:p>
        </w:tc>
        <w:tc>
          <w:tcPr>
            <w:tcW w:w="1418" w:type="dxa"/>
            <w:shd w:val="clear" w:color="auto" w:fill="auto"/>
            <w:noWrap/>
          </w:tcPr>
          <w:p w14:paraId="725F6F76" w14:textId="77777777" w:rsidR="001A150D" w:rsidRPr="00CA430D" w:rsidRDefault="001A150D" w:rsidP="00F96DFE">
            <w:pPr>
              <w:widowControl/>
              <w:spacing w:line="360" w:lineRule="auto"/>
              <w:jc w:val="center"/>
              <w:textAlignment w:val="center"/>
              <w:cnfStyle w:val="100000000000" w:firstRow="1" w:lastRow="0" w:firstColumn="0" w:lastColumn="0" w:oddVBand="0" w:evenVBand="0" w:oddHBand="0" w:evenHBand="0" w:firstRowFirstColumn="0" w:firstRowLastColumn="0" w:lastRowFirstColumn="0" w:lastRowLastColumn="0"/>
              <w:rPr>
                <w:b w:val="0"/>
                <w:bCs w:val="0"/>
                <w:color w:val="auto"/>
                <w:sz w:val="15"/>
                <w:szCs w:val="15"/>
              </w:rPr>
            </w:pPr>
            <w:r w:rsidRPr="00CA430D">
              <w:rPr>
                <w:b w:val="0"/>
                <w:color w:val="auto"/>
                <w:sz w:val="15"/>
                <w:szCs w:val="15"/>
              </w:rPr>
              <w:t>AMLPKM2</w:t>
            </w:r>
            <w:r w:rsidRPr="00CA430D">
              <w:rPr>
                <w:b w:val="0"/>
                <w:color w:val="auto"/>
                <w:sz w:val="15"/>
                <w:szCs w:val="15"/>
                <w:vertAlign w:val="superscript"/>
              </w:rPr>
              <w:t>LOW</w:t>
            </w:r>
          </w:p>
        </w:tc>
        <w:tc>
          <w:tcPr>
            <w:tcW w:w="1701" w:type="dxa"/>
            <w:shd w:val="clear" w:color="auto" w:fill="auto"/>
            <w:noWrap/>
          </w:tcPr>
          <w:p w14:paraId="5244024B" w14:textId="77777777" w:rsidR="001A150D" w:rsidRPr="00CA430D" w:rsidRDefault="001A150D" w:rsidP="00F96DFE">
            <w:pPr>
              <w:widowControl/>
              <w:spacing w:line="360" w:lineRule="auto"/>
              <w:jc w:val="center"/>
              <w:textAlignment w:val="center"/>
              <w:cnfStyle w:val="100000000000" w:firstRow="1" w:lastRow="0" w:firstColumn="0" w:lastColumn="0" w:oddVBand="0" w:evenVBand="0" w:oddHBand="0" w:evenHBand="0" w:firstRowFirstColumn="0" w:firstRowLastColumn="0" w:lastRowFirstColumn="0" w:lastRowLastColumn="0"/>
              <w:rPr>
                <w:b w:val="0"/>
                <w:bCs w:val="0"/>
                <w:color w:val="auto"/>
                <w:sz w:val="18"/>
                <w:szCs w:val="21"/>
              </w:rPr>
            </w:pPr>
            <w:r w:rsidRPr="00CA430D">
              <w:rPr>
                <w:b w:val="0"/>
                <w:color w:val="auto"/>
                <w:sz w:val="15"/>
                <w:szCs w:val="15"/>
              </w:rPr>
              <w:t>AMLPKM2</w:t>
            </w:r>
            <w:r w:rsidRPr="00706781">
              <w:rPr>
                <w:b w:val="0"/>
                <w:color w:val="auto"/>
                <w:sz w:val="15"/>
                <w:szCs w:val="15"/>
                <w:vertAlign w:val="superscript"/>
              </w:rPr>
              <w:t>high</w:t>
            </w:r>
          </w:p>
        </w:tc>
        <w:tc>
          <w:tcPr>
            <w:tcW w:w="850" w:type="dxa"/>
            <w:shd w:val="clear" w:color="auto" w:fill="auto"/>
            <w:noWrap/>
          </w:tcPr>
          <w:p w14:paraId="1618DDFA" w14:textId="77777777" w:rsidR="001A150D" w:rsidRPr="00CA430D" w:rsidRDefault="001A150D" w:rsidP="00F96DFE">
            <w:pPr>
              <w:widowControl/>
              <w:spacing w:line="360" w:lineRule="auto"/>
              <w:jc w:val="center"/>
              <w:textAlignment w:val="center"/>
              <w:cnfStyle w:val="100000000000" w:firstRow="1" w:lastRow="0" w:firstColumn="0" w:lastColumn="0" w:oddVBand="0" w:evenVBand="0" w:oddHBand="0" w:evenHBand="0" w:firstRowFirstColumn="0" w:firstRowLastColumn="0" w:lastRowFirstColumn="0" w:lastRowLastColumn="0"/>
              <w:rPr>
                <w:b w:val="0"/>
                <w:bCs w:val="0"/>
                <w:color w:val="auto"/>
                <w:sz w:val="18"/>
                <w:szCs w:val="21"/>
              </w:rPr>
            </w:pPr>
            <w:r w:rsidRPr="00CA430D">
              <w:rPr>
                <w:b w:val="0"/>
                <w:color w:val="auto"/>
                <w:sz w:val="18"/>
                <w:szCs w:val="21"/>
              </w:rPr>
              <w:t>p</w:t>
            </w:r>
          </w:p>
        </w:tc>
        <w:tc>
          <w:tcPr>
            <w:tcW w:w="1418" w:type="dxa"/>
            <w:shd w:val="clear" w:color="auto" w:fill="auto"/>
          </w:tcPr>
          <w:p w14:paraId="5308746B" w14:textId="77777777" w:rsidR="001A150D" w:rsidRPr="00CA430D" w:rsidRDefault="001A150D" w:rsidP="00F96DFE">
            <w:pPr>
              <w:widowControl/>
              <w:spacing w:line="360" w:lineRule="auto"/>
              <w:jc w:val="center"/>
              <w:textAlignment w:val="center"/>
              <w:cnfStyle w:val="100000000000" w:firstRow="1" w:lastRow="0" w:firstColumn="0" w:lastColumn="0" w:oddVBand="0" w:evenVBand="0" w:oddHBand="0" w:evenHBand="0" w:firstRowFirstColumn="0" w:firstRowLastColumn="0" w:lastRowFirstColumn="0" w:lastRowLastColumn="0"/>
              <w:rPr>
                <w:b w:val="0"/>
                <w:bCs w:val="0"/>
                <w:color w:val="auto"/>
                <w:sz w:val="18"/>
                <w:szCs w:val="21"/>
              </w:rPr>
            </w:pPr>
            <w:r w:rsidRPr="00CA430D">
              <w:rPr>
                <w:b w:val="0"/>
                <w:color w:val="auto"/>
                <w:sz w:val="18"/>
                <w:szCs w:val="21"/>
              </w:rPr>
              <w:t>ALL</w:t>
            </w:r>
            <w:r w:rsidRPr="00CA430D">
              <w:rPr>
                <w:b w:val="0"/>
                <w:color w:val="auto"/>
                <w:sz w:val="15"/>
                <w:szCs w:val="15"/>
              </w:rPr>
              <w:t>PKM2</w:t>
            </w:r>
            <w:r w:rsidRPr="00CA430D">
              <w:rPr>
                <w:b w:val="0"/>
                <w:color w:val="auto"/>
                <w:sz w:val="15"/>
                <w:szCs w:val="15"/>
                <w:vertAlign w:val="superscript"/>
              </w:rPr>
              <w:t>LOW</w:t>
            </w:r>
          </w:p>
        </w:tc>
        <w:tc>
          <w:tcPr>
            <w:tcW w:w="1701" w:type="dxa"/>
            <w:shd w:val="clear" w:color="auto" w:fill="auto"/>
          </w:tcPr>
          <w:p w14:paraId="06671A58" w14:textId="77777777" w:rsidR="001A150D" w:rsidRPr="00CA430D" w:rsidRDefault="001A150D" w:rsidP="00F96DFE">
            <w:pPr>
              <w:widowControl/>
              <w:spacing w:line="360" w:lineRule="auto"/>
              <w:jc w:val="center"/>
              <w:textAlignment w:val="center"/>
              <w:cnfStyle w:val="100000000000" w:firstRow="1" w:lastRow="0" w:firstColumn="0" w:lastColumn="0" w:oddVBand="0" w:evenVBand="0" w:oddHBand="0" w:evenHBand="0" w:firstRowFirstColumn="0" w:firstRowLastColumn="0" w:lastRowFirstColumn="0" w:lastRowLastColumn="0"/>
              <w:rPr>
                <w:b w:val="0"/>
                <w:bCs w:val="0"/>
                <w:color w:val="auto"/>
                <w:sz w:val="18"/>
                <w:szCs w:val="21"/>
              </w:rPr>
            </w:pPr>
            <w:r w:rsidRPr="00CA430D">
              <w:rPr>
                <w:b w:val="0"/>
                <w:color w:val="auto"/>
                <w:sz w:val="18"/>
                <w:szCs w:val="21"/>
              </w:rPr>
              <w:t xml:space="preserve">ALL </w:t>
            </w:r>
            <w:r w:rsidRPr="00CA430D">
              <w:rPr>
                <w:b w:val="0"/>
                <w:color w:val="auto"/>
                <w:sz w:val="15"/>
                <w:szCs w:val="15"/>
              </w:rPr>
              <w:t>PKM2</w:t>
            </w:r>
            <w:r w:rsidRPr="00706781">
              <w:rPr>
                <w:b w:val="0"/>
                <w:color w:val="auto"/>
                <w:sz w:val="15"/>
                <w:szCs w:val="15"/>
                <w:vertAlign w:val="superscript"/>
              </w:rPr>
              <w:t>high</w:t>
            </w:r>
          </w:p>
        </w:tc>
        <w:tc>
          <w:tcPr>
            <w:tcW w:w="992" w:type="dxa"/>
            <w:shd w:val="clear" w:color="auto" w:fill="auto"/>
          </w:tcPr>
          <w:p w14:paraId="3C6A63E8" w14:textId="77777777" w:rsidR="001A150D" w:rsidRPr="00CA430D" w:rsidRDefault="001A150D" w:rsidP="00F96DFE">
            <w:pPr>
              <w:widowControl/>
              <w:spacing w:line="360" w:lineRule="auto"/>
              <w:jc w:val="center"/>
              <w:textAlignment w:val="center"/>
              <w:cnfStyle w:val="100000000000" w:firstRow="1" w:lastRow="0" w:firstColumn="0" w:lastColumn="0" w:oddVBand="0" w:evenVBand="0" w:oddHBand="0" w:evenHBand="0" w:firstRowFirstColumn="0" w:firstRowLastColumn="0" w:lastRowFirstColumn="0" w:lastRowLastColumn="0"/>
              <w:rPr>
                <w:b w:val="0"/>
                <w:bCs w:val="0"/>
                <w:color w:val="auto"/>
                <w:sz w:val="18"/>
                <w:szCs w:val="21"/>
              </w:rPr>
            </w:pPr>
            <w:r w:rsidRPr="00CA430D">
              <w:rPr>
                <w:b w:val="0"/>
                <w:color w:val="auto"/>
                <w:sz w:val="18"/>
                <w:szCs w:val="21"/>
              </w:rPr>
              <w:t>p</w:t>
            </w:r>
          </w:p>
        </w:tc>
      </w:tr>
      <w:tr w:rsidR="001A150D" w:rsidRPr="00CA430D" w14:paraId="597098BF" w14:textId="77777777" w:rsidTr="00F96DFE">
        <w:trPr>
          <w:trHeight w:val="270"/>
          <w:jc w:val="center"/>
        </w:trPr>
        <w:tc>
          <w:tcPr>
            <w:cnfStyle w:val="001000000000" w:firstRow="0" w:lastRow="0" w:firstColumn="1" w:lastColumn="0" w:oddVBand="0" w:evenVBand="0" w:oddHBand="0" w:evenHBand="0" w:firstRowFirstColumn="0" w:firstRowLastColumn="0" w:lastRowFirstColumn="0" w:lastRowLastColumn="0"/>
            <w:tcW w:w="2019" w:type="dxa"/>
            <w:shd w:val="clear" w:color="auto" w:fill="auto"/>
            <w:noWrap/>
          </w:tcPr>
          <w:p w14:paraId="638AA247" w14:textId="77777777" w:rsidR="001A150D" w:rsidRPr="00CA430D" w:rsidRDefault="001A150D" w:rsidP="00F96DFE">
            <w:pPr>
              <w:spacing w:line="360" w:lineRule="auto"/>
              <w:jc w:val="center"/>
              <w:rPr>
                <w:b w:val="0"/>
                <w:bCs w:val="0"/>
                <w:color w:val="auto"/>
                <w:sz w:val="18"/>
                <w:szCs w:val="21"/>
              </w:rPr>
            </w:pPr>
            <w:r w:rsidRPr="00CA430D">
              <w:rPr>
                <w:b w:val="0"/>
                <w:color w:val="auto"/>
                <w:sz w:val="18"/>
                <w:szCs w:val="21"/>
              </w:rPr>
              <w:t>Age (&gt;60)</w:t>
            </w:r>
          </w:p>
        </w:tc>
        <w:tc>
          <w:tcPr>
            <w:tcW w:w="1418" w:type="dxa"/>
            <w:shd w:val="clear" w:color="auto" w:fill="auto"/>
            <w:noWrap/>
          </w:tcPr>
          <w:p w14:paraId="58806DF6" w14:textId="7FC9010F" w:rsidR="001A150D" w:rsidRPr="00CA430D" w:rsidRDefault="001A150D"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5</w:t>
            </w:r>
          </w:p>
        </w:tc>
        <w:tc>
          <w:tcPr>
            <w:tcW w:w="1701" w:type="dxa"/>
            <w:shd w:val="clear" w:color="auto" w:fill="auto"/>
            <w:noWrap/>
          </w:tcPr>
          <w:p w14:paraId="52074CFC" w14:textId="385D30FE" w:rsidR="001A150D" w:rsidRPr="00CA430D" w:rsidRDefault="001A150D"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6</w:t>
            </w:r>
          </w:p>
        </w:tc>
        <w:tc>
          <w:tcPr>
            <w:tcW w:w="850" w:type="dxa"/>
            <w:shd w:val="clear" w:color="auto" w:fill="auto"/>
            <w:noWrap/>
          </w:tcPr>
          <w:p w14:paraId="7D21387C" w14:textId="77777777" w:rsidR="001A150D" w:rsidRPr="00CA430D" w:rsidRDefault="001A150D"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0.346</w:t>
            </w:r>
          </w:p>
        </w:tc>
        <w:tc>
          <w:tcPr>
            <w:tcW w:w="1418" w:type="dxa"/>
            <w:shd w:val="clear" w:color="auto" w:fill="auto"/>
          </w:tcPr>
          <w:p w14:paraId="7E80DE2F" w14:textId="77777777" w:rsidR="001A150D" w:rsidRPr="00CA430D" w:rsidRDefault="001A150D"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1</w:t>
            </w:r>
          </w:p>
        </w:tc>
        <w:tc>
          <w:tcPr>
            <w:tcW w:w="1701" w:type="dxa"/>
            <w:shd w:val="clear" w:color="auto" w:fill="auto"/>
          </w:tcPr>
          <w:p w14:paraId="30D8BC11" w14:textId="77777777" w:rsidR="001A150D" w:rsidRPr="00CA430D" w:rsidRDefault="001A150D"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3</w:t>
            </w:r>
          </w:p>
        </w:tc>
        <w:tc>
          <w:tcPr>
            <w:tcW w:w="992" w:type="dxa"/>
            <w:shd w:val="clear" w:color="auto" w:fill="auto"/>
          </w:tcPr>
          <w:p w14:paraId="05B3AFEC" w14:textId="77777777" w:rsidR="001A150D" w:rsidRPr="00CA430D" w:rsidRDefault="001A150D"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a</w:t>
            </w:r>
          </w:p>
        </w:tc>
      </w:tr>
      <w:tr w:rsidR="001A150D" w:rsidRPr="00CA430D" w14:paraId="504EA377" w14:textId="77777777" w:rsidTr="00F96DFE">
        <w:trPr>
          <w:trHeight w:val="270"/>
          <w:jc w:val="center"/>
        </w:trPr>
        <w:tc>
          <w:tcPr>
            <w:cnfStyle w:val="001000000000" w:firstRow="0" w:lastRow="0" w:firstColumn="1" w:lastColumn="0" w:oddVBand="0" w:evenVBand="0" w:oddHBand="0" w:evenHBand="0" w:firstRowFirstColumn="0" w:firstRowLastColumn="0" w:lastRowFirstColumn="0" w:lastRowLastColumn="0"/>
            <w:tcW w:w="2019" w:type="dxa"/>
            <w:shd w:val="clear" w:color="auto" w:fill="auto"/>
            <w:noWrap/>
          </w:tcPr>
          <w:p w14:paraId="4FA0B113" w14:textId="77777777" w:rsidR="001A150D" w:rsidRPr="00CA430D" w:rsidRDefault="001A150D" w:rsidP="00F96DFE">
            <w:pPr>
              <w:spacing w:line="360" w:lineRule="auto"/>
              <w:jc w:val="center"/>
              <w:rPr>
                <w:b w:val="0"/>
                <w:bCs w:val="0"/>
                <w:color w:val="auto"/>
                <w:sz w:val="18"/>
                <w:szCs w:val="21"/>
              </w:rPr>
            </w:pPr>
            <w:r w:rsidRPr="00CA430D">
              <w:rPr>
                <w:b w:val="0"/>
                <w:color w:val="auto"/>
                <w:sz w:val="18"/>
                <w:szCs w:val="21"/>
              </w:rPr>
              <w:t>Age (&lt;60)</w:t>
            </w:r>
          </w:p>
        </w:tc>
        <w:tc>
          <w:tcPr>
            <w:tcW w:w="1418" w:type="dxa"/>
            <w:shd w:val="clear" w:color="auto" w:fill="auto"/>
            <w:noWrap/>
          </w:tcPr>
          <w:p w14:paraId="62B61000" w14:textId="33D74277" w:rsidR="001A150D" w:rsidRPr="00CA430D" w:rsidRDefault="001A150D" w:rsidP="001A150D">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22</w:t>
            </w:r>
          </w:p>
        </w:tc>
        <w:tc>
          <w:tcPr>
            <w:tcW w:w="1701" w:type="dxa"/>
            <w:shd w:val="clear" w:color="auto" w:fill="auto"/>
            <w:noWrap/>
          </w:tcPr>
          <w:p w14:paraId="7D90B1A1" w14:textId="5EEC403B" w:rsidR="001A150D" w:rsidRPr="00CA430D" w:rsidRDefault="001A150D" w:rsidP="001A150D">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23</w:t>
            </w:r>
          </w:p>
        </w:tc>
        <w:tc>
          <w:tcPr>
            <w:tcW w:w="850" w:type="dxa"/>
            <w:shd w:val="clear" w:color="auto" w:fill="auto"/>
            <w:noWrap/>
          </w:tcPr>
          <w:p w14:paraId="32FB6154" w14:textId="77777777" w:rsidR="001A150D" w:rsidRPr="00CA430D" w:rsidRDefault="001A150D"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0.538</w:t>
            </w:r>
          </w:p>
        </w:tc>
        <w:tc>
          <w:tcPr>
            <w:tcW w:w="1418" w:type="dxa"/>
            <w:shd w:val="clear" w:color="auto" w:fill="auto"/>
          </w:tcPr>
          <w:p w14:paraId="70D1A675" w14:textId="77777777" w:rsidR="001A150D" w:rsidRPr="00CA430D" w:rsidRDefault="001A150D"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19</w:t>
            </w:r>
          </w:p>
        </w:tc>
        <w:tc>
          <w:tcPr>
            <w:tcW w:w="1701" w:type="dxa"/>
            <w:shd w:val="clear" w:color="auto" w:fill="auto"/>
          </w:tcPr>
          <w:p w14:paraId="35EBD9A1" w14:textId="77777777" w:rsidR="001A150D" w:rsidRPr="00CA430D" w:rsidRDefault="001A150D"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17</w:t>
            </w:r>
          </w:p>
        </w:tc>
        <w:tc>
          <w:tcPr>
            <w:tcW w:w="992" w:type="dxa"/>
            <w:shd w:val="clear" w:color="auto" w:fill="auto"/>
          </w:tcPr>
          <w:p w14:paraId="3408CA88" w14:textId="5D9DD4DC" w:rsidR="001A150D" w:rsidRPr="00CA430D" w:rsidRDefault="001A150D" w:rsidP="001A150D">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0.135</w:t>
            </w:r>
          </w:p>
        </w:tc>
      </w:tr>
      <w:tr w:rsidR="00D1447B" w:rsidRPr="00CA430D" w14:paraId="7CC6F2AB" w14:textId="77777777" w:rsidTr="00D1447B">
        <w:trPr>
          <w:trHeight w:val="270"/>
          <w:jc w:val="center"/>
        </w:trPr>
        <w:tc>
          <w:tcPr>
            <w:cnfStyle w:val="001000000000" w:firstRow="0" w:lastRow="0" w:firstColumn="1" w:lastColumn="0" w:oddVBand="0" w:evenVBand="0" w:oddHBand="0" w:evenHBand="0" w:firstRowFirstColumn="0" w:firstRowLastColumn="0" w:lastRowFirstColumn="0" w:lastRowLastColumn="0"/>
            <w:tcW w:w="2019" w:type="dxa"/>
            <w:shd w:val="clear" w:color="auto" w:fill="auto"/>
            <w:noWrap/>
          </w:tcPr>
          <w:p w14:paraId="73E1E0D2" w14:textId="77777777" w:rsidR="00D1447B" w:rsidRPr="00CA430D" w:rsidRDefault="00D1447B" w:rsidP="00F96DFE">
            <w:pPr>
              <w:spacing w:line="360" w:lineRule="auto"/>
              <w:jc w:val="center"/>
              <w:rPr>
                <w:b w:val="0"/>
                <w:bCs w:val="0"/>
                <w:color w:val="auto"/>
                <w:sz w:val="18"/>
                <w:szCs w:val="21"/>
              </w:rPr>
            </w:pPr>
            <w:r w:rsidRPr="00CA430D">
              <w:rPr>
                <w:b w:val="0"/>
                <w:color w:val="auto"/>
                <w:sz w:val="18"/>
                <w:szCs w:val="21"/>
              </w:rPr>
              <w:t>Gender (man)</w:t>
            </w:r>
          </w:p>
        </w:tc>
        <w:tc>
          <w:tcPr>
            <w:tcW w:w="1418" w:type="dxa"/>
            <w:shd w:val="clear" w:color="auto" w:fill="auto"/>
            <w:noWrap/>
          </w:tcPr>
          <w:p w14:paraId="3B7ADB44" w14:textId="5B78D907" w:rsidR="00D1447B" w:rsidRPr="00CA430D" w:rsidRDefault="00D1447B" w:rsidP="008073EC">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17</w:t>
            </w:r>
          </w:p>
        </w:tc>
        <w:tc>
          <w:tcPr>
            <w:tcW w:w="1701" w:type="dxa"/>
            <w:shd w:val="clear" w:color="auto" w:fill="auto"/>
            <w:noWrap/>
          </w:tcPr>
          <w:p w14:paraId="733A86A8" w14:textId="21A6FD75"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20</w:t>
            </w:r>
          </w:p>
        </w:tc>
        <w:tc>
          <w:tcPr>
            <w:tcW w:w="850" w:type="dxa"/>
            <w:vMerge w:val="restart"/>
            <w:shd w:val="clear" w:color="auto" w:fill="auto"/>
            <w:noWrap/>
            <w:vAlign w:val="center"/>
          </w:tcPr>
          <w:p w14:paraId="274CDBC3" w14:textId="7C261D6F" w:rsidR="00D1447B" w:rsidRPr="00CA430D" w:rsidRDefault="00D1447B" w:rsidP="00F96DFE">
            <w:pPr>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0.635</w:t>
            </w:r>
          </w:p>
        </w:tc>
        <w:tc>
          <w:tcPr>
            <w:tcW w:w="1418" w:type="dxa"/>
            <w:shd w:val="clear" w:color="auto" w:fill="auto"/>
          </w:tcPr>
          <w:p w14:paraId="4A977DB7"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12</w:t>
            </w:r>
          </w:p>
        </w:tc>
        <w:tc>
          <w:tcPr>
            <w:tcW w:w="1701" w:type="dxa"/>
            <w:shd w:val="clear" w:color="auto" w:fill="auto"/>
          </w:tcPr>
          <w:p w14:paraId="30BE9FF6"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12</w:t>
            </w:r>
          </w:p>
        </w:tc>
        <w:tc>
          <w:tcPr>
            <w:tcW w:w="992" w:type="dxa"/>
            <w:vMerge w:val="restart"/>
            <w:shd w:val="clear" w:color="auto" w:fill="auto"/>
            <w:vAlign w:val="center"/>
          </w:tcPr>
          <w:p w14:paraId="1C0B68FA" w14:textId="489DC498" w:rsidR="00D1447B" w:rsidRPr="00CA430D" w:rsidRDefault="00D1447B" w:rsidP="00D1447B">
            <w:pPr>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1.000</w:t>
            </w:r>
          </w:p>
        </w:tc>
      </w:tr>
      <w:tr w:rsidR="00D1447B" w:rsidRPr="00CA430D" w14:paraId="7150C645" w14:textId="77777777" w:rsidTr="00F96DFE">
        <w:trPr>
          <w:trHeight w:val="270"/>
          <w:jc w:val="center"/>
        </w:trPr>
        <w:tc>
          <w:tcPr>
            <w:cnfStyle w:val="001000000000" w:firstRow="0" w:lastRow="0" w:firstColumn="1" w:lastColumn="0" w:oddVBand="0" w:evenVBand="0" w:oddHBand="0" w:evenHBand="0" w:firstRowFirstColumn="0" w:firstRowLastColumn="0" w:lastRowFirstColumn="0" w:lastRowLastColumn="0"/>
            <w:tcW w:w="2019" w:type="dxa"/>
            <w:shd w:val="clear" w:color="auto" w:fill="auto"/>
            <w:noWrap/>
          </w:tcPr>
          <w:p w14:paraId="77587EA2" w14:textId="77777777" w:rsidR="00D1447B" w:rsidRPr="00CA430D" w:rsidRDefault="00D1447B" w:rsidP="00F96DFE">
            <w:pPr>
              <w:widowControl/>
              <w:spacing w:line="360" w:lineRule="auto"/>
              <w:jc w:val="center"/>
              <w:textAlignment w:val="center"/>
              <w:rPr>
                <w:b w:val="0"/>
                <w:bCs w:val="0"/>
                <w:color w:val="auto"/>
                <w:sz w:val="18"/>
                <w:szCs w:val="21"/>
              </w:rPr>
            </w:pPr>
            <w:r w:rsidRPr="00CA430D">
              <w:rPr>
                <w:b w:val="0"/>
                <w:color w:val="auto"/>
                <w:sz w:val="18"/>
                <w:szCs w:val="21"/>
              </w:rPr>
              <w:t>Gender (women)</w:t>
            </w:r>
          </w:p>
        </w:tc>
        <w:tc>
          <w:tcPr>
            <w:tcW w:w="1418" w:type="dxa"/>
            <w:shd w:val="clear" w:color="auto" w:fill="auto"/>
            <w:noWrap/>
          </w:tcPr>
          <w:p w14:paraId="18FEF814"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10</w:t>
            </w:r>
          </w:p>
        </w:tc>
        <w:tc>
          <w:tcPr>
            <w:tcW w:w="1701" w:type="dxa"/>
            <w:shd w:val="clear" w:color="auto" w:fill="auto"/>
            <w:noWrap/>
          </w:tcPr>
          <w:p w14:paraId="087FC80C" w14:textId="69A1C52E"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9</w:t>
            </w:r>
          </w:p>
        </w:tc>
        <w:tc>
          <w:tcPr>
            <w:tcW w:w="850" w:type="dxa"/>
            <w:vMerge/>
            <w:shd w:val="clear" w:color="auto" w:fill="auto"/>
            <w:noWrap/>
          </w:tcPr>
          <w:p w14:paraId="292A315A" w14:textId="45529B34"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p>
        </w:tc>
        <w:tc>
          <w:tcPr>
            <w:tcW w:w="1418" w:type="dxa"/>
            <w:shd w:val="clear" w:color="auto" w:fill="auto"/>
          </w:tcPr>
          <w:p w14:paraId="52B41DFD"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8</w:t>
            </w:r>
          </w:p>
        </w:tc>
        <w:tc>
          <w:tcPr>
            <w:tcW w:w="1701" w:type="dxa"/>
            <w:shd w:val="clear" w:color="auto" w:fill="auto"/>
          </w:tcPr>
          <w:p w14:paraId="62EF5A02"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8</w:t>
            </w:r>
          </w:p>
        </w:tc>
        <w:tc>
          <w:tcPr>
            <w:tcW w:w="992" w:type="dxa"/>
            <w:vMerge/>
            <w:shd w:val="clear" w:color="auto" w:fill="auto"/>
          </w:tcPr>
          <w:p w14:paraId="135CFC89" w14:textId="5AF5E4D5" w:rsidR="00D1447B" w:rsidRPr="00CA430D" w:rsidRDefault="00D1447B" w:rsidP="00D1447B">
            <w:pPr>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p>
        </w:tc>
      </w:tr>
      <w:tr w:rsidR="00D1447B" w:rsidRPr="00CA430D" w14:paraId="7E394FD3" w14:textId="77777777" w:rsidTr="00D1447B">
        <w:trPr>
          <w:trHeight w:val="270"/>
          <w:jc w:val="center"/>
        </w:trPr>
        <w:tc>
          <w:tcPr>
            <w:cnfStyle w:val="001000000000" w:firstRow="0" w:lastRow="0" w:firstColumn="1" w:lastColumn="0" w:oddVBand="0" w:evenVBand="0" w:oddHBand="0" w:evenHBand="0" w:firstRowFirstColumn="0" w:firstRowLastColumn="0" w:lastRowFirstColumn="0" w:lastRowLastColumn="0"/>
            <w:tcW w:w="2019" w:type="dxa"/>
            <w:shd w:val="clear" w:color="auto" w:fill="auto"/>
            <w:noWrap/>
          </w:tcPr>
          <w:p w14:paraId="42D32F3D" w14:textId="77777777" w:rsidR="00D1447B" w:rsidRPr="00CA430D" w:rsidRDefault="00D1447B" w:rsidP="00F96DFE">
            <w:pPr>
              <w:widowControl/>
              <w:spacing w:line="360" w:lineRule="auto"/>
              <w:jc w:val="center"/>
              <w:textAlignment w:val="center"/>
              <w:rPr>
                <w:b w:val="0"/>
                <w:bCs w:val="0"/>
                <w:color w:val="auto"/>
                <w:sz w:val="18"/>
                <w:szCs w:val="21"/>
              </w:rPr>
            </w:pPr>
            <w:proofErr w:type="gramStart"/>
            <w:r w:rsidRPr="00CA430D">
              <w:rPr>
                <w:b w:val="0"/>
                <w:color w:val="auto"/>
                <w:sz w:val="18"/>
                <w:szCs w:val="21"/>
              </w:rPr>
              <w:t>LN(</w:t>
            </w:r>
            <w:proofErr w:type="gramEnd"/>
            <w:r w:rsidRPr="00CA430D">
              <w:rPr>
                <w:b w:val="0"/>
                <w:color w:val="auto"/>
                <w:sz w:val="18"/>
                <w:szCs w:val="21"/>
              </w:rPr>
              <w:t>low)</w:t>
            </w:r>
          </w:p>
        </w:tc>
        <w:tc>
          <w:tcPr>
            <w:tcW w:w="1418" w:type="dxa"/>
            <w:shd w:val="clear" w:color="auto" w:fill="auto"/>
            <w:noWrap/>
          </w:tcPr>
          <w:p w14:paraId="3AC81FD6" w14:textId="53C88FFE" w:rsidR="00D1447B" w:rsidRPr="00CA430D" w:rsidRDefault="00D1447B" w:rsidP="009567FA">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18</w:t>
            </w:r>
          </w:p>
        </w:tc>
        <w:tc>
          <w:tcPr>
            <w:tcW w:w="1701" w:type="dxa"/>
            <w:shd w:val="clear" w:color="auto" w:fill="auto"/>
            <w:noWrap/>
          </w:tcPr>
          <w:p w14:paraId="2A7A2511"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rFonts w:hint="eastAsia"/>
                <w:color w:val="auto"/>
                <w:sz w:val="18"/>
                <w:szCs w:val="21"/>
              </w:rPr>
              <w:t>3</w:t>
            </w:r>
          </w:p>
        </w:tc>
        <w:tc>
          <w:tcPr>
            <w:tcW w:w="850" w:type="dxa"/>
            <w:vMerge w:val="restart"/>
            <w:shd w:val="clear" w:color="auto" w:fill="auto"/>
            <w:noWrap/>
            <w:vAlign w:val="center"/>
          </w:tcPr>
          <w:p w14:paraId="2AECCC3A" w14:textId="147FF3B9"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rFonts w:hint="eastAsia"/>
                <w:color w:val="auto"/>
                <w:sz w:val="18"/>
                <w:szCs w:val="21"/>
              </w:rPr>
              <w:t>＜</w:t>
            </w:r>
            <w:r w:rsidRPr="00CA430D">
              <w:rPr>
                <w:rFonts w:hint="eastAsia"/>
                <w:color w:val="auto"/>
                <w:sz w:val="18"/>
                <w:szCs w:val="21"/>
              </w:rPr>
              <w:t>0</w:t>
            </w:r>
            <w:r w:rsidRPr="00CA430D">
              <w:rPr>
                <w:color w:val="auto"/>
                <w:sz w:val="18"/>
                <w:szCs w:val="21"/>
              </w:rPr>
              <w:t>.001</w:t>
            </w:r>
          </w:p>
        </w:tc>
        <w:tc>
          <w:tcPr>
            <w:tcW w:w="1418" w:type="dxa"/>
            <w:shd w:val="clear" w:color="auto" w:fill="auto"/>
          </w:tcPr>
          <w:p w14:paraId="596398BF"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rFonts w:hint="eastAsia"/>
                <w:color w:val="auto"/>
                <w:sz w:val="18"/>
                <w:szCs w:val="21"/>
              </w:rPr>
              <w:t>1</w:t>
            </w:r>
            <w:r w:rsidRPr="00CA430D">
              <w:rPr>
                <w:color w:val="auto"/>
                <w:sz w:val="18"/>
                <w:szCs w:val="21"/>
              </w:rPr>
              <w:t>2</w:t>
            </w:r>
          </w:p>
        </w:tc>
        <w:tc>
          <w:tcPr>
            <w:tcW w:w="1701" w:type="dxa"/>
            <w:shd w:val="clear" w:color="auto" w:fill="auto"/>
          </w:tcPr>
          <w:p w14:paraId="5CE7C2C2"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rFonts w:hint="eastAsia"/>
                <w:color w:val="auto"/>
                <w:sz w:val="18"/>
                <w:szCs w:val="21"/>
              </w:rPr>
              <w:t>4</w:t>
            </w:r>
          </w:p>
        </w:tc>
        <w:tc>
          <w:tcPr>
            <w:tcW w:w="992" w:type="dxa"/>
            <w:vMerge w:val="restart"/>
            <w:shd w:val="clear" w:color="auto" w:fill="auto"/>
            <w:vAlign w:val="center"/>
          </w:tcPr>
          <w:p w14:paraId="4227717B" w14:textId="5473C5CC"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rFonts w:hint="eastAsia"/>
                <w:color w:val="auto"/>
                <w:sz w:val="18"/>
                <w:szCs w:val="21"/>
              </w:rPr>
              <w:t>0</w:t>
            </w:r>
            <w:r w:rsidRPr="00CA430D">
              <w:rPr>
                <w:color w:val="auto"/>
                <w:sz w:val="18"/>
                <w:szCs w:val="21"/>
              </w:rPr>
              <w:t>.019</w:t>
            </w:r>
          </w:p>
        </w:tc>
      </w:tr>
      <w:tr w:rsidR="00D1447B" w:rsidRPr="00CA430D" w14:paraId="2F77DF85" w14:textId="77777777" w:rsidTr="00F96DFE">
        <w:trPr>
          <w:trHeight w:val="270"/>
          <w:jc w:val="center"/>
        </w:trPr>
        <w:tc>
          <w:tcPr>
            <w:cnfStyle w:val="001000000000" w:firstRow="0" w:lastRow="0" w:firstColumn="1" w:lastColumn="0" w:oddVBand="0" w:evenVBand="0" w:oddHBand="0" w:evenHBand="0" w:firstRowFirstColumn="0" w:firstRowLastColumn="0" w:lastRowFirstColumn="0" w:lastRowLastColumn="0"/>
            <w:tcW w:w="2019" w:type="dxa"/>
            <w:shd w:val="clear" w:color="auto" w:fill="auto"/>
            <w:noWrap/>
          </w:tcPr>
          <w:p w14:paraId="77B8512D" w14:textId="77777777" w:rsidR="00D1447B" w:rsidRPr="00CA430D" w:rsidRDefault="00D1447B" w:rsidP="00F96DFE">
            <w:pPr>
              <w:widowControl/>
              <w:spacing w:line="360" w:lineRule="auto"/>
              <w:jc w:val="center"/>
              <w:textAlignment w:val="center"/>
              <w:rPr>
                <w:b w:val="0"/>
                <w:bCs w:val="0"/>
                <w:color w:val="auto"/>
                <w:sz w:val="18"/>
                <w:szCs w:val="21"/>
              </w:rPr>
            </w:pPr>
            <w:proofErr w:type="gramStart"/>
            <w:r w:rsidRPr="00CA430D">
              <w:rPr>
                <w:b w:val="0"/>
                <w:color w:val="auto"/>
                <w:sz w:val="18"/>
                <w:szCs w:val="21"/>
              </w:rPr>
              <w:t>LN(</w:t>
            </w:r>
            <w:proofErr w:type="gramEnd"/>
            <w:r w:rsidRPr="00CA430D">
              <w:rPr>
                <w:b w:val="0"/>
                <w:color w:val="auto"/>
                <w:sz w:val="18"/>
                <w:szCs w:val="21"/>
              </w:rPr>
              <w:t>intermediate)</w:t>
            </w:r>
          </w:p>
        </w:tc>
        <w:tc>
          <w:tcPr>
            <w:tcW w:w="1418" w:type="dxa"/>
            <w:shd w:val="clear" w:color="auto" w:fill="auto"/>
            <w:noWrap/>
          </w:tcPr>
          <w:p w14:paraId="750F318B" w14:textId="0DC0761A"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5</w:t>
            </w:r>
          </w:p>
        </w:tc>
        <w:tc>
          <w:tcPr>
            <w:tcW w:w="1701" w:type="dxa"/>
            <w:shd w:val="clear" w:color="auto" w:fill="auto"/>
            <w:noWrap/>
          </w:tcPr>
          <w:p w14:paraId="62EC879F" w14:textId="3E4368DA"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9</w:t>
            </w:r>
          </w:p>
        </w:tc>
        <w:tc>
          <w:tcPr>
            <w:tcW w:w="850" w:type="dxa"/>
            <w:vMerge/>
            <w:shd w:val="clear" w:color="auto" w:fill="auto"/>
            <w:noWrap/>
          </w:tcPr>
          <w:p w14:paraId="271BCEC8"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p>
        </w:tc>
        <w:tc>
          <w:tcPr>
            <w:tcW w:w="1418" w:type="dxa"/>
            <w:shd w:val="clear" w:color="auto" w:fill="auto"/>
          </w:tcPr>
          <w:p w14:paraId="70D89756"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rFonts w:hint="eastAsia"/>
                <w:color w:val="auto"/>
                <w:sz w:val="18"/>
                <w:szCs w:val="21"/>
              </w:rPr>
              <w:t>5</w:t>
            </w:r>
          </w:p>
        </w:tc>
        <w:tc>
          <w:tcPr>
            <w:tcW w:w="1701" w:type="dxa"/>
            <w:shd w:val="clear" w:color="auto" w:fill="auto"/>
          </w:tcPr>
          <w:p w14:paraId="40329F6D"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rFonts w:hint="eastAsia"/>
                <w:color w:val="auto"/>
                <w:sz w:val="18"/>
                <w:szCs w:val="21"/>
              </w:rPr>
              <w:t>6</w:t>
            </w:r>
          </w:p>
        </w:tc>
        <w:tc>
          <w:tcPr>
            <w:tcW w:w="992" w:type="dxa"/>
            <w:vMerge/>
            <w:shd w:val="clear" w:color="auto" w:fill="auto"/>
          </w:tcPr>
          <w:p w14:paraId="711AE2B3"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p>
        </w:tc>
      </w:tr>
      <w:tr w:rsidR="00D1447B" w:rsidRPr="00CA430D" w14:paraId="335C510C" w14:textId="77777777" w:rsidTr="00F96DFE">
        <w:trPr>
          <w:trHeight w:val="270"/>
          <w:jc w:val="center"/>
        </w:trPr>
        <w:tc>
          <w:tcPr>
            <w:cnfStyle w:val="001000000000" w:firstRow="0" w:lastRow="0" w:firstColumn="1" w:lastColumn="0" w:oddVBand="0" w:evenVBand="0" w:oddHBand="0" w:evenHBand="0" w:firstRowFirstColumn="0" w:firstRowLastColumn="0" w:lastRowFirstColumn="0" w:lastRowLastColumn="0"/>
            <w:tcW w:w="2019" w:type="dxa"/>
            <w:shd w:val="clear" w:color="auto" w:fill="auto"/>
            <w:noWrap/>
          </w:tcPr>
          <w:p w14:paraId="24C6B9C6" w14:textId="77777777" w:rsidR="00D1447B" w:rsidRPr="00CA430D" w:rsidRDefault="00D1447B" w:rsidP="00F96DFE">
            <w:pPr>
              <w:widowControl/>
              <w:spacing w:line="360" w:lineRule="auto"/>
              <w:jc w:val="center"/>
              <w:textAlignment w:val="center"/>
              <w:rPr>
                <w:b w:val="0"/>
                <w:bCs w:val="0"/>
                <w:color w:val="auto"/>
                <w:sz w:val="18"/>
                <w:szCs w:val="21"/>
              </w:rPr>
            </w:pPr>
            <w:proofErr w:type="gramStart"/>
            <w:r w:rsidRPr="00CA430D">
              <w:rPr>
                <w:b w:val="0"/>
                <w:color w:val="auto"/>
                <w:sz w:val="18"/>
                <w:szCs w:val="21"/>
              </w:rPr>
              <w:t>LN(</w:t>
            </w:r>
            <w:proofErr w:type="gramEnd"/>
            <w:r w:rsidRPr="00CA430D">
              <w:rPr>
                <w:b w:val="0"/>
                <w:color w:val="auto"/>
                <w:sz w:val="18"/>
                <w:szCs w:val="21"/>
              </w:rPr>
              <w:t>high)</w:t>
            </w:r>
          </w:p>
        </w:tc>
        <w:tc>
          <w:tcPr>
            <w:tcW w:w="1418" w:type="dxa"/>
            <w:shd w:val="clear" w:color="auto" w:fill="auto"/>
            <w:noWrap/>
          </w:tcPr>
          <w:p w14:paraId="76D1AD34"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color w:val="auto"/>
                <w:sz w:val="18"/>
                <w:szCs w:val="21"/>
              </w:rPr>
              <w:t>4</w:t>
            </w:r>
          </w:p>
        </w:tc>
        <w:tc>
          <w:tcPr>
            <w:tcW w:w="1701" w:type="dxa"/>
            <w:shd w:val="clear" w:color="auto" w:fill="auto"/>
            <w:noWrap/>
          </w:tcPr>
          <w:p w14:paraId="64EEA0A5" w14:textId="7CB390CC" w:rsidR="00D1447B" w:rsidRPr="00CA430D" w:rsidRDefault="00D1447B" w:rsidP="008073EC">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rFonts w:hint="eastAsia"/>
                <w:color w:val="auto"/>
                <w:sz w:val="18"/>
                <w:szCs w:val="21"/>
              </w:rPr>
              <w:t>1</w:t>
            </w:r>
            <w:r w:rsidRPr="00CA430D">
              <w:rPr>
                <w:color w:val="auto"/>
                <w:sz w:val="18"/>
                <w:szCs w:val="21"/>
              </w:rPr>
              <w:t>7</w:t>
            </w:r>
          </w:p>
        </w:tc>
        <w:tc>
          <w:tcPr>
            <w:tcW w:w="850" w:type="dxa"/>
            <w:vMerge/>
            <w:shd w:val="clear" w:color="auto" w:fill="auto"/>
            <w:noWrap/>
          </w:tcPr>
          <w:p w14:paraId="3195C46A"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p>
        </w:tc>
        <w:tc>
          <w:tcPr>
            <w:tcW w:w="1418" w:type="dxa"/>
            <w:shd w:val="clear" w:color="auto" w:fill="auto"/>
          </w:tcPr>
          <w:p w14:paraId="599CF49E"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rFonts w:hint="eastAsia"/>
                <w:color w:val="auto"/>
                <w:sz w:val="18"/>
                <w:szCs w:val="21"/>
              </w:rPr>
              <w:t>3</w:t>
            </w:r>
          </w:p>
        </w:tc>
        <w:tc>
          <w:tcPr>
            <w:tcW w:w="1701" w:type="dxa"/>
            <w:shd w:val="clear" w:color="auto" w:fill="auto"/>
          </w:tcPr>
          <w:p w14:paraId="756130A1"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r w:rsidRPr="00CA430D">
              <w:rPr>
                <w:rFonts w:hint="eastAsia"/>
                <w:color w:val="auto"/>
                <w:sz w:val="18"/>
                <w:szCs w:val="21"/>
              </w:rPr>
              <w:t>1</w:t>
            </w:r>
            <w:r w:rsidRPr="00CA430D">
              <w:rPr>
                <w:color w:val="auto"/>
                <w:sz w:val="18"/>
                <w:szCs w:val="21"/>
              </w:rPr>
              <w:t>0</w:t>
            </w:r>
          </w:p>
        </w:tc>
        <w:tc>
          <w:tcPr>
            <w:tcW w:w="992" w:type="dxa"/>
            <w:vMerge/>
            <w:shd w:val="clear" w:color="auto" w:fill="auto"/>
          </w:tcPr>
          <w:p w14:paraId="2C938B86" w14:textId="77777777" w:rsidR="00D1447B" w:rsidRPr="00CA430D" w:rsidRDefault="00D1447B" w:rsidP="00F96DFE">
            <w:pPr>
              <w:widowControl/>
              <w:spacing w:line="360" w:lineRule="auto"/>
              <w:jc w:val="center"/>
              <w:textAlignment w:val="center"/>
              <w:cnfStyle w:val="000000000000" w:firstRow="0" w:lastRow="0" w:firstColumn="0" w:lastColumn="0" w:oddVBand="0" w:evenVBand="0" w:oddHBand="0" w:evenHBand="0" w:firstRowFirstColumn="0" w:firstRowLastColumn="0" w:lastRowFirstColumn="0" w:lastRowLastColumn="0"/>
              <w:rPr>
                <w:color w:val="auto"/>
                <w:sz w:val="18"/>
                <w:szCs w:val="21"/>
              </w:rPr>
            </w:pPr>
          </w:p>
        </w:tc>
      </w:tr>
    </w:tbl>
    <w:p w14:paraId="261C57D6" w14:textId="52A70FFA" w:rsidR="001A150D" w:rsidRPr="00CA430D" w:rsidRDefault="005325B7" w:rsidP="005325B7">
      <w:pPr>
        <w:rPr>
          <w:rFonts w:ascii="Times New Roman" w:hAnsi="Times New Roman" w:cs="Times New Roman"/>
          <w:szCs w:val="21"/>
        </w:rPr>
      </w:pPr>
      <w:r w:rsidRPr="005325B7">
        <w:rPr>
          <w:rFonts w:ascii="Times New Roman" w:hAnsi="Times New Roman" w:cs="Times New Roman"/>
          <w:b/>
          <w:bCs/>
        </w:rPr>
        <w:t>Notes:</w:t>
      </w:r>
      <w:r>
        <w:rPr>
          <w:rFonts w:ascii="Times New Roman" w:hAnsi="Times New Roman" w:cs="Times New Roman"/>
        </w:rPr>
        <w:t xml:space="preserve"> </w:t>
      </w:r>
      <w:r w:rsidR="001A150D" w:rsidRPr="005325B7">
        <w:rPr>
          <w:rFonts w:ascii="Times New Roman" w:hAnsi="Times New Roman" w:cs="Times New Roman"/>
          <w:szCs w:val="21"/>
        </w:rPr>
        <w:t>a:</w:t>
      </w:r>
      <w:r w:rsidR="001A150D" w:rsidRPr="005325B7">
        <w:rPr>
          <w:rFonts w:ascii="Times New Roman" w:eastAsia="SimSun" w:hAnsi="Times New Roman" w:cs="Times New Roman"/>
          <w:kern w:val="0"/>
          <w:szCs w:val="21"/>
        </w:rPr>
        <w:t xml:space="preserve"> </w:t>
      </w:r>
      <w:r w:rsidR="00D1447B" w:rsidRPr="005325B7">
        <w:rPr>
          <w:rFonts w:ascii="Times New Roman" w:eastAsia="SimSun" w:hAnsi="Times New Roman" w:cs="Times New Roman"/>
          <w:kern w:val="0"/>
          <w:szCs w:val="21"/>
        </w:rPr>
        <w:t>The number of cases is too small to calculate</w:t>
      </w:r>
      <w:r w:rsidR="00D1447B" w:rsidRPr="005325B7">
        <w:rPr>
          <w:rFonts w:ascii="Times New Roman" w:eastAsia="SimSun" w:hAnsi="Times New Roman" w:cs="Times New Roman" w:hint="eastAsia"/>
          <w:kern w:val="0"/>
          <w:szCs w:val="21"/>
        </w:rPr>
        <w:t>.</w:t>
      </w:r>
      <w:r>
        <w:rPr>
          <w:rFonts w:ascii="Times New Roman" w:eastAsia="SimSun" w:hAnsi="Times New Roman" w:cs="Times New Roman"/>
          <w:kern w:val="0"/>
          <w:sz w:val="18"/>
          <w:szCs w:val="21"/>
        </w:rPr>
        <w:t xml:space="preserve"> </w:t>
      </w:r>
      <w:r w:rsidR="00D1447B" w:rsidRPr="00CA430D">
        <w:rPr>
          <w:rFonts w:ascii="Times New Roman" w:hAnsi="Times New Roman" w:cs="Times New Roman"/>
          <w:szCs w:val="21"/>
        </w:rPr>
        <w:t>There was no statistical difference in PKM2 expression between age and sex. The higher the level of Risk stratification, the higher the expression level of PKM2, and the two are positively correlated.</w:t>
      </w:r>
    </w:p>
    <w:sectPr w:rsidR="001A150D" w:rsidRPr="00CA43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BD272" w14:textId="77777777" w:rsidR="00F77871" w:rsidRDefault="00F77871" w:rsidP="001A150D">
      <w:r>
        <w:separator/>
      </w:r>
    </w:p>
  </w:endnote>
  <w:endnote w:type="continuationSeparator" w:id="0">
    <w:p w14:paraId="0916A3C6" w14:textId="77777777" w:rsidR="00F77871" w:rsidRDefault="00F77871" w:rsidP="001A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FB5B" w14:textId="77777777" w:rsidR="00F77871" w:rsidRDefault="00F77871" w:rsidP="001A150D">
      <w:r>
        <w:separator/>
      </w:r>
    </w:p>
  </w:footnote>
  <w:footnote w:type="continuationSeparator" w:id="0">
    <w:p w14:paraId="23DC60FC" w14:textId="77777777" w:rsidR="00F77871" w:rsidRDefault="00F77871" w:rsidP="001A1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8C"/>
    <w:rsid w:val="000F5E99"/>
    <w:rsid w:val="001013FD"/>
    <w:rsid w:val="001A150D"/>
    <w:rsid w:val="001F3F9E"/>
    <w:rsid w:val="00422C8C"/>
    <w:rsid w:val="00491724"/>
    <w:rsid w:val="00515375"/>
    <w:rsid w:val="00522BB8"/>
    <w:rsid w:val="005325B7"/>
    <w:rsid w:val="005371C9"/>
    <w:rsid w:val="005F7331"/>
    <w:rsid w:val="00706781"/>
    <w:rsid w:val="007B1B7A"/>
    <w:rsid w:val="008073EC"/>
    <w:rsid w:val="008465A5"/>
    <w:rsid w:val="009567FA"/>
    <w:rsid w:val="00AD2DB1"/>
    <w:rsid w:val="00BE569D"/>
    <w:rsid w:val="00BE5869"/>
    <w:rsid w:val="00C25DEE"/>
    <w:rsid w:val="00CA430D"/>
    <w:rsid w:val="00D1447B"/>
    <w:rsid w:val="00D761E6"/>
    <w:rsid w:val="00E64D11"/>
    <w:rsid w:val="00EC15CB"/>
    <w:rsid w:val="00ED6571"/>
    <w:rsid w:val="00F77871"/>
    <w:rsid w:val="00FF3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6449F"/>
  <w15:chartTrackingRefBased/>
  <w15:docId w15:val="{761F04E4-F3B0-45FB-A06D-FCF1DAAA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nhideWhenUsed/>
    <w:qFormat/>
    <w:rsid w:val="00515375"/>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50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A150D"/>
    <w:rPr>
      <w:sz w:val="18"/>
      <w:szCs w:val="18"/>
    </w:rPr>
  </w:style>
  <w:style w:type="paragraph" w:styleId="Footer">
    <w:name w:val="footer"/>
    <w:basedOn w:val="Normal"/>
    <w:link w:val="FooterChar"/>
    <w:uiPriority w:val="99"/>
    <w:unhideWhenUsed/>
    <w:rsid w:val="001A150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A150D"/>
    <w:rPr>
      <w:sz w:val="18"/>
      <w:szCs w:val="18"/>
    </w:rPr>
  </w:style>
  <w:style w:type="table" w:customStyle="1" w:styleId="61">
    <w:name w:val="清单表 6 彩色1"/>
    <w:basedOn w:val="TableNormal"/>
    <w:uiPriority w:val="51"/>
    <w:rsid w:val="001A150D"/>
    <w:rPr>
      <w:rFonts w:ascii="Times New Roman" w:eastAsia="SimSun" w:hAnsi="Times New Roman" w:cs="Times New Roman"/>
      <w:color w:val="000000" w:themeColor="text1"/>
      <w:kern w:val="0"/>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BE5869"/>
    <w:rPr>
      <w:sz w:val="16"/>
      <w:szCs w:val="16"/>
    </w:rPr>
  </w:style>
  <w:style w:type="paragraph" w:styleId="CommentText">
    <w:name w:val="annotation text"/>
    <w:basedOn w:val="Normal"/>
    <w:link w:val="CommentTextChar"/>
    <w:uiPriority w:val="99"/>
    <w:semiHidden/>
    <w:unhideWhenUsed/>
    <w:rsid w:val="00BE5869"/>
    <w:rPr>
      <w:sz w:val="20"/>
      <w:szCs w:val="20"/>
    </w:rPr>
  </w:style>
  <w:style w:type="character" w:customStyle="1" w:styleId="CommentTextChar">
    <w:name w:val="Comment Text Char"/>
    <w:basedOn w:val="DefaultParagraphFont"/>
    <w:link w:val="CommentText"/>
    <w:uiPriority w:val="99"/>
    <w:semiHidden/>
    <w:rsid w:val="00BE5869"/>
    <w:rPr>
      <w:sz w:val="20"/>
      <w:szCs w:val="20"/>
    </w:rPr>
  </w:style>
  <w:style w:type="paragraph" w:styleId="CommentSubject">
    <w:name w:val="annotation subject"/>
    <w:basedOn w:val="CommentText"/>
    <w:next w:val="CommentText"/>
    <w:link w:val="CommentSubjectChar"/>
    <w:uiPriority w:val="99"/>
    <w:semiHidden/>
    <w:unhideWhenUsed/>
    <w:rsid w:val="00BE5869"/>
    <w:rPr>
      <w:b/>
      <w:bCs/>
    </w:rPr>
  </w:style>
  <w:style w:type="character" w:customStyle="1" w:styleId="CommentSubjectChar">
    <w:name w:val="Comment Subject Char"/>
    <w:basedOn w:val="CommentTextChar"/>
    <w:link w:val="CommentSubject"/>
    <w:uiPriority w:val="99"/>
    <w:semiHidden/>
    <w:rsid w:val="00BE5869"/>
    <w:rPr>
      <w:b/>
      <w:bCs/>
      <w:sz w:val="20"/>
      <w:szCs w:val="20"/>
    </w:rPr>
  </w:style>
  <w:style w:type="paragraph" w:styleId="BalloonText">
    <w:name w:val="Balloon Text"/>
    <w:basedOn w:val="Normal"/>
    <w:link w:val="BalloonTextChar"/>
    <w:uiPriority w:val="99"/>
    <w:semiHidden/>
    <w:unhideWhenUsed/>
    <w:rsid w:val="00AD2DB1"/>
    <w:rPr>
      <w:sz w:val="18"/>
      <w:szCs w:val="18"/>
    </w:rPr>
  </w:style>
  <w:style w:type="character" w:customStyle="1" w:styleId="BalloonTextChar">
    <w:name w:val="Balloon Text Char"/>
    <w:basedOn w:val="DefaultParagraphFont"/>
    <w:link w:val="BalloonText"/>
    <w:uiPriority w:val="99"/>
    <w:semiHidden/>
    <w:rsid w:val="00AD2D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3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Lee, Boon</cp:lastModifiedBy>
  <cp:revision>2</cp:revision>
  <dcterms:created xsi:type="dcterms:W3CDTF">2021-10-06T20:52:00Z</dcterms:created>
  <dcterms:modified xsi:type="dcterms:W3CDTF">2021-10-06T20:52:00Z</dcterms:modified>
</cp:coreProperties>
</file>