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47" w:rsidRPr="009972FC" w:rsidRDefault="00EA1147" w:rsidP="00EA114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9972FC">
        <w:rPr>
          <w:rFonts w:ascii="Arial" w:hAnsi="Arial" w:cs="Arial"/>
          <w:b/>
          <w:sz w:val="20"/>
          <w:szCs w:val="20"/>
        </w:rPr>
        <w:t>Supplementary Material</w:t>
      </w:r>
      <w:r w:rsidR="00A97C11">
        <w:rPr>
          <w:rFonts w:ascii="Arial" w:hAnsi="Arial" w:cs="Arial"/>
          <w:b/>
          <w:sz w:val="20"/>
          <w:szCs w:val="20"/>
        </w:rPr>
        <w:t>s</w:t>
      </w:r>
      <w:bookmarkStart w:id="0" w:name="_GoBack"/>
      <w:bookmarkEnd w:id="0"/>
    </w:p>
    <w:p w:rsidR="00EA1147" w:rsidRPr="009972FC" w:rsidRDefault="00EA1147" w:rsidP="00EA1147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9972FC">
        <w:rPr>
          <w:rFonts w:ascii="Arial" w:hAnsi="Arial" w:cs="Arial"/>
          <w:b/>
          <w:sz w:val="20"/>
          <w:szCs w:val="20"/>
        </w:rPr>
        <w:t xml:space="preserve">Table S1. </w:t>
      </w:r>
      <w:r w:rsidRPr="009972FC">
        <w:rPr>
          <w:rFonts w:ascii="Arial" w:hAnsi="Arial" w:cs="Arial"/>
          <w:sz w:val="20"/>
          <w:szCs w:val="20"/>
        </w:rPr>
        <w:t xml:space="preserve">The impact of compounds </w:t>
      </w:r>
      <w:r w:rsidRPr="009972FC">
        <w:rPr>
          <w:rFonts w:ascii="Arial" w:hAnsi="Arial" w:cs="Arial"/>
          <w:b/>
          <w:sz w:val="20"/>
          <w:szCs w:val="20"/>
        </w:rPr>
        <w:t>10b</w:t>
      </w:r>
      <w:r w:rsidRPr="009972FC">
        <w:rPr>
          <w:rFonts w:ascii="Arial" w:hAnsi="Arial" w:cs="Arial"/>
          <w:sz w:val="20"/>
          <w:szCs w:val="20"/>
        </w:rPr>
        <w:t xml:space="preserve"> and </w:t>
      </w:r>
      <w:r w:rsidRPr="009972FC">
        <w:rPr>
          <w:rFonts w:ascii="Arial" w:hAnsi="Arial" w:cs="Arial"/>
          <w:b/>
          <w:sz w:val="20"/>
          <w:szCs w:val="20"/>
        </w:rPr>
        <w:t>13b</w:t>
      </w:r>
      <w:r w:rsidRPr="009972FC">
        <w:rPr>
          <w:rFonts w:ascii="Arial" w:hAnsi="Arial" w:cs="Arial"/>
          <w:sz w:val="20"/>
          <w:szCs w:val="20"/>
        </w:rPr>
        <w:t xml:space="preserve"> on the absolute rat paw volume after carrageenan injection. Indomethacin was used as a reference drug. Experimental groups: C – control group receiving 0.5% CMC intragastrically (</w:t>
      </w:r>
      <w:r w:rsidRPr="009972FC">
        <w:rPr>
          <w:rFonts w:ascii="Arial" w:hAnsi="Arial" w:cs="Arial"/>
          <w:i/>
          <w:sz w:val="20"/>
          <w:szCs w:val="20"/>
        </w:rPr>
        <w:t xml:space="preserve">i.g.) </w:t>
      </w:r>
      <w:r w:rsidRPr="009972FC">
        <w:rPr>
          <w:rFonts w:ascii="Arial" w:hAnsi="Arial" w:cs="Arial"/>
          <w:sz w:val="20"/>
          <w:szCs w:val="20"/>
        </w:rPr>
        <w:t>and normal saline subplantarly (</w:t>
      </w:r>
      <w:r w:rsidRPr="009972FC">
        <w:rPr>
          <w:rFonts w:ascii="Arial" w:hAnsi="Arial" w:cs="Arial"/>
          <w:i/>
          <w:sz w:val="20"/>
          <w:szCs w:val="20"/>
        </w:rPr>
        <w:t>s.pl</w:t>
      </w:r>
      <w:r w:rsidRPr="009972FC">
        <w:rPr>
          <w:rFonts w:ascii="Arial" w:hAnsi="Arial" w:cs="Arial"/>
          <w:sz w:val="20"/>
          <w:szCs w:val="20"/>
        </w:rPr>
        <w:t xml:space="preserve">.); Car – carrageenan group receiving 0.5% CMC </w:t>
      </w:r>
      <w:r w:rsidRPr="009972FC">
        <w:rPr>
          <w:rFonts w:ascii="Arial" w:hAnsi="Arial" w:cs="Arial"/>
          <w:i/>
          <w:sz w:val="20"/>
          <w:szCs w:val="20"/>
        </w:rPr>
        <w:t>i.g.</w:t>
      </w:r>
      <w:r w:rsidRPr="009972FC">
        <w:rPr>
          <w:rFonts w:ascii="Arial" w:hAnsi="Arial" w:cs="Arial"/>
          <w:sz w:val="20"/>
          <w:szCs w:val="20"/>
        </w:rPr>
        <w:t xml:space="preserve"> and 1% carrageenan solution </w:t>
      </w:r>
      <w:r w:rsidRPr="009972FC">
        <w:rPr>
          <w:rFonts w:ascii="Arial" w:hAnsi="Arial" w:cs="Arial"/>
          <w:i/>
          <w:sz w:val="20"/>
          <w:szCs w:val="20"/>
        </w:rPr>
        <w:t>s.pl</w:t>
      </w:r>
      <w:r w:rsidRPr="009972FC">
        <w:rPr>
          <w:rFonts w:ascii="Arial" w:hAnsi="Arial" w:cs="Arial"/>
          <w:sz w:val="20"/>
          <w:szCs w:val="20"/>
        </w:rPr>
        <w:t xml:space="preserve">.; Ind – indomethacin group receiving </w:t>
      </w:r>
      <w:r w:rsidRPr="009972FC">
        <w:rPr>
          <w:rFonts w:ascii="Arial" w:hAnsi="Arial" w:cs="Arial"/>
          <w:bCs/>
          <w:sz w:val="20"/>
          <w:szCs w:val="20"/>
        </w:rPr>
        <w:t xml:space="preserve">10 mg/kg of indomethacin </w:t>
      </w:r>
      <w:r w:rsidRPr="009972FC">
        <w:rPr>
          <w:rFonts w:ascii="Arial" w:hAnsi="Arial" w:cs="Arial"/>
          <w:bCs/>
          <w:i/>
          <w:iCs/>
          <w:sz w:val="20"/>
          <w:szCs w:val="20"/>
        </w:rPr>
        <w:t xml:space="preserve">i.g. </w:t>
      </w:r>
      <w:r w:rsidRPr="009972FC">
        <w:rPr>
          <w:rFonts w:ascii="Arial" w:hAnsi="Arial" w:cs="Arial"/>
          <w:sz w:val="20"/>
          <w:szCs w:val="20"/>
        </w:rPr>
        <w:t xml:space="preserve">and 1% carrageenan solution </w:t>
      </w:r>
      <w:r w:rsidRPr="009972FC">
        <w:rPr>
          <w:rFonts w:ascii="Arial" w:hAnsi="Arial" w:cs="Arial"/>
          <w:i/>
          <w:sz w:val="20"/>
          <w:szCs w:val="20"/>
        </w:rPr>
        <w:t>s.pl</w:t>
      </w:r>
      <w:r w:rsidRPr="009972FC">
        <w:rPr>
          <w:rFonts w:ascii="Arial" w:hAnsi="Arial" w:cs="Arial"/>
          <w:sz w:val="20"/>
          <w:szCs w:val="20"/>
        </w:rPr>
        <w:t xml:space="preserve">.; </w:t>
      </w:r>
      <w:r w:rsidRPr="009972FC">
        <w:rPr>
          <w:rFonts w:ascii="Arial" w:hAnsi="Arial" w:cs="Arial"/>
          <w:b/>
          <w:sz w:val="20"/>
          <w:szCs w:val="20"/>
        </w:rPr>
        <w:t>10b</w:t>
      </w:r>
      <w:r w:rsidRPr="009972FC">
        <w:rPr>
          <w:rFonts w:ascii="Arial" w:hAnsi="Arial" w:cs="Arial"/>
          <w:sz w:val="20"/>
          <w:szCs w:val="20"/>
        </w:rPr>
        <w:t xml:space="preserve">-5, </w:t>
      </w:r>
      <w:r w:rsidRPr="009972FC">
        <w:rPr>
          <w:rFonts w:ascii="Arial" w:hAnsi="Arial" w:cs="Arial"/>
          <w:b/>
          <w:sz w:val="20"/>
          <w:szCs w:val="20"/>
        </w:rPr>
        <w:t>10b</w:t>
      </w:r>
      <w:r w:rsidRPr="009972FC">
        <w:rPr>
          <w:rFonts w:ascii="Arial" w:hAnsi="Arial" w:cs="Arial"/>
          <w:sz w:val="20"/>
          <w:szCs w:val="20"/>
        </w:rPr>
        <w:t xml:space="preserve">-10, and </w:t>
      </w:r>
      <w:r w:rsidRPr="009972FC">
        <w:rPr>
          <w:rFonts w:ascii="Arial" w:hAnsi="Arial" w:cs="Arial"/>
          <w:b/>
          <w:sz w:val="20"/>
          <w:szCs w:val="20"/>
        </w:rPr>
        <w:t>10b</w:t>
      </w:r>
      <w:r w:rsidRPr="009972FC">
        <w:rPr>
          <w:rFonts w:ascii="Arial" w:hAnsi="Arial" w:cs="Arial"/>
          <w:sz w:val="20"/>
          <w:szCs w:val="20"/>
        </w:rPr>
        <w:t xml:space="preserve">-20 – groups receiving, respectively, 5, 10 or 20 mg/kg of investigated compound </w:t>
      </w:r>
      <w:r w:rsidRPr="009972FC">
        <w:rPr>
          <w:rFonts w:ascii="Arial" w:hAnsi="Arial" w:cs="Arial"/>
          <w:b/>
          <w:sz w:val="20"/>
          <w:szCs w:val="20"/>
        </w:rPr>
        <w:t>10b</w:t>
      </w:r>
      <w:r w:rsidRPr="009972FC">
        <w:rPr>
          <w:rFonts w:ascii="Arial" w:hAnsi="Arial" w:cs="Arial"/>
          <w:sz w:val="20"/>
          <w:szCs w:val="20"/>
        </w:rPr>
        <w:t xml:space="preserve"> </w:t>
      </w:r>
      <w:r w:rsidRPr="009972FC">
        <w:rPr>
          <w:rFonts w:ascii="Arial" w:hAnsi="Arial" w:cs="Arial"/>
          <w:i/>
          <w:sz w:val="20"/>
          <w:szCs w:val="20"/>
        </w:rPr>
        <w:t>i.g.</w:t>
      </w:r>
      <w:r w:rsidRPr="009972FC">
        <w:rPr>
          <w:rFonts w:ascii="Arial" w:hAnsi="Arial" w:cs="Arial"/>
          <w:sz w:val="20"/>
          <w:szCs w:val="20"/>
        </w:rPr>
        <w:t xml:space="preserve"> and 1% carrageenan solution </w:t>
      </w:r>
      <w:r w:rsidRPr="009972FC">
        <w:rPr>
          <w:rFonts w:ascii="Arial" w:hAnsi="Arial" w:cs="Arial"/>
          <w:i/>
          <w:sz w:val="20"/>
          <w:szCs w:val="20"/>
        </w:rPr>
        <w:t>s.pl</w:t>
      </w:r>
      <w:r w:rsidRPr="009972FC">
        <w:rPr>
          <w:rFonts w:ascii="Arial" w:hAnsi="Arial" w:cs="Arial"/>
          <w:sz w:val="20"/>
          <w:szCs w:val="20"/>
        </w:rPr>
        <w:t xml:space="preserve">.; </w:t>
      </w:r>
      <w:r w:rsidRPr="009972FC">
        <w:rPr>
          <w:rFonts w:ascii="Arial" w:hAnsi="Arial" w:cs="Arial"/>
          <w:b/>
          <w:sz w:val="20"/>
          <w:szCs w:val="20"/>
        </w:rPr>
        <w:t>13b</w:t>
      </w:r>
      <w:r w:rsidRPr="009972FC">
        <w:rPr>
          <w:rFonts w:ascii="Arial" w:hAnsi="Arial" w:cs="Arial"/>
          <w:sz w:val="20"/>
          <w:szCs w:val="20"/>
        </w:rPr>
        <w:t xml:space="preserve">-5, </w:t>
      </w:r>
      <w:r w:rsidRPr="009972FC">
        <w:rPr>
          <w:rFonts w:ascii="Arial" w:hAnsi="Arial" w:cs="Arial"/>
          <w:b/>
          <w:sz w:val="20"/>
          <w:szCs w:val="20"/>
        </w:rPr>
        <w:t>13b</w:t>
      </w:r>
      <w:r w:rsidRPr="009972FC">
        <w:rPr>
          <w:rFonts w:ascii="Arial" w:hAnsi="Arial" w:cs="Arial"/>
          <w:sz w:val="20"/>
          <w:szCs w:val="20"/>
        </w:rPr>
        <w:t xml:space="preserve">-10, and </w:t>
      </w:r>
      <w:r w:rsidRPr="009972FC">
        <w:rPr>
          <w:rFonts w:ascii="Arial" w:hAnsi="Arial" w:cs="Arial"/>
          <w:b/>
          <w:sz w:val="20"/>
          <w:szCs w:val="20"/>
        </w:rPr>
        <w:t>13b</w:t>
      </w:r>
      <w:r w:rsidRPr="009972FC">
        <w:rPr>
          <w:rFonts w:ascii="Arial" w:hAnsi="Arial" w:cs="Arial"/>
          <w:sz w:val="20"/>
          <w:szCs w:val="20"/>
        </w:rPr>
        <w:t xml:space="preserve">-20 – groups receiving, respectively, 5, 10 or 20 mg/kg of investigated compound </w:t>
      </w:r>
      <w:r w:rsidRPr="009972FC">
        <w:rPr>
          <w:rFonts w:ascii="Arial" w:hAnsi="Arial" w:cs="Arial"/>
          <w:b/>
          <w:sz w:val="20"/>
          <w:szCs w:val="20"/>
        </w:rPr>
        <w:t>13b</w:t>
      </w:r>
      <w:r w:rsidRPr="009972FC">
        <w:rPr>
          <w:rFonts w:ascii="Arial" w:hAnsi="Arial" w:cs="Arial"/>
          <w:sz w:val="20"/>
          <w:szCs w:val="20"/>
        </w:rPr>
        <w:t xml:space="preserve"> </w:t>
      </w:r>
      <w:r w:rsidRPr="009972FC">
        <w:rPr>
          <w:rFonts w:ascii="Arial" w:hAnsi="Arial" w:cs="Arial"/>
          <w:i/>
          <w:sz w:val="20"/>
          <w:szCs w:val="20"/>
        </w:rPr>
        <w:t>i.g.</w:t>
      </w:r>
      <w:r w:rsidRPr="009972FC">
        <w:rPr>
          <w:rFonts w:ascii="Arial" w:hAnsi="Arial" w:cs="Arial"/>
          <w:sz w:val="20"/>
          <w:szCs w:val="20"/>
        </w:rPr>
        <w:t xml:space="preserve"> and 1% carrageenan solution </w:t>
      </w:r>
      <w:r w:rsidRPr="009972FC">
        <w:rPr>
          <w:rFonts w:ascii="Arial" w:hAnsi="Arial" w:cs="Arial"/>
          <w:i/>
          <w:sz w:val="20"/>
          <w:szCs w:val="20"/>
        </w:rPr>
        <w:t>s.pl</w:t>
      </w:r>
      <w:r w:rsidRPr="009972FC">
        <w:rPr>
          <w:rFonts w:ascii="Arial" w:hAnsi="Arial" w:cs="Arial"/>
          <w:sz w:val="20"/>
          <w:szCs w:val="20"/>
        </w:rPr>
        <w:t>. Data are presented as mean values ± SEM (n=12). Differences ** p&lt;0.01 vs. control group; *** p&lt;0.001 vs. control group; # p&lt;0.05 vs. carrageenan group; ### p&lt;0.001 vs. carrageenan group; ^^ p&lt;0.01 vs. indomethacin group; ^^^ p&lt;0.001 vs. indomethacin group were deemed statistically significant.</w:t>
      </w:r>
    </w:p>
    <w:tbl>
      <w:tblPr>
        <w:tblW w:w="90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674"/>
        <w:gridCol w:w="1674"/>
        <w:gridCol w:w="837"/>
        <w:gridCol w:w="837"/>
        <w:gridCol w:w="1674"/>
        <w:gridCol w:w="1674"/>
      </w:tblGrid>
      <w:tr w:rsidR="00EA1147" w:rsidRPr="009972FC" w:rsidTr="00B3591B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Group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0 h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1 h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2 h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3 h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 xml:space="preserve">6 h </w:t>
            </w:r>
          </w:p>
        </w:tc>
      </w:tr>
      <w:tr w:rsidR="00EA1147" w:rsidRPr="009972FC" w:rsidTr="00B3591B">
        <w:trPr>
          <w:trHeight w:val="300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1147" w:rsidRPr="009972FC" w:rsidRDefault="00EA1147" w:rsidP="00B3591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  <w:t>paw volume [ml]</w:t>
            </w:r>
          </w:p>
        </w:tc>
      </w:tr>
      <w:tr w:rsidR="00EA1147" w:rsidRPr="009972FC" w:rsidTr="00B3591B">
        <w:trPr>
          <w:trHeight w:val="345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 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1.47 ± 0.04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1.54 ± 0.04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1.57 ± 0.03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1.62 ± 0.02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1.58 ± 0.03</w:t>
            </w:r>
          </w:p>
        </w:tc>
      </w:tr>
      <w:tr w:rsidR="00EA1147" w:rsidRPr="009972FC" w:rsidTr="00B3591B">
        <w:trPr>
          <w:trHeight w:val="345"/>
        </w:trPr>
        <w:tc>
          <w:tcPr>
            <w:tcW w:w="720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Car</w:t>
            </w:r>
          </w:p>
        </w:tc>
        <w:tc>
          <w:tcPr>
            <w:tcW w:w="1674" w:type="dxa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1.47 ± 0.01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2.03 ± 0.02***</w:t>
            </w:r>
          </w:p>
        </w:tc>
        <w:tc>
          <w:tcPr>
            <w:tcW w:w="1674" w:type="dxa"/>
            <w:gridSpan w:val="2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2.64 ± 0.03***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2.92 ± 0.03***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3.48 ± 0.04***</w:t>
            </w:r>
          </w:p>
        </w:tc>
      </w:tr>
      <w:tr w:rsidR="00EA1147" w:rsidRPr="009972FC" w:rsidTr="00B3591B">
        <w:trPr>
          <w:trHeight w:val="345"/>
        </w:trPr>
        <w:tc>
          <w:tcPr>
            <w:tcW w:w="720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Ind</w:t>
            </w:r>
          </w:p>
        </w:tc>
        <w:tc>
          <w:tcPr>
            <w:tcW w:w="1674" w:type="dxa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1,49 ± 0.03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1.84 ± 0.05**</w:t>
            </w:r>
          </w:p>
        </w:tc>
        <w:tc>
          <w:tcPr>
            <w:tcW w:w="1674" w:type="dxa"/>
            <w:gridSpan w:val="2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1.90 ± 0.05**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1.90 ± 0.03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2.19 ± 0.06***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</w:t>
            </w:r>
          </w:p>
        </w:tc>
      </w:tr>
      <w:tr w:rsidR="00EA1147" w:rsidRPr="009972FC" w:rsidTr="00B3591B">
        <w:trPr>
          <w:trHeight w:val="345"/>
        </w:trPr>
        <w:tc>
          <w:tcPr>
            <w:tcW w:w="720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10b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-5</w:t>
            </w:r>
          </w:p>
        </w:tc>
        <w:tc>
          <w:tcPr>
            <w:tcW w:w="1674" w:type="dxa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1.48 ± 0.02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2.01 ± 0.04 ***</w:t>
            </w:r>
          </w:p>
        </w:tc>
        <w:tc>
          <w:tcPr>
            <w:tcW w:w="1674" w:type="dxa"/>
            <w:gridSpan w:val="2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2.36 ± 0.06***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#^^^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2.80 ± 0.07***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^^^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3.12 ± 0.07***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^^^</w:t>
            </w:r>
          </w:p>
        </w:tc>
      </w:tr>
      <w:tr w:rsidR="00EA1147" w:rsidRPr="009972FC" w:rsidTr="00B3591B">
        <w:trPr>
          <w:trHeight w:val="345"/>
        </w:trPr>
        <w:tc>
          <w:tcPr>
            <w:tcW w:w="720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10b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-10</w:t>
            </w:r>
          </w:p>
        </w:tc>
        <w:tc>
          <w:tcPr>
            <w:tcW w:w="1674" w:type="dxa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1.49 ± 0.02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1.97 ± 0.04***</w:t>
            </w:r>
          </w:p>
        </w:tc>
        <w:tc>
          <w:tcPr>
            <w:tcW w:w="1674" w:type="dxa"/>
            <w:gridSpan w:val="2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2.23 ± 0.03 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###^^^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2.34 ± 0.05***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###^^^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2.75 ± 0.06***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###^^^</w:t>
            </w:r>
          </w:p>
        </w:tc>
      </w:tr>
      <w:tr w:rsidR="00EA1147" w:rsidRPr="009972FC" w:rsidTr="00B3591B">
        <w:trPr>
          <w:trHeight w:val="345"/>
        </w:trPr>
        <w:tc>
          <w:tcPr>
            <w:tcW w:w="720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10b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-20</w:t>
            </w:r>
          </w:p>
        </w:tc>
        <w:tc>
          <w:tcPr>
            <w:tcW w:w="1674" w:type="dxa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1.49 ± 0.02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1.93 ± 0.07***</w:t>
            </w:r>
          </w:p>
        </w:tc>
        <w:tc>
          <w:tcPr>
            <w:tcW w:w="1674" w:type="dxa"/>
            <w:gridSpan w:val="2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2.06 ± 0.05 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2.11 ± 0.06***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2.50 ± 0.06***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</w:t>
            </w:r>
          </w:p>
        </w:tc>
      </w:tr>
      <w:tr w:rsidR="00EA1147" w:rsidRPr="009972FC" w:rsidTr="00B3591B">
        <w:trPr>
          <w:trHeight w:val="345"/>
        </w:trPr>
        <w:tc>
          <w:tcPr>
            <w:tcW w:w="720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13b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-5</w:t>
            </w:r>
          </w:p>
        </w:tc>
        <w:tc>
          <w:tcPr>
            <w:tcW w:w="1674" w:type="dxa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1.47 ± 0.02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1.98 ± 0.03***</w:t>
            </w:r>
          </w:p>
        </w:tc>
        <w:tc>
          <w:tcPr>
            <w:tcW w:w="1674" w:type="dxa"/>
            <w:gridSpan w:val="2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2.31 ± 0.04***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###^^^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2.49 ± 0.06***</w:t>
            </w:r>
            <w:r w:rsidRPr="00BC757F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##^^^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3.06 ± 0.08***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#^^^</w:t>
            </w:r>
          </w:p>
        </w:tc>
      </w:tr>
      <w:tr w:rsidR="00EA1147" w:rsidRPr="009972FC" w:rsidTr="00B3591B">
        <w:trPr>
          <w:trHeight w:val="345"/>
        </w:trPr>
        <w:tc>
          <w:tcPr>
            <w:tcW w:w="720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13b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-10</w:t>
            </w:r>
          </w:p>
        </w:tc>
        <w:tc>
          <w:tcPr>
            <w:tcW w:w="1674" w:type="dxa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1.48 ± 0.03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1.95 ± 0.03***</w:t>
            </w:r>
          </w:p>
        </w:tc>
        <w:tc>
          <w:tcPr>
            <w:tcW w:w="1674" w:type="dxa"/>
            <w:gridSpan w:val="2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2.14 ± 0.04***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2.17 ± 0.05***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###^^</w:t>
            </w:r>
          </w:p>
        </w:tc>
        <w:tc>
          <w:tcPr>
            <w:tcW w:w="1674" w:type="dxa"/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2.48 ± 0.05***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###^^^</w:t>
            </w:r>
          </w:p>
        </w:tc>
      </w:tr>
      <w:tr w:rsidR="00EA1147" w:rsidRPr="009972FC" w:rsidTr="00B3591B">
        <w:trPr>
          <w:trHeight w:val="34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13b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-20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1.48 ± 0.02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1.85 ± 0.04**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1.97 ± 0.04***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2.03 ± 0.06 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A1147" w:rsidRPr="009972FC" w:rsidRDefault="00EA1147" w:rsidP="00B3591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9972F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2.23 ± 0.04***</w:t>
            </w:r>
            <w:r w:rsidRPr="009972FC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pl-PL"/>
              </w:rPr>
              <w:t>###</w:t>
            </w:r>
          </w:p>
        </w:tc>
      </w:tr>
    </w:tbl>
    <w:p w:rsidR="00EA1147" w:rsidRPr="009972FC" w:rsidRDefault="00EA1147" w:rsidP="00EA1147">
      <w:pPr>
        <w:spacing w:before="120" w:after="12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9379A" w:rsidRPr="009972FC" w:rsidRDefault="0039379A">
      <w:pPr>
        <w:rPr>
          <w:rFonts w:ascii="Arial" w:hAnsi="Arial" w:cs="Arial"/>
          <w:sz w:val="20"/>
          <w:szCs w:val="20"/>
        </w:rPr>
      </w:pPr>
    </w:p>
    <w:sectPr w:rsidR="0039379A" w:rsidRPr="009972FC" w:rsidSect="0030169D">
      <w:pgSz w:w="11906" w:h="16838"/>
      <w:pgMar w:top="1417" w:right="1417" w:bottom="1417" w:left="141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47"/>
    <w:rsid w:val="0039379A"/>
    <w:rsid w:val="009972FC"/>
    <w:rsid w:val="00A97C11"/>
    <w:rsid w:val="00BC757F"/>
    <w:rsid w:val="00EA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D8A6"/>
  <w15:chartTrackingRefBased/>
  <w15:docId w15:val="{9D8306CD-7DCD-484B-951C-BF473DC8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1147"/>
    <w:pPr>
      <w:suppressAutoHyphens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.</dc:creator>
  <cp:keywords/>
  <dc:description/>
  <cp:lastModifiedBy>Marta .</cp:lastModifiedBy>
  <cp:revision>4</cp:revision>
  <dcterms:created xsi:type="dcterms:W3CDTF">2021-07-21T18:58:00Z</dcterms:created>
  <dcterms:modified xsi:type="dcterms:W3CDTF">2021-07-23T17:44:00Z</dcterms:modified>
</cp:coreProperties>
</file>