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D6F4" w14:textId="77777777" w:rsidR="002178D1" w:rsidRPr="002178D1" w:rsidRDefault="002178D1" w:rsidP="002178D1">
      <w:pPr>
        <w:spacing w:line="480" w:lineRule="auto"/>
        <w:rPr>
          <w:rFonts w:ascii="Arial" w:hAnsi="Arial" w:cs="Arial"/>
          <w:color w:val="000000" w:themeColor="text1"/>
          <w:sz w:val="20"/>
          <w:szCs w:val="21"/>
        </w:rPr>
      </w:pPr>
      <w:r w:rsidRPr="002178D1">
        <w:rPr>
          <w:rFonts w:ascii="Arial" w:hAnsi="Arial" w:cs="Arial"/>
          <w:color w:val="000000" w:themeColor="text1"/>
          <w:sz w:val="20"/>
          <w:szCs w:val="21"/>
        </w:rPr>
        <w:t>ORIGINAL RESEARCH</w:t>
      </w:r>
    </w:p>
    <w:p w14:paraId="277E0A49" w14:textId="77777777" w:rsidR="002178D1" w:rsidRPr="002178D1" w:rsidRDefault="002178D1" w:rsidP="002178D1">
      <w:pPr>
        <w:spacing w:line="480" w:lineRule="auto"/>
        <w:rPr>
          <w:rFonts w:ascii="Arial" w:hAnsi="Arial" w:cs="Arial"/>
          <w:color w:val="000000" w:themeColor="text1"/>
          <w:sz w:val="20"/>
          <w:szCs w:val="21"/>
        </w:rPr>
      </w:pPr>
      <w:r w:rsidRPr="002178D1">
        <w:rPr>
          <w:rFonts w:ascii="Arial" w:hAnsi="Arial" w:cs="Arial"/>
          <w:color w:val="000000" w:themeColor="text1"/>
          <w:sz w:val="20"/>
          <w:szCs w:val="21"/>
        </w:rPr>
        <w:t xml:space="preserve">Rong </w:t>
      </w:r>
      <w:proofErr w:type="spellStart"/>
      <w:r w:rsidRPr="002178D1">
        <w:rPr>
          <w:rFonts w:ascii="Arial" w:hAnsi="Arial" w:cs="Arial"/>
          <w:color w:val="000000" w:themeColor="text1"/>
          <w:sz w:val="20"/>
          <w:szCs w:val="21"/>
        </w:rPr>
        <w:t>Qiao</w:t>
      </w:r>
      <w:proofErr w:type="spellEnd"/>
      <w:r w:rsidRPr="002178D1">
        <w:rPr>
          <w:rFonts w:ascii="Arial" w:hAnsi="Arial" w:cs="Arial"/>
          <w:color w:val="000000" w:themeColor="text1"/>
          <w:sz w:val="20"/>
          <w:szCs w:val="21"/>
        </w:rPr>
        <w:t xml:space="preserve"> et al</w:t>
      </w:r>
    </w:p>
    <w:p w14:paraId="295D5C7A" w14:textId="2ED7D792" w:rsidR="002178D1" w:rsidRPr="002178D1" w:rsidRDefault="002178D1" w:rsidP="002178D1">
      <w:pPr>
        <w:rPr>
          <w:rFonts w:ascii="Arial" w:hAnsi="Arial" w:cs="Arial"/>
          <w:b/>
          <w:bCs/>
          <w:sz w:val="20"/>
          <w:szCs w:val="21"/>
        </w:rPr>
      </w:pPr>
      <w:r w:rsidRPr="002178D1">
        <w:rPr>
          <w:rFonts w:ascii="Arial" w:hAnsi="Arial" w:cs="Arial"/>
          <w:b/>
          <w:bCs/>
          <w:sz w:val="20"/>
          <w:szCs w:val="21"/>
        </w:rPr>
        <w:t xml:space="preserve">Title: The Association Between </w:t>
      </w:r>
      <w:r w:rsidRPr="002178D1">
        <w:rPr>
          <w:rFonts w:ascii="Arial" w:hAnsi="Arial" w:cs="Arial"/>
          <w:b/>
          <w:bCs/>
          <w:i/>
          <w:iCs/>
          <w:sz w:val="20"/>
          <w:szCs w:val="21"/>
        </w:rPr>
        <w:t>PNPLA2</w:t>
      </w:r>
      <w:r w:rsidRPr="002178D1">
        <w:rPr>
          <w:rFonts w:ascii="Arial" w:hAnsi="Arial" w:cs="Arial"/>
          <w:b/>
          <w:bCs/>
          <w:sz w:val="20"/>
          <w:szCs w:val="21"/>
        </w:rPr>
        <w:t xml:space="preserve"> Methylation in Peripheral Blood and Early-stage Lung Cancer in a Case-Control Study</w:t>
      </w:r>
    </w:p>
    <w:p w14:paraId="69FBD7FF" w14:textId="6DD0965A" w:rsidR="00D456C1" w:rsidRDefault="00EF7DDB"/>
    <w:p w14:paraId="7624E4DE" w14:textId="55E04190" w:rsidR="002178D1" w:rsidRDefault="002178D1">
      <w:pPr>
        <w:rPr>
          <w:rFonts w:ascii="Arial" w:hAnsi="Arial" w:cs="Arial"/>
          <w:b/>
          <w:bCs/>
          <w:sz w:val="20"/>
          <w:szCs w:val="21"/>
        </w:rPr>
      </w:pPr>
      <w:r w:rsidRPr="002178D1">
        <w:rPr>
          <w:rFonts w:ascii="Arial" w:hAnsi="Arial" w:cs="Arial"/>
          <w:b/>
          <w:bCs/>
          <w:sz w:val="20"/>
          <w:szCs w:val="21"/>
        </w:rPr>
        <w:t>Supplementary figure</w:t>
      </w:r>
      <w:r>
        <w:rPr>
          <w:rFonts w:ascii="Arial" w:hAnsi="Arial" w:cs="Arial"/>
          <w:b/>
          <w:bCs/>
          <w:sz w:val="20"/>
          <w:szCs w:val="21"/>
        </w:rPr>
        <w:br w:type="page"/>
      </w:r>
    </w:p>
    <w:p w14:paraId="21C56497" w14:textId="407722AA" w:rsidR="002178D1" w:rsidRDefault="002178D1">
      <w:r w:rsidRPr="004069FC">
        <w:rPr>
          <w:noProof/>
          <w:color w:val="0070C0"/>
        </w:rPr>
        <w:lastRenderedPageBreak/>
        <w:drawing>
          <wp:inline distT="0" distB="0" distL="0" distR="0" wp14:anchorId="15389CE0" wp14:editId="1974C7F9">
            <wp:extent cx="5274310" cy="264350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2643505"/>
                    </a:xfrm>
                    <a:prstGeom prst="rect">
                      <a:avLst/>
                    </a:prstGeom>
                    <a:noFill/>
                    <a:ln>
                      <a:noFill/>
                    </a:ln>
                  </pic:spPr>
                </pic:pic>
              </a:graphicData>
            </a:graphic>
          </wp:inline>
        </w:drawing>
      </w:r>
    </w:p>
    <w:p w14:paraId="44DBDD65" w14:textId="21D32BF5" w:rsidR="002178D1" w:rsidRPr="002178D1" w:rsidRDefault="002178D1" w:rsidP="002178D1">
      <w:pPr>
        <w:spacing w:line="480" w:lineRule="auto"/>
        <w:rPr>
          <w:rFonts w:ascii="Arial" w:hAnsi="Arial" w:cs="Arial"/>
          <w:color w:val="000000" w:themeColor="text1"/>
          <w:sz w:val="20"/>
          <w:szCs w:val="21"/>
        </w:rPr>
      </w:pPr>
      <w:r w:rsidRPr="00F9310D">
        <w:rPr>
          <w:rFonts w:ascii="Arial" w:hAnsi="Arial" w:cs="Arial"/>
          <w:b/>
          <w:bCs/>
          <w:color w:val="000000" w:themeColor="text1"/>
          <w:sz w:val="20"/>
          <w:szCs w:val="21"/>
        </w:rPr>
        <w:t>Supplementary Figure 1</w:t>
      </w:r>
      <w:r w:rsidRPr="002178D1">
        <w:rPr>
          <w:rFonts w:ascii="Arial" w:hAnsi="Arial" w:cs="Arial"/>
          <w:color w:val="000000" w:themeColor="text1"/>
          <w:sz w:val="20"/>
          <w:szCs w:val="21"/>
        </w:rPr>
        <w:t xml:space="preserve"> </w:t>
      </w:r>
      <w:bookmarkStart w:id="0" w:name="_Hlk81647650"/>
      <w:r w:rsidRPr="002178D1">
        <w:rPr>
          <w:rFonts w:ascii="Arial" w:hAnsi="Arial" w:cs="Arial"/>
          <w:color w:val="000000" w:themeColor="text1"/>
          <w:sz w:val="20"/>
          <w:szCs w:val="21"/>
        </w:rPr>
        <w:t>The MALDI-TOF mass spectrometry for the semi-</w:t>
      </w:r>
      <w:r w:rsidR="00EF7DDB">
        <w:rPr>
          <w:rFonts w:ascii="Arial" w:hAnsi="Arial" w:cs="Arial"/>
          <w:color w:val="000000" w:themeColor="text1"/>
          <w:sz w:val="20"/>
          <w:szCs w:val="21"/>
        </w:rPr>
        <w:t>quantitation</w:t>
      </w:r>
      <w:r w:rsidRPr="002178D1">
        <w:rPr>
          <w:rFonts w:ascii="Arial" w:hAnsi="Arial" w:cs="Arial"/>
          <w:color w:val="000000" w:themeColor="text1"/>
          <w:sz w:val="20"/>
          <w:szCs w:val="21"/>
        </w:rPr>
        <w:t xml:space="preserve"> of methylation analysis.</w:t>
      </w:r>
      <w:bookmarkEnd w:id="0"/>
      <w:r w:rsidRPr="002178D1">
        <w:rPr>
          <w:rFonts w:ascii="Arial" w:hAnsi="Arial" w:cs="Arial"/>
          <w:color w:val="000000" w:themeColor="text1"/>
          <w:sz w:val="20"/>
          <w:szCs w:val="21"/>
        </w:rPr>
        <w:t xml:space="preserve"> (A) The principle of the T-cleavage assay. The Shrimp Alkaline Phosphatase treated PCR products were </w:t>
      </w:r>
      <w:r w:rsidR="00246634" w:rsidRPr="00246634">
        <w:rPr>
          <w:rFonts w:ascii="Arial" w:hAnsi="Arial" w:cs="Arial"/>
          <w:color w:val="000000" w:themeColor="text1"/>
          <w:sz w:val="20"/>
          <w:szCs w:val="21"/>
        </w:rPr>
        <w:t>transcribed</w:t>
      </w:r>
      <w:r w:rsidRPr="002178D1">
        <w:rPr>
          <w:rFonts w:ascii="Arial" w:hAnsi="Arial" w:cs="Arial"/>
          <w:color w:val="000000" w:themeColor="text1"/>
          <w:sz w:val="20"/>
          <w:szCs w:val="21"/>
        </w:rPr>
        <w:t xml:space="preserve"> to RNA by T7 RNA polymerase, and then were cleaved to small fragments by RNase A, which made each fragment contain mostly only one CpG site. Therefore, each pair of fragments had only a mass difference between </w:t>
      </w:r>
      <w:hyperlink r:id="rId7" w:tgtFrame="_blank" w:history="1">
        <w:r w:rsidRPr="002178D1">
          <w:rPr>
            <w:rFonts w:ascii="Arial" w:hAnsi="Arial" w:cs="Arial"/>
            <w:color w:val="000000" w:themeColor="text1"/>
            <w:sz w:val="20"/>
            <w:szCs w:val="21"/>
          </w:rPr>
          <w:t>guanine (G)</w:t>
        </w:r>
      </w:hyperlink>
      <w:r w:rsidRPr="002178D1">
        <w:rPr>
          <w:rFonts w:ascii="Arial" w:hAnsi="Arial" w:cs="Arial"/>
          <w:color w:val="000000" w:themeColor="text1"/>
          <w:sz w:val="20"/>
          <w:szCs w:val="21"/>
        </w:rPr>
        <w:t xml:space="preserve"> and adenine (A), or say, 16 </w:t>
      </w:r>
      <w:r w:rsidR="00006E4A" w:rsidRPr="002178D1">
        <w:rPr>
          <w:rFonts w:ascii="Arial" w:hAnsi="Arial" w:cs="Arial"/>
          <w:color w:val="000000" w:themeColor="text1"/>
          <w:sz w:val="20"/>
          <w:szCs w:val="21"/>
        </w:rPr>
        <w:t>Daltons</w:t>
      </w:r>
      <w:r w:rsidRPr="002178D1">
        <w:rPr>
          <w:rFonts w:ascii="Arial" w:hAnsi="Arial" w:cs="Arial"/>
          <w:color w:val="000000" w:themeColor="text1"/>
          <w:sz w:val="20"/>
          <w:szCs w:val="21"/>
        </w:rPr>
        <w:t xml:space="preserve">. The relative amount of the methylated fragment versus </w:t>
      </w:r>
      <w:r w:rsidRPr="002178D1">
        <w:rPr>
          <w:rFonts w:ascii="Arial" w:eastAsia="DengXian" w:hAnsi="Arial" w:cs="Times New Roman"/>
          <w:bCs/>
          <w:kern w:val="0"/>
          <w:sz w:val="20"/>
          <w:szCs w:val="20"/>
          <w:lang w:val="fr-FR" w:eastAsia="en-US"/>
        </w:rPr>
        <w:t xml:space="preserve">the paired non-methylated fragment </w:t>
      </w:r>
      <w:r w:rsidR="00006E4A">
        <w:rPr>
          <w:rFonts w:ascii="Arial" w:eastAsia="DengXian" w:hAnsi="Arial" w:cs="Times New Roman"/>
          <w:bCs/>
          <w:kern w:val="0"/>
          <w:sz w:val="20"/>
          <w:szCs w:val="20"/>
          <w:lang w:val="fr-FR" w:eastAsia="en-US"/>
        </w:rPr>
        <w:t>indicated</w:t>
      </w:r>
      <w:r w:rsidR="00006E4A" w:rsidRPr="002178D1">
        <w:rPr>
          <w:rFonts w:ascii="Arial" w:eastAsia="DengXian" w:hAnsi="Arial" w:cs="Times New Roman"/>
          <w:bCs/>
          <w:kern w:val="0"/>
          <w:sz w:val="20"/>
          <w:szCs w:val="20"/>
          <w:lang w:val="fr-FR" w:eastAsia="en-US"/>
        </w:rPr>
        <w:t xml:space="preserve"> </w:t>
      </w:r>
      <w:r w:rsidRPr="002178D1">
        <w:rPr>
          <w:rFonts w:ascii="Arial" w:eastAsia="DengXian" w:hAnsi="Arial" w:cs="Times New Roman"/>
          <w:bCs/>
          <w:kern w:val="0"/>
          <w:sz w:val="20"/>
          <w:szCs w:val="20"/>
          <w:lang w:val="fr-FR" w:eastAsia="en-US"/>
        </w:rPr>
        <w:t xml:space="preserve">the methylation levels of the CpG site in the fragment. (B) </w:t>
      </w:r>
      <w:r w:rsidR="00006E4A" w:rsidRPr="002E1D20">
        <w:rPr>
          <w:rFonts w:ascii="Arial" w:hAnsi="Arial" w:cs="Arial"/>
          <w:color w:val="000000" w:themeColor="text1"/>
          <w:sz w:val="20"/>
          <w:szCs w:val="21"/>
        </w:rPr>
        <w:t>The representative figure of mass spectrometry for the illustration of methylation analysis.</w:t>
      </w:r>
      <w:r w:rsidRPr="002178D1">
        <w:rPr>
          <w:rFonts w:ascii="Arial" w:eastAsia="DengXian" w:hAnsi="Arial" w:cs="Times New Roman"/>
          <w:bCs/>
          <w:kern w:val="0"/>
          <w:sz w:val="20"/>
          <w:szCs w:val="20"/>
          <w:lang w:val="fr-FR" w:eastAsia="en-US"/>
        </w:rPr>
        <w:t xml:space="preserve"> The semi-quantitative methylation level of each CpG site </w:t>
      </w:r>
      <w:r w:rsidR="00006E4A">
        <w:rPr>
          <w:rFonts w:ascii="Arial" w:eastAsia="DengXian" w:hAnsi="Arial" w:cs="Times New Roman"/>
          <w:bCs/>
          <w:kern w:val="0"/>
          <w:sz w:val="20"/>
          <w:szCs w:val="20"/>
          <w:lang w:val="fr-FR" w:eastAsia="en-US"/>
        </w:rPr>
        <w:t>is</w:t>
      </w:r>
      <w:r w:rsidRPr="002178D1">
        <w:rPr>
          <w:rFonts w:ascii="Arial" w:eastAsia="DengXian" w:hAnsi="Arial" w:cs="Times New Roman"/>
          <w:bCs/>
          <w:kern w:val="0"/>
          <w:sz w:val="20"/>
          <w:szCs w:val="20"/>
          <w:lang w:val="fr-FR" w:eastAsia="en-US"/>
        </w:rPr>
        <w:t xml:space="preserve"> determined by comparing the area under the peak of the methylated fragment and the paired non-methylated fragment.</w:t>
      </w:r>
    </w:p>
    <w:p w14:paraId="3579BB29" w14:textId="77777777" w:rsidR="002178D1" w:rsidRPr="002178D1" w:rsidRDefault="002178D1"/>
    <w:sectPr w:rsidR="002178D1" w:rsidRPr="002178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240F3" w14:textId="77777777" w:rsidR="00727A1D" w:rsidRDefault="00727A1D" w:rsidP="00F25831">
      <w:r>
        <w:separator/>
      </w:r>
    </w:p>
  </w:endnote>
  <w:endnote w:type="continuationSeparator" w:id="0">
    <w:p w14:paraId="23994688" w14:textId="77777777" w:rsidR="00727A1D" w:rsidRDefault="00727A1D" w:rsidP="00F2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2909E" w14:textId="77777777" w:rsidR="00727A1D" w:rsidRDefault="00727A1D" w:rsidP="00F25831">
      <w:r>
        <w:separator/>
      </w:r>
    </w:p>
  </w:footnote>
  <w:footnote w:type="continuationSeparator" w:id="0">
    <w:p w14:paraId="5458E88E" w14:textId="77777777" w:rsidR="00727A1D" w:rsidRDefault="00727A1D" w:rsidP="00F25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D1"/>
    <w:rsid w:val="00006E4A"/>
    <w:rsid w:val="0003146A"/>
    <w:rsid w:val="002178D1"/>
    <w:rsid w:val="00246634"/>
    <w:rsid w:val="002E1D20"/>
    <w:rsid w:val="00727A1D"/>
    <w:rsid w:val="007E29C3"/>
    <w:rsid w:val="009D29BE"/>
    <w:rsid w:val="00A5247E"/>
    <w:rsid w:val="00A555F1"/>
    <w:rsid w:val="00C9798D"/>
    <w:rsid w:val="00EF7DDB"/>
    <w:rsid w:val="00F25831"/>
    <w:rsid w:val="00F93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FA9A03"/>
  <w15:chartTrackingRefBased/>
  <w15:docId w15:val="{364AA777-D0F7-498D-8070-65DDD3C5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qFormat/>
    <w:rsid w:val="002178D1"/>
    <w:pPr>
      <w:keepNext/>
      <w:widowControl/>
      <w:spacing w:before="240" w:after="60" w:line="480" w:lineRule="auto"/>
      <w:jc w:val="left"/>
      <w:outlineLvl w:val="0"/>
    </w:pPr>
    <w:rPr>
      <w:rFonts w:ascii="Arial" w:eastAsia="DengXian"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78D1"/>
    <w:rPr>
      <w:rFonts w:ascii="Arial" w:eastAsia="DengXian" w:hAnsi="Arial" w:cs="Arial"/>
      <w:b/>
      <w:bCs/>
      <w:kern w:val="32"/>
      <w:sz w:val="32"/>
      <w:szCs w:val="32"/>
      <w:lang w:eastAsia="en-US"/>
    </w:rPr>
  </w:style>
  <w:style w:type="paragraph" w:styleId="Header">
    <w:name w:val="header"/>
    <w:basedOn w:val="Normal"/>
    <w:link w:val="HeaderChar"/>
    <w:uiPriority w:val="99"/>
    <w:unhideWhenUsed/>
    <w:rsid w:val="00F2583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5831"/>
    <w:rPr>
      <w:sz w:val="18"/>
      <w:szCs w:val="18"/>
    </w:rPr>
  </w:style>
  <w:style w:type="paragraph" w:styleId="Footer">
    <w:name w:val="footer"/>
    <w:basedOn w:val="Normal"/>
    <w:link w:val="FooterChar"/>
    <w:uiPriority w:val="99"/>
    <w:unhideWhenUsed/>
    <w:rsid w:val="00F2583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58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idu.com/link?url=p7VZgt9e1sYpNORqKQU2Cl4kHPepZfEdrM8au6F5VlhxB0eetjbKNhO62sBWsAeuWpRitTmxe25Amg3zHnmT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summer</dc:creator>
  <cp:keywords/>
  <dc:description/>
  <cp:lastModifiedBy>Lee, Boon</cp:lastModifiedBy>
  <cp:revision>2</cp:revision>
  <dcterms:created xsi:type="dcterms:W3CDTF">2021-10-05T05:05:00Z</dcterms:created>
  <dcterms:modified xsi:type="dcterms:W3CDTF">2021-10-05T05:05:00Z</dcterms:modified>
</cp:coreProperties>
</file>