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D169" w14:textId="74B0CB41" w:rsidR="00DE070F" w:rsidRPr="00743B1C" w:rsidRDefault="00932007" w:rsidP="005E6A41">
      <w:pPr>
        <w:tabs>
          <w:tab w:val="center" w:pos="1717"/>
        </w:tabs>
        <w:jc w:val="center"/>
        <w:rPr>
          <w:rFonts w:ascii="Arial" w:eastAsia="SimSun" w:hAnsi="Arial" w:cs="Arial"/>
          <w:b/>
          <w:bCs/>
          <w:kern w:val="0"/>
          <w:sz w:val="36"/>
          <w:szCs w:val="36"/>
          <w:lang w:eastAsia="en-US"/>
        </w:rPr>
      </w:pPr>
      <w:r w:rsidRPr="00743B1C">
        <w:rPr>
          <w:rFonts w:ascii="Arial" w:eastAsia="SimSun" w:hAnsi="Arial" w:cs="Arial"/>
          <w:b/>
          <w:bCs/>
          <w:kern w:val="0"/>
          <w:sz w:val="36"/>
          <w:szCs w:val="36"/>
          <w:lang w:eastAsia="en-US"/>
        </w:rPr>
        <w:t>Supplementary I</w:t>
      </w:r>
      <w:r w:rsidRPr="00743B1C">
        <w:rPr>
          <w:rFonts w:ascii="Arial" w:eastAsia="SimSun" w:hAnsi="Arial" w:cs="Arial" w:hint="eastAsia"/>
          <w:b/>
          <w:bCs/>
          <w:kern w:val="0"/>
          <w:sz w:val="36"/>
          <w:szCs w:val="36"/>
        </w:rPr>
        <w:t>n</w:t>
      </w:r>
      <w:r w:rsidRPr="00743B1C">
        <w:rPr>
          <w:rFonts w:ascii="Arial" w:eastAsia="SimSun" w:hAnsi="Arial" w:cs="Arial"/>
          <w:b/>
          <w:bCs/>
          <w:kern w:val="0"/>
          <w:sz w:val="36"/>
          <w:szCs w:val="36"/>
          <w:lang w:eastAsia="en-US"/>
        </w:rPr>
        <w:t>formation</w:t>
      </w:r>
    </w:p>
    <w:p w14:paraId="07B4EB46" w14:textId="77777777" w:rsidR="0067739C" w:rsidRPr="00743B1C" w:rsidRDefault="0067739C" w:rsidP="0067739C">
      <w:pPr>
        <w:rPr>
          <w:rFonts w:ascii="Arial" w:hAnsi="Arial" w:cs="Arial"/>
          <w:b/>
          <w:bCs/>
          <w:kern w:val="32"/>
          <w:sz w:val="32"/>
          <w:szCs w:val="32"/>
        </w:rPr>
      </w:pPr>
      <w:bookmarkStart w:id="0" w:name="_Hlk69767038"/>
      <w:bookmarkStart w:id="1" w:name="OLE_LINK18"/>
      <w:r w:rsidRPr="00743B1C">
        <w:rPr>
          <w:rFonts w:ascii="Arial" w:hAnsi="Arial" w:cs="Arial"/>
          <w:b/>
          <w:bCs/>
          <w:kern w:val="32"/>
          <w:sz w:val="32"/>
          <w:szCs w:val="32"/>
        </w:rPr>
        <w:t xml:space="preserve">Enhancing of Nanocatalyst-Driven Chemodynaminc Therapy for Endometrial Cancer Cells </w:t>
      </w:r>
      <w:bookmarkEnd w:id="0"/>
      <w:r w:rsidRPr="00743B1C">
        <w:rPr>
          <w:rFonts w:ascii="Arial" w:hAnsi="Arial" w:cs="Arial"/>
          <w:b/>
          <w:bCs/>
          <w:kern w:val="32"/>
          <w:sz w:val="32"/>
          <w:szCs w:val="32"/>
        </w:rPr>
        <w:t>through Inhibition of PINK1/Parkin-Mediated Mitophagy</w:t>
      </w:r>
      <w:bookmarkEnd w:id="1"/>
    </w:p>
    <w:p w14:paraId="42B292C1" w14:textId="7C2BB366" w:rsidR="0067739C" w:rsidRPr="00743B1C" w:rsidRDefault="0067739C" w:rsidP="0067739C">
      <w:pPr>
        <w:rPr>
          <w:rFonts w:ascii="Arial" w:hAnsi="Arial" w:cs="Arial"/>
        </w:rPr>
      </w:pPr>
      <w:r w:rsidRPr="00743B1C">
        <w:rPr>
          <w:rFonts w:ascii="Arial" w:hAnsi="Arial" w:cs="Arial"/>
        </w:rPr>
        <w:t>Xiaodi Gong</w:t>
      </w:r>
      <w:bookmarkStart w:id="2" w:name="_Hlk68453780"/>
      <w:proofErr w:type="gramStart"/>
      <w:r w:rsidRPr="00743B1C">
        <w:rPr>
          <w:rFonts w:ascii="Arial" w:hAnsi="Arial" w:cs="Arial"/>
        </w:rPr>
        <w:t>1,*</w:t>
      </w:r>
      <w:proofErr w:type="gramEnd"/>
      <w:r w:rsidRPr="00743B1C">
        <w:rPr>
          <w:rFonts w:ascii="Arial" w:hAnsi="Arial" w:cs="Arial"/>
        </w:rPr>
        <w:t>, Xin Pu</w:t>
      </w:r>
      <w:bookmarkEnd w:id="2"/>
      <w:r w:rsidRPr="00743B1C">
        <w:rPr>
          <w:rFonts w:ascii="Arial" w:hAnsi="Arial" w:cs="Arial"/>
        </w:rPr>
        <w:t>4,*,</w:t>
      </w:r>
      <w:r w:rsidRPr="00743B1C">
        <w:rPr>
          <w:rFonts w:ascii="Arial" w:eastAsia="SimSun" w:hAnsi="Arial" w:cs="Arial"/>
          <w:sz w:val="24"/>
          <w:szCs w:val="20"/>
        </w:rPr>
        <w:t xml:space="preserve"> </w:t>
      </w:r>
      <w:r w:rsidRPr="00743B1C">
        <w:rPr>
          <w:rFonts w:ascii="Arial" w:hAnsi="Arial" w:cs="Arial"/>
        </w:rPr>
        <w:t>Jing Wang1,</w:t>
      </w:r>
      <w:bookmarkStart w:id="3" w:name="_Hlk73638043"/>
      <w:r w:rsidRPr="00743B1C">
        <w:rPr>
          <w:rFonts w:ascii="Arial" w:hAnsi="Arial" w:cs="Arial"/>
        </w:rPr>
        <w:t xml:space="preserve"> Linlin Yang1, </w:t>
      </w:r>
      <w:proofErr w:type="spellStart"/>
      <w:r w:rsidRPr="00743B1C">
        <w:rPr>
          <w:rFonts w:ascii="Arial" w:hAnsi="Arial" w:cs="Arial"/>
        </w:rPr>
        <w:t>Yunxia</w:t>
      </w:r>
      <w:proofErr w:type="spellEnd"/>
      <w:r w:rsidRPr="00743B1C">
        <w:rPr>
          <w:rFonts w:ascii="Arial" w:hAnsi="Arial" w:cs="Arial"/>
        </w:rPr>
        <w:t xml:space="preserve"> Cui1, </w:t>
      </w:r>
      <w:proofErr w:type="spellStart"/>
      <w:r w:rsidRPr="00743B1C">
        <w:rPr>
          <w:rFonts w:ascii="Arial" w:hAnsi="Arial" w:cs="Arial"/>
        </w:rPr>
        <w:t>Lijuan</w:t>
      </w:r>
      <w:proofErr w:type="spellEnd"/>
      <w:r w:rsidRPr="00743B1C">
        <w:rPr>
          <w:rFonts w:ascii="Arial" w:hAnsi="Arial" w:cs="Arial"/>
        </w:rPr>
        <w:t xml:space="preserve"> Li1,</w:t>
      </w:r>
      <w:r w:rsidRPr="00743B1C">
        <w:rPr>
          <w:rFonts w:ascii="Arial" w:hAnsi="Arial" w:cs="Arial"/>
          <w:vertAlign w:val="superscript"/>
        </w:rPr>
        <w:t xml:space="preserve"> </w:t>
      </w:r>
      <w:r w:rsidRPr="00743B1C">
        <w:rPr>
          <w:rFonts w:ascii="Arial" w:hAnsi="Arial" w:cs="Arial"/>
        </w:rPr>
        <w:t>Xiao Sun</w:t>
      </w:r>
      <w:bookmarkEnd w:id="3"/>
      <w:r w:rsidRPr="00743B1C">
        <w:rPr>
          <w:rFonts w:ascii="Arial" w:hAnsi="Arial" w:cs="Arial"/>
        </w:rPr>
        <w:t xml:space="preserve">1, </w:t>
      </w:r>
      <w:proofErr w:type="spellStart"/>
      <w:r w:rsidRPr="00743B1C">
        <w:rPr>
          <w:rFonts w:ascii="Arial" w:hAnsi="Arial" w:cs="Arial"/>
        </w:rPr>
        <w:t>Jichang</w:t>
      </w:r>
      <w:proofErr w:type="spellEnd"/>
      <w:r w:rsidRPr="00743B1C">
        <w:rPr>
          <w:rFonts w:ascii="Arial" w:hAnsi="Arial" w:cs="Arial"/>
        </w:rPr>
        <w:t xml:space="preserve"> Liu4, </w:t>
      </w:r>
      <w:bookmarkStart w:id="4" w:name="_Hlk80884668"/>
      <w:proofErr w:type="spellStart"/>
      <w:r w:rsidRPr="00743B1C">
        <w:rPr>
          <w:rFonts w:ascii="Arial" w:hAnsi="Arial" w:cs="Arial"/>
        </w:rPr>
        <w:t>Jingfeng</w:t>
      </w:r>
      <w:proofErr w:type="spellEnd"/>
      <w:r w:rsidRPr="00743B1C">
        <w:rPr>
          <w:rFonts w:ascii="Arial" w:hAnsi="Arial" w:cs="Arial"/>
        </w:rPr>
        <w:t xml:space="preserve"> Bai</w:t>
      </w:r>
      <w:bookmarkEnd w:id="4"/>
      <w:r w:rsidRPr="00743B1C">
        <w:rPr>
          <w:rFonts w:ascii="Arial" w:hAnsi="Arial" w:cs="Arial"/>
        </w:rPr>
        <w:t xml:space="preserve">3, </w:t>
      </w:r>
      <w:proofErr w:type="spellStart"/>
      <w:r w:rsidRPr="00743B1C">
        <w:rPr>
          <w:rFonts w:ascii="Arial" w:hAnsi="Arial" w:cs="Arial"/>
        </w:rPr>
        <w:t>Yudong</w:t>
      </w:r>
      <w:proofErr w:type="spellEnd"/>
      <w:r w:rsidRPr="00743B1C">
        <w:rPr>
          <w:rFonts w:ascii="Arial" w:hAnsi="Arial" w:cs="Arial"/>
        </w:rPr>
        <w:t xml:space="preserve"> Wang1,2</w:t>
      </w:r>
    </w:p>
    <w:p w14:paraId="338E5B1F" w14:textId="77777777" w:rsidR="00145F83" w:rsidRPr="00743B1C" w:rsidRDefault="00145F83" w:rsidP="0067739C">
      <w:pPr>
        <w:rPr>
          <w:rFonts w:ascii="Arial" w:hAnsi="Arial" w:cs="Arial"/>
        </w:rPr>
      </w:pPr>
    </w:p>
    <w:p w14:paraId="125A46DC" w14:textId="09B058DD" w:rsidR="0067739C" w:rsidRPr="00743B1C" w:rsidRDefault="0067739C" w:rsidP="0067739C">
      <w:pPr>
        <w:rPr>
          <w:rFonts w:ascii="Arial" w:hAnsi="Arial" w:cs="Arial"/>
        </w:rPr>
      </w:pPr>
      <w:r w:rsidRPr="00743B1C">
        <w:rPr>
          <w:rFonts w:ascii="Arial" w:hAnsi="Arial" w:cs="Arial"/>
          <w:noProof/>
        </w:rPr>
        <w:drawing>
          <wp:inline distT="0" distB="0" distL="0" distR="0" wp14:anchorId="4D4DDDB1" wp14:editId="6283F4E5">
            <wp:extent cx="2973324" cy="229057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324" cy="229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8A26F" w14:textId="7B56DA57" w:rsidR="0067739C" w:rsidRPr="00743B1C" w:rsidRDefault="0067739C" w:rsidP="0067739C">
      <w:pPr>
        <w:widowControl/>
        <w:spacing w:line="360" w:lineRule="auto"/>
        <w:rPr>
          <w:rFonts w:ascii="Arial" w:eastAsia="DengXian" w:hAnsi="Arial" w:cs="Arial"/>
          <w:bCs/>
          <w:kern w:val="0"/>
          <w:sz w:val="20"/>
          <w:szCs w:val="20"/>
          <w:lang w:eastAsia="en-US"/>
        </w:rPr>
      </w:pPr>
      <w:r w:rsidRPr="00743B1C">
        <w:rPr>
          <w:rFonts w:ascii="Arial" w:eastAsia="DengXian" w:hAnsi="Arial" w:cs="Arial"/>
          <w:b/>
          <w:kern w:val="0"/>
          <w:sz w:val="20"/>
          <w:szCs w:val="20"/>
          <w:lang w:eastAsia="en-US"/>
        </w:rPr>
        <w:t>Figure S1</w:t>
      </w:r>
      <w:r w:rsidRPr="00743B1C"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</w:rPr>
        <w:t xml:space="preserve">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UV-vis absorption of </w:t>
      </w:r>
      <w:bookmarkStart w:id="5" w:name="_Hlk54011271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ABTS at 500-900 nm </w:t>
      </w:r>
      <w:bookmarkEnd w:id="5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of ABTS/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H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O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 xml:space="preserve">, ABTS/nMIL-100(Fe) and </w:t>
      </w:r>
      <w:bookmarkStart w:id="6" w:name="_Hlk68386751"/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ABTS/H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O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/nMIL-100(Fe)</w:t>
      </w:r>
      <w:bookmarkEnd w:id="6"/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.</w:t>
      </w:r>
      <w:bookmarkStart w:id="7" w:name="OLE_LINK1"/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 xml:space="preserve"> </w:t>
      </w:r>
      <w:bookmarkStart w:id="8" w:name="_Hlk68387157"/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[A]=</w:t>
      </w:r>
      <w:bookmarkEnd w:id="7"/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ABTS 0.2×10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perscript"/>
          <w:lang w:eastAsia="en-US"/>
        </w:rPr>
        <w:t>-3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 xml:space="preserve"> M, [H]= H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O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 xml:space="preserve"> 50×10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perscript"/>
          <w:lang w:eastAsia="en-US"/>
        </w:rPr>
        <w:t>-6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 xml:space="preserve"> M, [M]=nMIL-100(Fe) ×100 </w:t>
      </w:r>
      <w:bookmarkStart w:id="9" w:name="_Hlk68614566"/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sym w:font="Symbol" w:char="F06D"/>
      </w:r>
      <w:bookmarkEnd w:id="9"/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g ml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vertAlign w:val="superscript"/>
          <w:lang w:eastAsia="en-US"/>
        </w:rPr>
        <w:t>-1</w:t>
      </w:r>
      <w:r w:rsidRPr="00743B1C">
        <w:rPr>
          <w:rFonts w:ascii="Arial" w:eastAsia="DengXian" w:hAnsi="Arial" w:cs="Arial"/>
          <w:bCs/>
          <w:kern w:val="0"/>
          <w:sz w:val="20"/>
          <w:szCs w:val="20"/>
          <w:lang w:eastAsia="en-US"/>
        </w:rPr>
        <w:t>.</w:t>
      </w:r>
    </w:p>
    <w:p w14:paraId="4E03440D" w14:textId="4E89EEB8" w:rsidR="0067739C" w:rsidRPr="00743B1C" w:rsidRDefault="0067739C" w:rsidP="0067739C">
      <w:pPr>
        <w:widowControl/>
        <w:spacing w:line="360" w:lineRule="auto"/>
        <w:rPr>
          <w:rFonts w:ascii="Arial" w:eastAsia="DengXian" w:hAnsi="Arial" w:cs="Arial"/>
          <w:bCs/>
          <w:kern w:val="0"/>
          <w:sz w:val="20"/>
          <w:szCs w:val="20"/>
          <w:lang w:eastAsia="en-US"/>
        </w:rPr>
      </w:pPr>
      <w:r w:rsidRPr="00743B1C">
        <w:rPr>
          <w:rFonts w:ascii="Arial" w:eastAsia="DengXian" w:hAnsi="Arial" w:cs="Arial"/>
          <w:bCs/>
          <w:noProof/>
          <w:kern w:val="0"/>
          <w:sz w:val="20"/>
          <w:szCs w:val="20"/>
          <w:lang w:eastAsia="en-US"/>
        </w:rPr>
        <w:drawing>
          <wp:inline distT="0" distB="0" distL="0" distR="0" wp14:anchorId="1C97E35C" wp14:editId="362932D8">
            <wp:extent cx="2933700" cy="2337816"/>
            <wp:effectExtent l="0" t="0" r="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33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p w14:paraId="79EC6AEA" w14:textId="65905AE3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DengXian" w:hAnsi="Arial" w:cs="Arial"/>
          <w:b/>
          <w:kern w:val="0"/>
          <w:sz w:val="20"/>
          <w:szCs w:val="20"/>
          <w:lang w:eastAsia="en-US"/>
        </w:rPr>
        <w:t>F</w:t>
      </w:r>
      <w:r w:rsidRPr="00743B1C">
        <w:rPr>
          <w:rFonts w:ascii="Arial" w:eastAsia="DengXian" w:hAnsi="Arial" w:cs="Arial" w:hint="eastAsia"/>
          <w:b/>
          <w:kern w:val="0"/>
          <w:sz w:val="20"/>
          <w:szCs w:val="20"/>
          <w:lang w:eastAsia="en-US"/>
        </w:rPr>
        <w:t>igure</w:t>
      </w:r>
      <w:r w:rsidRPr="00743B1C">
        <w:rPr>
          <w:rFonts w:ascii="Arial" w:eastAsia="DengXian" w:hAnsi="Arial" w:cs="Arial"/>
          <w:b/>
          <w:kern w:val="0"/>
          <w:sz w:val="20"/>
          <w:szCs w:val="20"/>
          <w:lang w:eastAsia="en-US"/>
        </w:rPr>
        <w:t xml:space="preserve"> S2</w:t>
      </w:r>
      <w:r w:rsidRPr="00743B1C">
        <w:rPr>
          <w:rFonts w:ascii="Times" w:eastAsia="SimSun" w:hAnsi="Times" w:cs="Times New Roman"/>
          <w:kern w:val="0"/>
          <w:sz w:val="24"/>
          <w:szCs w:val="20"/>
          <w:lang w:eastAsia="en-US"/>
        </w:rPr>
        <w:t xml:space="preserve">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PH values-dependent catalytic activity of nMIL-100(F</w:t>
      </w:r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e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) to ABTS. ABTS 0.2</w:t>
      </w:r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×</w:t>
      </w:r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10</w:t>
      </w:r>
      <w:r w:rsidRPr="00743B1C">
        <w:rPr>
          <w:rFonts w:ascii="Arial" w:eastAsia="SimSun" w:hAnsi="Arial" w:cs="Arial" w:hint="eastAsia"/>
          <w:kern w:val="0"/>
          <w:sz w:val="20"/>
          <w:szCs w:val="20"/>
          <w:vertAlign w:val="superscript"/>
          <w:lang w:eastAsia="en-US"/>
        </w:rPr>
        <w:t>-3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M, </w:t>
      </w:r>
      <w:bookmarkStart w:id="10" w:name="_Hlk68389233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nMIL-100(Fe) </w:t>
      </w:r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100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sym w:font="Symbol" w:char="F06D"/>
      </w:r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g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ml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>-1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, H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O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50</w:t>
      </w:r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×</w:t>
      </w:r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10</w:t>
      </w:r>
      <w:r w:rsidRPr="00743B1C">
        <w:rPr>
          <w:rFonts w:ascii="Arial" w:eastAsia="SimSun" w:hAnsi="Arial" w:cs="Arial" w:hint="eastAsia"/>
          <w:kern w:val="0"/>
          <w:sz w:val="20"/>
          <w:szCs w:val="20"/>
          <w:vertAlign w:val="superscript"/>
          <w:lang w:eastAsia="en-US"/>
        </w:rPr>
        <w:t>-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 xml:space="preserve">6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M</w:t>
      </w:r>
      <w:bookmarkEnd w:id="10"/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.</w:t>
      </w:r>
    </w:p>
    <w:p w14:paraId="6DFBAF2C" w14:textId="1366DB39" w:rsidR="0067739C" w:rsidRPr="00743B1C" w:rsidRDefault="0067739C" w:rsidP="0067739C">
      <w:pPr>
        <w:widowControl/>
        <w:spacing w:line="360" w:lineRule="auto"/>
        <w:rPr>
          <w:rFonts w:ascii="Times" w:eastAsia="SimSun" w:hAnsi="Times" w:cs="Times New Roman"/>
          <w:kern w:val="0"/>
          <w:sz w:val="24"/>
          <w:szCs w:val="20"/>
          <w:lang w:eastAsia="en-US"/>
        </w:rPr>
      </w:pPr>
      <w:r w:rsidRPr="00743B1C">
        <w:rPr>
          <w:rFonts w:ascii="Times" w:eastAsia="SimSun" w:hAnsi="Times" w:cs="Times New Roman"/>
          <w:noProof/>
          <w:kern w:val="0"/>
          <w:sz w:val="24"/>
          <w:szCs w:val="20"/>
          <w:lang w:eastAsia="en-US"/>
        </w:rPr>
        <w:lastRenderedPageBreak/>
        <w:drawing>
          <wp:inline distT="0" distB="0" distL="0" distR="0" wp14:anchorId="6BF4D07A" wp14:editId="49B08D1D">
            <wp:extent cx="4789932" cy="426872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932" cy="426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E971A" w14:textId="15227E2F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DengXian" w:hAnsi="Arial" w:cs="Arial"/>
          <w:b/>
          <w:kern w:val="0"/>
          <w:sz w:val="20"/>
          <w:szCs w:val="20"/>
          <w:lang w:eastAsia="en-US"/>
        </w:rPr>
        <w:t>F</w:t>
      </w:r>
      <w:r w:rsidRPr="00743B1C">
        <w:rPr>
          <w:rFonts w:ascii="Arial" w:eastAsia="DengXian" w:hAnsi="Arial" w:cs="Arial" w:hint="eastAsia"/>
          <w:b/>
          <w:kern w:val="0"/>
          <w:sz w:val="20"/>
          <w:szCs w:val="20"/>
          <w:lang w:eastAsia="en-US"/>
        </w:rPr>
        <w:t>igure</w:t>
      </w:r>
      <w:r w:rsidRPr="00743B1C">
        <w:rPr>
          <w:rFonts w:ascii="Arial" w:eastAsia="DengXian" w:hAnsi="Arial" w:cs="Arial"/>
          <w:b/>
          <w:kern w:val="0"/>
          <w:sz w:val="20"/>
          <w:szCs w:val="20"/>
          <w:lang w:eastAsia="en-US"/>
        </w:rPr>
        <w:t xml:space="preserve"> S3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(a-d) Cell viability detection of KLE </w:t>
      </w:r>
      <w:r w:rsidRPr="00743B1C">
        <w:rPr>
          <w:rFonts w:ascii="Arial" w:eastAsia="SimSun" w:hAnsi="Arial" w:cs="Arial" w:hint="eastAsia"/>
          <w:kern w:val="0"/>
          <w:sz w:val="20"/>
          <w:szCs w:val="20"/>
        </w:rPr>
        <w:t>and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</w:t>
      </w:r>
      <w:proofErr w:type="spellStart"/>
      <w:r w:rsidRPr="00743B1C">
        <w:rPr>
          <w:rFonts w:ascii="Arial" w:eastAsia="SimSun" w:hAnsi="Arial" w:cs="Arial" w:hint="eastAsia"/>
          <w:kern w:val="0"/>
          <w:sz w:val="20"/>
          <w:szCs w:val="20"/>
        </w:rPr>
        <w:t>hEEC</w:t>
      </w:r>
      <w:proofErr w:type="spellEnd"/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 xml:space="preserve"> cells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by CCK-8 assay </w:t>
      </w:r>
      <w:r w:rsidRPr="00743B1C">
        <w:rPr>
          <w:rFonts w:ascii="Arial" w:eastAsia="SimSun" w:hAnsi="Arial" w:cs="Arial" w:hint="eastAsia"/>
          <w:kern w:val="0"/>
          <w:sz w:val="20"/>
          <w:szCs w:val="20"/>
          <w:lang w:eastAsia="en-US"/>
        </w:rPr>
        <w:t>after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different administrations including nMIL-100(Fe)</w:t>
      </w:r>
      <w:bookmarkStart w:id="11" w:name="_Hlk68452652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</w:t>
      </w:r>
      <w:bookmarkEnd w:id="11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or </w:t>
      </w:r>
      <w:bookmarkStart w:id="12" w:name="_Hlk73644719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H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O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bookmarkEnd w:id="12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for 24 h. </w:t>
      </w:r>
    </w:p>
    <w:p w14:paraId="674F9315" w14:textId="5FAEF75E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SimSun" w:hAnsi="Arial" w:cs="Arial"/>
          <w:noProof/>
          <w:kern w:val="0"/>
          <w:sz w:val="20"/>
          <w:szCs w:val="20"/>
          <w:lang w:eastAsia="en-US"/>
        </w:rPr>
        <w:drawing>
          <wp:inline distT="0" distB="0" distL="0" distR="0" wp14:anchorId="5654C1C4" wp14:editId="6090782E">
            <wp:extent cx="3076956" cy="1673352"/>
            <wp:effectExtent l="0" t="0" r="9525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956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7C9A3" w14:textId="215F726D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SimSun" w:hAnsi="Arial" w:cs="Arial"/>
          <w:b/>
          <w:bCs/>
          <w:kern w:val="0"/>
          <w:sz w:val="20"/>
          <w:szCs w:val="20"/>
          <w:lang w:eastAsia="en-US"/>
        </w:rPr>
        <w:t>Figure S4</w:t>
      </w:r>
      <w:r w:rsidRPr="00743B1C">
        <w:rPr>
          <w:rFonts w:ascii="Times" w:eastAsia="SimSun" w:hAnsi="Times" w:cs="Times New Roman"/>
          <w:kern w:val="0"/>
          <w:sz w:val="24"/>
          <w:szCs w:val="20"/>
          <w:lang w:eastAsia="en-US"/>
        </w:rPr>
        <w:t> 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Flow cytometry analysis of KLE cells apoptosis after different treatments including 100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sym w:font="Symbol" w:char="F06D"/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g ml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>-1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nMIL-100(Fe) alone, 50×10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>-6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M</w:t>
      </w:r>
      <w:bookmarkStart w:id="13" w:name="_Hlk73644811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H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O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bookmarkEnd w:id="13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alone and a combination of both for 24 h and 48 h respectively. </w:t>
      </w:r>
    </w:p>
    <w:p w14:paraId="65B580C9" w14:textId="35C39FC9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SimSun" w:hAnsi="Arial" w:cs="Arial"/>
          <w:noProof/>
          <w:kern w:val="0"/>
          <w:sz w:val="20"/>
          <w:szCs w:val="20"/>
          <w:lang w:eastAsia="en-US"/>
        </w:rPr>
        <w:lastRenderedPageBreak/>
        <w:drawing>
          <wp:inline distT="0" distB="0" distL="0" distR="0" wp14:anchorId="2CD5A814" wp14:editId="70BF115D">
            <wp:extent cx="4114800" cy="2761488"/>
            <wp:effectExtent l="0" t="0" r="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F6288" w14:textId="6D0A17E4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SimSun" w:hAnsi="Arial" w:cs="Arial"/>
          <w:b/>
          <w:bCs/>
          <w:kern w:val="0"/>
          <w:sz w:val="20"/>
          <w:szCs w:val="20"/>
          <w:lang w:eastAsia="en-US"/>
        </w:rPr>
        <w:t>Figure S5</w:t>
      </w:r>
      <w:r w:rsidRPr="00743B1C">
        <w:rPr>
          <w:rFonts w:ascii="Times" w:eastAsia="SimSun" w:hAnsi="Times" w:cs="Times New Roman"/>
          <w:kern w:val="0"/>
          <w:sz w:val="24"/>
          <w:szCs w:val="20"/>
          <w:lang w:eastAsia="en-US"/>
        </w:rPr>
        <w:t xml:space="preserve">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(a) </w:t>
      </w:r>
      <w:bookmarkStart w:id="14" w:name="_Hlk69145663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Bivariate correlation analysis of CAT and ESR expression in human Uterine Corpus Endometrial Carcinoma from the TCGA database in GEPIA website</w:t>
      </w:r>
      <w:bookmarkEnd w:id="14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(</w:t>
      </w:r>
      <w:hyperlink r:id="rId11" w:anchor="correlation" w:history="1">
        <w:r w:rsidRPr="00743B1C">
          <w:rPr>
            <w:rFonts w:ascii="Arial" w:eastAsia="SimSun" w:hAnsi="Arial" w:cs="Arial"/>
            <w:kern w:val="0"/>
            <w:sz w:val="20"/>
            <w:szCs w:val="20"/>
            <w:lang w:eastAsia="en-US"/>
          </w:rPr>
          <w:t>http://gepia2.cancer-pku.cn/#correlation</w:t>
        </w:r>
      </w:hyperlink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) (R= 0.33, P = 4.6e-06). (b) The basic expression of Catalase in ISK and KLE cells by western blotting with GAPDH as a protein loading control.</w:t>
      </w:r>
    </w:p>
    <w:p w14:paraId="37437074" w14:textId="2C907084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SimSun" w:hAnsi="Arial" w:cs="Arial"/>
          <w:noProof/>
          <w:kern w:val="0"/>
          <w:sz w:val="20"/>
          <w:szCs w:val="20"/>
          <w:lang w:eastAsia="en-US"/>
        </w:rPr>
        <w:drawing>
          <wp:inline distT="0" distB="0" distL="0" distR="0" wp14:anchorId="3C394940" wp14:editId="4187B586">
            <wp:extent cx="4296156" cy="1028700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15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3E009" w14:textId="0E4BBA3D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bookmarkStart w:id="15" w:name="_Hlk68442161"/>
      <w:r w:rsidRPr="00743B1C">
        <w:rPr>
          <w:rFonts w:ascii="Arial" w:eastAsia="SimSun" w:hAnsi="Arial" w:cs="Arial"/>
          <w:b/>
          <w:bCs/>
          <w:kern w:val="0"/>
          <w:sz w:val="20"/>
          <w:szCs w:val="20"/>
          <w:lang w:eastAsia="en-US"/>
        </w:rPr>
        <w:t xml:space="preserve">Figure S6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Immunofluorescence analysis of the mitochondrial membrane potential (MMP) </w:t>
      </w:r>
      <w:proofErr w:type="spellStart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ΔΨm</w:t>
      </w:r>
      <w:proofErr w:type="spellEnd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(JC-1 red/green fluorescence intensity </w:t>
      </w:r>
      <w:proofErr w:type="spellStart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ratio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）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after</w:t>
      </w:r>
      <w:proofErr w:type="spellEnd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different treatment including control, 100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sym w:font="Symbol" w:char="F06D"/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g ml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>-1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nMIL-100(Fe) alone, 50×10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>-6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M </w:t>
      </w:r>
      <w:bookmarkStart w:id="16" w:name="_Hlk73644878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H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O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bookmarkEnd w:id="16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alone, a combination of both or a pretreatment of Mdivi-1 (5×10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>-6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M, 1 h) before the both additions for 24 h (scale bar is 10 µm). </w:t>
      </w:r>
    </w:p>
    <w:p w14:paraId="0A346080" w14:textId="7C89520F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SimSun" w:hAnsi="Arial" w:cs="Arial"/>
          <w:noProof/>
          <w:kern w:val="0"/>
          <w:sz w:val="20"/>
          <w:szCs w:val="20"/>
          <w:lang w:eastAsia="en-US"/>
        </w:rPr>
        <w:drawing>
          <wp:inline distT="0" distB="0" distL="0" distR="0" wp14:anchorId="3B1E0A1A" wp14:editId="79CCC735">
            <wp:extent cx="2653284" cy="2310384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84" cy="231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p w14:paraId="4F3690EF" w14:textId="77777777" w:rsidR="0067739C" w:rsidRPr="00743B1C" w:rsidRDefault="0067739C" w:rsidP="0067739C">
      <w:pPr>
        <w:widowControl/>
        <w:spacing w:line="360" w:lineRule="auto"/>
        <w:rPr>
          <w:rFonts w:ascii="Arial" w:eastAsia="SimSun" w:hAnsi="Arial" w:cs="Arial"/>
          <w:kern w:val="0"/>
          <w:sz w:val="20"/>
          <w:szCs w:val="20"/>
          <w:lang w:eastAsia="en-US"/>
        </w:rPr>
      </w:pPr>
      <w:r w:rsidRPr="00743B1C">
        <w:rPr>
          <w:rFonts w:ascii="Arial" w:eastAsia="SimSun" w:hAnsi="Arial" w:cs="Arial"/>
          <w:b/>
          <w:bCs/>
          <w:kern w:val="0"/>
          <w:sz w:val="20"/>
          <w:szCs w:val="20"/>
          <w:lang w:eastAsia="en-US"/>
        </w:rPr>
        <w:lastRenderedPageBreak/>
        <w:t>Figure S7</w:t>
      </w:r>
      <w:r w:rsidRPr="00743B1C">
        <w:rPr>
          <w:rFonts w:ascii="Times" w:eastAsia="SimSun" w:hAnsi="Times" w:cs="Times New Roman"/>
          <w:kern w:val="0"/>
          <w:sz w:val="24"/>
          <w:szCs w:val="20"/>
          <w:lang w:eastAsia="en-US"/>
        </w:rPr>
        <w:t xml:space="preserve">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The colocalization between green Parkin and red mitochondria tracker in ISK cells after M+H treatment for 6 h compared with control groups by Pearson's coefficient and </w:t>
      </w:r>
      <w:proofErr w:type="spellStart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Manders</w:t>
      </w:r>
      <w:proofErr w:type="spellEnd"/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overlap coefficients analysis. M+H: 100 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sym w:font="Symbol" w:char="F06D"/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g ml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>-1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nMIL-100(Fe) + 50×10</w:t>
      </w:r>
      <w:r w:rsidRPr="00743B1C">
        <w:rPr>
          <w:rFonts w:ascii="Arial" w:eastAsia="SimSun" w:hAnsi="Arial" w:cs="Arial"/>
          <w:kern w:val="0"/>
          <w:sz w:val="20"/>
          <w:szCs w:val="20"/>
          <w:vertAlign w:val="superscript"/>
          <w:lang w:eastAsia="en-US"/>
        </w:rPr>
        <w:t>-6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 xml:space="preserve"> M H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O</w:t>
      </w:r>
      <w:r w:rsidRPr="00743B1C">
        <w:rPr>
          <w:rFonts w:ascii="Arial" w:eastAsia="SimSun" w:hAnsi="Arial" w:cs="Arial"/>
          <w:kern w:val="0"/>
          <w:sz w:val="20"/>
          <w:szCs w:val="20"/>
          <w:vertAlign w:val="subscript"/>
          <w:lang w:eastAsia="en-US"/>
        </w:rPr>
        <w:t>2</w:t>
      </w:r>
      <w:r w:rsidRPr="00743B1C">
        <w:rPr>
          <w:rFonts w:ascii="Arial" w:eastAsia="SimSun" w:hAnsi="Arial" w:cs="Arial"/>
          <w:kern w:val="0"/>
          <w:sz w:val="20"/>
          <w:szCs w:val="20"/>
          <w:lang w:eastAsia="en-US"/>
        </w:rPr>
        <w:t>.</w:t>
      </w:r>
    </w:p>
    <w:p w14:paraId="68395B26" w14:textId="629779CD" w:rsidR="009C173A" w:rsidRPr="00743B1C" w:rsidRDefault="009C173A" w:rsidP="0067739C">
      <w:pPr>
        <w:spacing w:line="360" w:lineRule="auto"/>
        <w:jc w:val="center"/>
        <w:rPr>
          <w:rFonts w:ascii="Arial" w:eastAsia="SimSun" w:hAnsi="Arial" w:cs="Arial"/>
          <w:kern w:val="0"/>
          <w:sz w:val="20"/>
          <w:szCs w:val="20"/>
          <w:lang w:eastAsia="en-US"/>
        </w:rPr>
      </w:pPr>
    </w:p>
    <w:sectPr w:rsidR="009C173A" w:rsidRPr="0074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A4CA" w14:textId="77777777" w:rsidR="00D35377" w:rsidRDefault="00D35377" w:rsidP="00052E12">
      <w:r>
        <w:separator/>
      </w:r>
    </w:p>
  </w:endnote>
  <w:endnote w:type="continuationSeparator" w:id="0">
    <w:p w14:paraId="762A9958" w14:textId="77777777" w:rsidR="00D35377" w:rsidRDefault="00D35377" w:rsidP="000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0F46" w14:textId="77777777" w:rsidR="00D35377" w:rsidRDefault="00D35377" w:rsidP="00052E12">
      <w:r>
        <w:separator/>
      </w:r>
    </w:p>
  </w:footnote>
  <w:footnote w:type="continuationSeparator" w:id="0">
    <w:p w14:paraId="3206434C" w14:textId="77777777" w:rsidR="00D35377" w:rsidRDefault="00D35377" w:rsidP="0005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B6"/>
    <w:rsid w:val="00014EDA"/>
    <w:rsid w:val="0003360B"/>
    <w:rsid w:val="00041000"/>
    <w:rsid w:val="00052E12"/>
    <w:rsid w:val="0007061B"/>
    <w:rsid w:val="000737C3"/>
    <w:rsid w:val="000B511F"/>
    <w:rsid w:val="000F7739"/>
    <w:rsid w:val="00121BF4"/>
    <w:rsid w:val="0012266C"/>
    <w:rsid w:val="00135C80"/>
    <w:rsid w:val="0014212B"/>
    <w:rsid w:val="00145F83"/>
    <w:rsid w:val="00163D1A"/>
    <w:rsid w:val="0016618D"/>
    <w:rsid w:val="001777EB"/>
    <w:rsid w:val="001C6EF1"/>
    <w:rsid w:val="00224060"/>
    <w:rsid w:val="002955D3"/>
    <w:rsid w:val="00321D55"/>
    <w:rsid w:val="003423B6"/>
    <w:rsid w:val="00352C2A"/>
    <w:rsid w:val="00380678"/>
    <w:rsid w:val="00386574"/>
    <w:rsid w:val="00473DDC"/>
    <w:rsid w:val="004B712D"/>
    <w:rsid w:val="004E0669"/>
    <w:rsid w:val="00537857"/>
    <w:rsid w:val="005A289C"/>
    <w:rsid w:val="005E3591"/>
    <w:rsid w:val="005E6A41"/>
    <w:rsid w:val="00601340"/>
    <w:rsid w:val="00624508"/>
    <w:rsid w:val="0067739C"/>
    <w:rsid w:val="006A18E7"/>
    <w:rsid w:val="006E298E"/>
    <w:rsid w:val="006E740D"/>
    <w:rsid w:val="00706101"/>
    <w:rsid w:val="00706996"/>
    <w:rsid w:val="00717C7D"/>
    <w:rsid w:val="00743B1C"/>
    <w:rsid w:val="007479CB"/>
    <w:rsid w:val="00771590"/>
    <w:rsid w:val="00794E7C"/>
    <w:rsid w:val="007D4E2D"/>
    <w:rsid w:val="007D7CE4"/>
    <w:rsid w:val="00827116"/>
    <w:rsid w:val="00877424"/>
    <w:rsid w:val="008B0804"/>
    <w:rsid w:val="008D476F"/>
    <w:rsid w:val="009142DF"/>
    <w:rsid w:val="00932007"/>
    <w:rsid w:val="00961077"/>
    <w:rsid w:val="009C173A"/>
    <w:rsid w:val="00A01DD3"/>
    <w:rsid w:val="00A01F5F"/>
    <w:rsid w:val="00A07A90"/>
    <w:rsid w:val="00A1135E"/>
    <w:rsid w:val="00A4119B"/>
    <w:rsid w:val="00A50A08"/>
    <w:rsid w:val="00A67EDA"/>
    <w:rsid w:val="00A8784F"/>
    <w:rsid w:val="00B1140B"/>
    <w:rsid w:val="00B127DE"/>
    <w:rsid w:val="00B440BC"/>
    <w:rsid w:val="00B63FE7"/>
    <w:rsid w:val="00BE59A1"/>
    <w:rsid w:val="00C36903"/>
    <w:rsid w:val="00CA26D2"/>
    <w:rsid w:val="00D35377"/>
    <w:rsid w:val="00DC4544"/>
    <w:rsid w:val="00DC5E60"/>
    <w:rsid w:val="00DC762A"/>
    <w:rsid w:val="00DE070F"/>
    <w:rsid w:val="00E325A1"/>
    <w:rsid w:val="00E34C62"/>
    <w:rsid w:val="00E47AEE"/>
    <w:rsid w:val="00E65212"/>
    <w:rsid w:val="00E86D17"/>
    <w:rsid w:val="00E946AC"/>
    <w:rsid w:val="00EC6F8C"/>
    <w:rsid w:val="00ED71D7"/>
    <w:rsid w:val="00EF20DF"/>
    <w:rsid w:val="00F6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93302"/>
  <w15:chartTrackingRefBased/>
  <w15:docId w15:val="{AB2BC54B-496D-4395-8C8C-027DEC13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52E1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5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52E1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12D"/>
    <w:rPr>
      <w:color w:val="605E5C"/>
      <w:shd w:val="clear" w:color="auto" w:fill="E1DFDD"/>
    </w:rPr>
  </w:style>
  <w:style w:type="character" w:styleId="CommentReference">
    <w:name w:val="annotation reference"/>
    <w:semiHidden/>
    <w:rsid w:val="006773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739C"/>
    <w:pPr>
      <w:widowControl/>
      <w:spacing w:line="480" w:lineRule="auto"/>
      <w:ind w:firstLine="720"/>
      <w:jc w:val="left"/>
    </w:pPr>
    <w:rPr>
      <w:rFonts w:ascii="Arial" w:eastAsia="DengXian" w:hAnsi="Arial" w:cs="Times New Roman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7739C"/>
    <w:rPr>
      <w:rFonts w:ascii="Arial" w:eastAsia="DengXi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7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image" Target="media/image6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yperlink" Target="http://gepia2.cancer-pku.cn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changes liu</dc:creator>
  <cp:keywords/>
  <dc:description/>
  <cp:lastModifiedBy>Patel, Sonam Kajal</cp:lastModifiedBy>
  <cp:revision>3</cp:revision>
  <dcterms:created xsi:type="dcterms:W3CDTF">2021-09-01T09:45:00Z</dcterms:created>
  <dcterms:modified xsi:type="dcterms:W3CDTF">2021-09-01T22:05:00Z</dcterms:modified>
</cp:coreProperties>
</file>