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526FF" w14:textId="6D3E0319" w:rsidR="00827756" w:rsidRDefault="000F691E">
      <w:pPr>
        <w:rPr>
          <w:rFonts w:ascii="Palatino Linotype" w:hAnsi="Palatino Linotype"/>
          <w:sz w:val="20"/>
          <w:szCs w:val="20"/>
        </w:rPr>
      </w:pPr>
      <w:r w:rsidRPr="000F691E">
        <w:rPr>
          <w:rFonts w:ascii="Palatino Linotype" w:hAnsi="Palatino Linotype"/>
          <w:b/>
          <w:bCs/>
          <w:sz w:val="20"/>
          <w:szCs w:val="20"/>
        </w:rPr>
        <w:t>Table S2</w:t>
      </w:r>
      <w:r w:rsidRPr="000F691E">
        <w:rPr>
          <w:rFonts w:ascii="Palatino Linotype" w:hAnsi="Palatino Linotype"/>
          <w:sz w:val="20"/>
          <w:szCs w:val="20"/>
        </w:rPr>
        <w:t>. Go and KEGG analyses of OVOLs co-expression genes.</w:t>
      </w:r>
    </w:p>
    <w:tbl>
      <w:tblPr>
        <w:tblW w:w="8765" w:type="dxa"/>
        <w:jc w:val="center"/>
        <w:tblLook w:val="04A0" w:firstRow="1" w:lastRow="0" w:firstColumn="1" w:lastColumn="0" w:noHBand="0" w:noVBand="1"/>
      </w:tblPr>
      <w:tblGrid>
        <w:gridCol w:w="1913"/>
        <w:gridCol w:w="5049"/>
        <w:gridCol w:w="670"/>
        <w:gridCol w:w="496"/>
        <w:gridCol w:w="1056"/>
      </w:tblGrid>
      <w:tr w:rsidR="007675A0" w:rsidRPr="00CF7273" w14:paraId="3CA216BD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608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  <w:t>Category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C5E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  <w:t>Term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D04D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  <w:t>Count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52F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04B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b/>
                <w:bCs/>
                <w:color w:val="000000"/>
                <w:kern w:val="0"/>
                <w:sz w:val="16"/>
                <w:szCs w:val="16"/>
              </w:rPr>
              <w:t>P Value</w:t>
            </w:r>
          </w:p>
        </w:tc>
      </w:tr>
      <w:tr w:rsidR="007675A0" w:rsidRPr="00CF7273" w14:paraId="42D26B63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142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A8B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GO:0000122~negative regulation of transcription from RNA polymerase II promoter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27F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B3A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CD3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2.80E-06</w:t>
            </w:r>
          </w:p>
        </w:tc>
      </w:tr>
      <w:tr w:rsidR="007675A0" w:rsidRPr="00CF7273" w14:paraId="00804F4F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80B8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ED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GO:0045944~positive regulation of transcription from RNA polymerase II promoter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FF2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F8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10.8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9D8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5.91E-05</w:t>
            </w:r>
          </w:p>
        </w:tc>
      </w:tr>
      <w:tr w:rsidR="007675A0" w:rsidRPr="00CF7273" w14:paraId="3145F873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3D5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78C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GO:0030520~intracellular estrogen receptor signaling pathway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AD7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0218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538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8.69E-05</w:t>
            </w:r>
          </w:p>
        </w:tc>
      </w:tr>
      <w:tr w:rsidR="007675A0" w:rsidRPr="00CF7273" w14:paraId="0BCCF675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132A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25B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GO:0006351~transcription, DNA-templated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008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F81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16.8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257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9.10E-05</w:t>
            </w:r>
          </w:p>
        </w:tc>
      </w:tr>
      <w:tr w:rsidR="007675A0" w:rsidRPr="00CF7273" w14:paraId="20676481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A5E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0F4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GO:0006338~chromatin remodeling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869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25B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54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4.68E-04</w:t>
            </w:r>
          </w:p>
        </w:tc>
      </w:tr>
      <w:tr w:rsidR="007675A0" w:rsidRPr="00CF7273" w14:paraId="3ED54713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A5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AAC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GO:0006366~transcription from RNA polymerase II promoter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1D2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8BD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6.4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FBC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8.85E-04</w:t>
            </w:r>
          </w:p>
        </w:tc>
      </w:tr>
      <w:tr w:rsidR="007675A0" w:rsidRPr="00CF7273" w14:paraId="793FDD81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789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5C9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GO:1904837~beta-catenin-TCF complex assembly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29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825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5C5A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0.001470607</w:t>
            </w:r>
          </w:p>
        </w:tc>
      </w:tr>
      <w:tr w:rsidR="007675A0" w:rsidRPr="00CF7273" w14:paraId="0D4611C0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A4E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583A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GO:0001843~neural tube closure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990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F05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2.4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204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0.001926747</w:t>
            </w:r>
          </w:p>
        </w:tc>
      </w:tr>
      <w:tr w:rsidR="007675A0" w:rsidRPr="00CF7273" w14:paraId="5F72D811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BC2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0AD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GO:0016569~covalent chromatin modification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146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964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98E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0.001948049</w:t>
            </w:r>
          </w:p>
        </w:tc>
      </w:tr>
      <w:tr w:rsidR="007675A0" w:rsidRPr="00CF7273" w14:paraId="3E39A54A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F19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GOTERM_BP_DIRECT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4F6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GO:0043044~ATP-dependent chromatin remodeling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C77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769A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BF4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0.002234692</w:t>
            </w:r>
          </w:p>
        </w:tc>
      </w:tr>
      <w:tr w:rsidR="007675A0" w:rsidRPr="00CF7273" w14:paraId="49F51DBC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DEF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ECA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GO:0005634~nucleus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0E2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83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94B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33.2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E51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0.001648767</w:t>
            </w:r>
          </w:p>
        </w:tc>
      </w:tr>
      <w:tr w:rsidR="007675A0" w:rsidRPr="00CF7273" w14:paraId="383A9D5A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9D98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CA6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GO:0000790~nuclear chromatin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9B4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D66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9D7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0.001715351</w:t>
            </w:r>
          </w:p>
        </w:tc>
      </w:tr>
      <w:tr w:rsidR="007675A0" w:rsidRPr="00CF7273" w14:paraId="3C6791A5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507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166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GO:0005667~transcription factor complex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906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288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536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0.001715351</w:t>
            </w:r>
          </w:p>
        </w:tc>
      </w:tr>
      <w:tr w:rsidR="007675A0" w:rsidRPr="00CF7273" w14:paraId="7451F3F1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45E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818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GO:0005654~nucleoplasm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329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CD09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19.6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B30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0.001864461</w:t>
            </w:r>
          </w:p>
        </w:tc>
      </w:tr>
      <w:tr w:rsidR="007675A0" w:rsidRPr="00CF7273" w14:paraId="527FEBFF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68C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4AE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GO:0030991~intraciliary transport particle A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5B6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503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F56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0.003469445</w:t>
            </w:r>
          </w:p>
        </w:tc>
      </w:tr>
      <w:tr w:rsidR="007675A0" w:rsidRPr="00CF7273" w14:paraId="4F01A662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7A58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3A3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GO:0035578~azurophil granule lumen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1FC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266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63C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0.044882033</w:t>
            </w:r>
          </w:p>
        </w:tc>
      </w:tr>
      <w:tr w:rsidR="007675A0" w:rsidRPr="00CF7273" w14:paraId="448DB87D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E18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GOTERM_CC_DIRECT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EA4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GO:1990130~Iml1 complex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F8D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042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3BC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0.044882033</w:t>
            </w:r>
          </w:p>
        </w:tc>
      </w:tr>
      <w:tr w:rsidR="007675A0" w:rsidRPr="00CF7273" w14:paraId="074FCF2E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217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A22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GO:0003677~DNA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D78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51F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81D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9.43E-06</w:t>
            </w:r>
          </w:p>
        </w:tc>
      </w:tr>
      <w:tr w:rsidR="007675A0" w:rsidRPr="00CF7273" w14:paraId="7621BC63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C26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713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GO:0001085~RNA polymerase II transcription factor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205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0BD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2.4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12B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1.84E-04</w:t>
            </w:r>
          </w:p>
        </w:tc>
      </w:tr>
      <w:tr w:rsidR="007675A0" w:rsidRPr="00CF7273" w14:paraId="39FA2AF3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0DD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A05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GO:0003682~chromatin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074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97A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438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5.24E-04</w:t>
            </w:r>
          </w:p>
        </w:tc>
      </w:tr>
      <w:tr w:rsidR="007675A0" w:rsidRPr="00CF7273" w14:paraId="21F23B2F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84F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E08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GO:0000981~RNA polymerase II transcription factor activity, sequence-specific DNA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CC1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972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40A8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7.43E-04</w:t>
            </w:r>
          </w:p>
        </w:tc>
      </w:tr>
      <w:tr w:rsidR="007675A0" w:rsidRPr="00CF7273" w14:paraId="5B470C13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3EDB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4E05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GO:0001077~transcriptional activator activity, RNA polymerase II core promoter proximal region sequence-specific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F65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A63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900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0.001494164</w:t>
            </w:r>
          </w:p>
        </w:tc>
      </w:tr>
      <w:tr w:rsidR="007675A0" w:rsidRPr="00CF7273" w14:paraId="2DF4B054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2E6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49F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GO:0017137~Rab GTPase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5DC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7B1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A6E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0.004211134</w:t>
            </w:r>
          </w:p>
        </w:tc>
      </w:tr>
      <w:tr w:rsidR="007675A0" w:rsidRPr="00CF7273" w14:paraId="5E034C04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5A23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BF7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GO:0043565~sequence-specific DNA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0E6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348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C25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0.006162479</w:t>
            </w:r>
          </w:p>
        </w:tc>
      </w:tr>
      <w:tr w:rsidR="007675A0" w:rsidRPr="00CF7273" w14:paraId="4EECF072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2B5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918C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GO:0000978~RNA polymerase II core promoter proximal region sequence-specific DNA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A0D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4BE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4.4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9BF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0.007289279</w:t>
            </w:r>
          </w:p>
        </w:tc>
      </w:tr>
      <w:tr w:rsidR="007675A0" w:rsidRPr="00CF7273" w14:paraId="6C59CD68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305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4BCD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GO:0032041~NAD-dependent histone deacetylase activity (H3-K14 specific)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DB5A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EA6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6208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0.007801019</w:t>
            </w:r>
          </w:p>
        </w:tc>
      </w:tr>
      <w:tr w:rsidR="007675A0" w:rsidRPr="00CF7273" w14:paraId="5597632B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C6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GOTERM_MF_DIRECT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CB5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GO:0000977~RNA polymerase II regulatory region sequence-specific DNA binding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A7B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1E2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3.2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B220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0.009579445</w:t>
            </w:r>
          </w:p>
        </w:tc>
      </w:tr>
      <w:tr w:rsidR="007675A0" w:rsidRPr="00CF7273" w14:paraId="074EE37E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57E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KEGG_PATHWAY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958E" w14:textId="77C5C884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hsa04360:</w:t>
            </w:r>
            <w:r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 xml:space="preserve"> </w:t>
            </w: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Axon guidance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264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51E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A69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0.031593326</w:t>
            </w:r>
          </w:p>
        </w:tc>
      </w:tr>
      <w:tr w:rsidR="007675A0" w:rsidRPr="00CF7273" w14:paraId="0E133372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11F1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KEGG_PATHWAY</w:t>
            </w:r>
          </w:p>
        </w:tc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3B17" w14:textId="02E073C4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hsa04919:</w:t>
            </w:r>
            <w:r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 xml:space="preserve"> </w:t>
            </w: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Thyroid hormone signaling pathway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DAF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0814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B2A6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0.094484459</w:t>
            </w:r>
          </w:p>
        </w:tc>
      </w:tr>
      <w:tr w:rsidR="007675A0" w:rsidRPr="00CF7273" w14:paraId="4D9EFB76" w14:textId="77777777" w:rsidTr="00A971D3">
        <w:trPr>
          <w:trHeight w:val="276"/>
          <w:jc w:val="center"/>
        </w:trPr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452E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KEGG_PATHWAY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A1FF" w14:textId="5A261AD6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hsa00130:</w:t>
            </w:r>
            <w:r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 xml:space="preserve"> </w:t>
            </w: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Ubiquinone and other terpenoid-quinone biosynthesis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67487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11E0F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F612" w14:textId="77777777" w:rsidR="00CF7273" w:rsidRPr="00CF7273" w:rsidRDefault="00CF7273" w:rsidP="00CF7273">
            <w:pPr>
              <w:widowControl/>
              <w:jc w:val="left"/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</w:pPr>
            <w:r w:rsidRPr="00CF7273">
              <w:rPr>
                <w:rFonts w:ascii="Book Antiqua" w:eastAsia="宋体" w:hAnsi="Book Antiqua" w:cs="宋体"/>
                <w:color w:val="000000"/>
                <w:kern w:val="0"/>
                <w:sz w:val="16"/>
                <w:szCs w:val="16"/>
              </w:rPr>
              <w:t>0.099234259</w:t>
            </w:r>
          </w:p>
        </w:tc>
      </w:tr>
    </w:tbl>
    <w:p w14:paraId="7F09BA08" w14:textId="77777777" w:rsidR="000F691E" w:rsidRPr="000F691E" w:rsidRDefault="000F691E">
      <w:pPr>
        <w:rPr>
          <w:rFonts w:ascii="Palatino Linotype" w:hAnsi="Palatino Linotype"/>
          <w:sz w:val="20"/>
          <w:szCs w:val="20"/>
        </w:rPr>
      </w:pPr>
    </w:p>
    <w:sectPr w:rsidR="000F691E" w:rsidRPr="000F6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09FAC" w14:textId="77777777" w:rsidR="00075028" w:rsidRDefault="00075028" w:rsidP="000F691E">
      <w:r>
        <w:separator/>
      </w:r>
    </w:p>
  </w:endnote>
  <w:endnote w:type="continuationSeparator" w:id="0">
    <w:p w14:paraId="603F5C30" w14:textId="77777777" w:rsidR="00075028" w:rsidRDefault="00075028" w:rsidP="000F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36BB3" w14:textId="77777777" w:rsidR="00075028" w:rsidRDefault="00075028" w:rsidP="000F691E">
      <w:r>
        <w:separator/>
      </w:r>
    </w:p>
  </w:footnote>
  <w:footnote w:type="continuationSeparator" w:id="0">
    <w:p w14:paraId="1A7C458C" w14:textId="77777777" w:rsidR="00075028" w:rsidRDefault="00075028" w:rsidP="000F69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B7F"/>
    <w:rsid w:val="00072B17"/>
    <w:rsid w:val="00075028"/>
    <w:rsid w:val="000F691E"/>
    <w:rsid w:val="001576E8"/>
    <w:rsid w:val="00367419"/>
    <w:rsid w:val="00442B7F"/>
    <w:rsid w:val="007675A0"/>
    <w:rsid w:val="0078544D"/>
    <w:rsid w:val="00827756"/>
    <w:rsid w:val="00A971D3"/>
    <w:rsid w:val="00CF7273"/>
    <w:rsid w:val="00D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619F1"/>
  <w15:chartTrackingRefBased/>
  <w15:docId w15:val="{DD3A5E53-F682-4198-B62F-5CAAE0F6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69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69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69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2021-07-14T06:59:00Z</dcterms:created>
  <dcterms:modified xsi:type="dcterms:W3CDTF">2021-07-14T09:06:00Z</dcterms:modified>
</cp:coreProperties>
</file>