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2D110" w14:textId="77777777" w:rsidR="00C94139" w:rsidRDefault="00C94139" w:rsidP="00C94139">
      <w:pPr>
        <w:jc w:val="both"/>
        <w:rPr>
          <w:rFonts w:asciiTheme="minorHAnsi" w:hAnsiTheme="minorHAnsi" w:cstheme="minorHAnsi"/>
          <w:b/>
          <w:bCs/>
          <w:sz w:val="28"/>
          <w:szCs w:val="28"/>
        </w:rPr>
      </w:pPr>
      <w:bookmarkStart w:id="0" w:name="_Hlk61852467"/>
      <w:bookmarkEnd w:id="0"/>
      <w:r w:rsidRPr="004C419E">
        <w:rPr>
          <w:rFonts w:asciiTheme="minorHAnsi" w:hAnsiTheme="minorHAnsi" w:cstheme="minorHAnsi"/>
          <w:b/>
          <w:bCs/>
          <w:i/>
          <w:sz w:val="36"/>
          <w:szCs w:val="36"/>
        </w:rPr>
        <w:t>NUDT15</w:t>
      </w:r>
      <w:r w:rsidRPr="0097040E">
        <w:rPr>
          <w:rFonts w:asciiTheme="minorHAnsi" w:hAnsiTheme="minorHAnsi" w:cstheme="minorHAnsi"/>
          <w:b/>
          <w:bCs/>
          <w:sz w:val="36"/>
          <w:szCs w:val="36"/>
        </w:rPr>
        <w:t xml:space="preserve"> c.415C&gt;T</w:t>
      </w:r>
      <w:r w:rsidRPr="004C419E">
        <w:rPr>
          <w:rFonts w:asciiTheme="minorHAnsi" w:hAnsiTheme="minorHAnsi" w:cstheme="minorHAnsi"/>
          <w:b/>
          <w:bCs/>
          <w:sz w:val="36"/>
          <w:szCs w:val="36"/>
        </w:rPr>
        <w:t xml:space="preserve"> polymorphism predicts 6-MP induced early myelotoxicity in ALL patients undergoing maintenance therapy</w:t>
      </w:r>
    </w:p>
    <w:p w14:paraId="684B5004" w14:textId="77777777" w:rsidR="00C94139" w:rsidRPr="001C2DD7" w:rsidRDefault="00C94139" w:rsidP="00C94139">
      <w:pPr>
        <w:jc w:val="both"/>
        <w:rPr>
          <w:rFonts w:asciiTheme="minorHAnsi" w:hAnsiTheme="minorHAnsi" w:cstheme="minorHAnsi"/>
          <w:b/>
          <w:bCs/>
          <w:sz w:val="28"/>
          <w:szCs w:val="28"/>
        </w:rPr>
      </w:pPr>
    </w:p>
    <w:p w14:paraId="2C499760" w14:textId="4584FDBE" w:rsidR="00C94139" w:rsidRDefault="00C94139" w:rsidP="00C94139">
      <w:pPr>
        <w:jc w:val="both"/>
        <w:rPr>
          <w:rFonts w:asciiTheme="minorHAnsi" w:hAnsiTheme="minorHAnsi" w:cstheme="minorHAnsi"/>
          <w:sz w:val="28"/>
          <w:szCs w:val="28"/>
        </w:rPr>
      </w:pPr>
      <w:r w:rsidRPr="007A0FB3">
        <w:rPr>
          <w:rFonts w:asciiTheme="minorHAnsi" w:hAnsiTheme="minorHAnsi" w:cstheme="minorHAnsi"/>
          <w:sz w:val="28"/>
          <w:szCs w:val="28"/>
        </w:rPr>
        <w:t>Aswin Anand Pai</w:t>
      </w:r>
      <w:r w:rsidR="006E2B1C">
        <w:rPr>
          <w:rFonts w:asciiTheme="minorHAnsi" w:hAnsiTheme="minorHAnsi" w:cstheme="minorHAnsi"/>
          <w:sz w:val="28"/>
          <w:szCs w:val="28"/>
          <w:vertAlign w:val="superscript"/>
        </w:rPr>
        <w:t>1</w:t>
      </w:r>
      <w:r w:rsidRPr="007A0FB3">
        <w:rPr>
          <w:rFonts w:asciiTheme="minorHAnsi" w:hAnsiTheme="minorHAnsi" w:cstheme="minorHAnsi"/>
          <w:sz w:val="28"/>
          <w:szCs w:val="28"/>
        </w:rPr>
        <w:t>, Ajith Mohan</w:t>
      </w:r>
      <w:r w:rsidR="006E2B1C">
        <w:rPr>
          <w:rFonts w:asciiTheme="minorHAnsi" w:hAnsiTheme="minorHAnsi" w:cstheme="minorHAnsi"/>
          <w:sz w:val="28"/>
          <w:szCs w:val="28"/>
          <w:vertAlign w:val="superscript"/>
        </w:rPr>
        <w:t>1</w:t>
      </w:r>
      <w:r w:rsidRPr="007A0FB3">
        <w:rPr>
          <w:rFonts w:asciiTheme="minorHAnsi" w:hAnsiTheme="minorHAnsi" w:cstheme="minorHAnsi"/>
          <w:sz w:val="28"/>
          <w:szCs w:val="28"/>
        </w:rPr>
        <w:t>, Esther Sathya Bama Benjamin R</w:t>
      </w:r>
      <w:r w:rsidR="00F134C2">
        <w:rPr>
          <w:rFonts w:asciiTheme="minorHAnsi" w:hAnsiTheme="minorHAnsi" w:cstheme="minorHAnsi"/>
          <w:sz w:val="28"/>
          <w:szCs w:val="28"/>
          <w:vertAlign w:val="superscript"/>
        </w:rPr>
        <w:t>1</w:t>
      </w:r>
      <w:r w:rsidRPr="007A0FB3">
        <w:rPr>
          <w:rFonts w:asciiTheme="minorHAnsi" w:hAnsiTheme="minorHAnsi" w:cstheme="minorHAnsi"/>
          <w:sz w:val="28"/>
          <w:szCs w:val="28"/>
        </w:rPr>
        <w:t xml:space="preserve">, </w:t>
      </w:r>
      <w:r w:rsidR="007A0FB3" w:rsidRPr="007A0FB3">
        <w:rPr>
          <w:rFonts w:asciiTheme="minorHAnsi" w:hAnsiTheme="minorHAnsi" w:cstheme="minorHAnsi"/>
          <w:sz w:val="28"/>
          <w:szCs w:val="28"/>
        </w:rPr>
        <w:t>Raveen Stephen Stallon Illangeswaran</w:t>
      </w:r>
      <w:r w:rsidR="00F134C2">
        <w:rPr>
          <w:rFonts w:asciiTheme="minorHAnsi" w:hAnsiTheme="minorHAnsi" w:cstheme="minorHAnsi"/>
          <w:sz w:val="28"/>
          <w:szCs w:val="28"/>
          <w:vertAlign w:val="superscript"/>
        </w:rPr>
        <w:t>1</w:t>
      </w:r>
      <w:r w:rsidRPr="007A0FB3">
        <w:rPr>
          <w:rFonts w:asciiTheme="minorHAnsi" w:hAnsiTheme="minorHAnsi" w:cstheme="minorHAnsi"/>
          <w:sz w:val="28"/>
          <w:szCs w:val="28"/>
        </w:rPr>
        <w:t>, Infencia Xavier Raj</w:t>
      </w:r>
      <w:r w:rsidR="00F134C2">
        <w:rPr>
          <w:rFonts w:asciiTheme="minorHAnsi" w:hAnsiTheme="minorHAnsi" w:cstheme="minorHAnsi"/>
          <w:sz w:val="28"/>
          <w:szCs w:val="28"/>
          <w:vertAlign w:val="superscript"/>
        </w:rPr>
        <w:t>1</w:t>
      </w:r>
      <w:r w:rsidRPr="007A0FB3">
        <w:rPr>
          <w:rFonts w:asciiTheme="minorHAnsi" w:hAnsiTheme="minorHAnsi" w:cstheme="minorHAnsi"/>
          <w:sz w:val="28"/>
          <w:szCs w:val="28"/>
        </w:rPr>
        <w:t>, Nancy Beryl Janet</w:t>
      </w:r>
      <w:r w:rsidR="00F134C2">
        <w:rPr>
          <w:rFonts w:asciiTheme="minorHAnsi" w:hAnsiTheme="minorHAnsi" w:cstheme="minorHAnsi"/>
          <w:sz w:val="28"/>
          <w:szCs w:val="28"/>
          <w:vertAlign w:val="superscript"/>
        </w:rPr>
        <w:t>1</w:t>
      </w:r>
      <w:r w:rsidRPr="007A0FB3">
        <w:rPr>
          <w:rFonts w:asciiTheme="minorHAnsi" w:hAnsiTheme="minorHAnsi" w:cstheme="minorHAnsi"/>
          <w:sz w:val="28"/>
          <w:szCs w:val="28"/>
        </w:rPr>
        <w:t>, Arun Kumar Arunachalam</w:t>
      </w:r>
      <w:r w:rsidR="00F134C2">
        <w:rPr>
          <w:rFonts w:asciiTheme="minorHAnsi" w:hAnsiTheme="minorHAnsi" w:cstheme="minorHAnsi"/>
          <w:sz w:val="28"/>
          <w:szCs w:val="28"/>
          <w:vertAlign w:val="superscript"/>
        </w:rPr>
        <w:t>1</w:t>
      </w:r>
      <w:r w:rsidRPr="007A0FB3">
        <w:rPr>
          <w:rFonts w:asciiTheme="minorHAnsi" w:hAnsiTheme="minorHAnsi" w:cstheme="minorHAnsi"/>
          <w:sz w:val="28"/>
          <w:szCs w:val="28"/>
        </w:rPr>
        <w:t>, Kavitha</w:t>
      </w:r>
      <w:r w:rsidRPr="001C2DD7">
        <w:rPr>
          <w:rFonts w:asciiTheme="minorHAnsi" w:hAnsiTheme="minorHAnsi" w:cstheme="minorHAnsi"/>
          <w:sz w:val="28"/>
          <w:szCs w:val="28"/>
        </w:rPr>
        <w:t xml:space="preserve"> ML</w:t>
      </w:r>
      <w:r w:rsidR="00F134C2">
        <w:rPr>
          <w:rFonts w:asciiTheme="minorHAnsi" w:hAnsiTheme="minorHAnsi" w:cstheme="minorHAnsi"/>
          <w:sz w:val="28"/>
          <w:szCs w:val="28"/>
          <w:vertAlign w:val="superscript"/>
        </w:rPr>
        <w:t>1</w:t>
      </w:r>
      <w:r w:rsidRPr="001C2DD7">
        <w:rPr>
          <w:rFonts w:asciiTheme="minorHAnsi" w:hAnsiTheme="minorHAnsi" w:cstheme="minorHAnsi"/>
          <w:sz w:val="28"/>
          <w:szCs w:val="28"/>
        </w:rPr>
        <w:t>, Uday Kulkarni</w:t>
      </w:r>
      <w:r w:rsidR="00F134C2">
        <w:rPr>
          <w:rFonts w:asciiTheme="minorHAnsi" w:hAnsiTheme="minorHAnsi" w:cstheme="minorHAnsi"/>
          <w:sz w:val="28"/>
          <w:szCs w:val="28"/>
          <w:vertAlign w:val="superscript"/>
        </w:rPr>
        <w:t>1</w:t>
      </w:r>
      <w:r w:rsidRPr="001C2DD7">
        <w:rPr>
          <w:rFonts w:asciiTheme="minorHAnsi" w:hAnsiTheme="minorHAnsi" w:cstheme="minorHAnsi"/>
          <w:sz w:val="28"/>
          <w:szCs w:val="28"/>
        </w:rPr>
        <w:t>, Anup J Devasia</w:t>
      </w:r>
      <w:r w:rsidR="00F134C2">
        <w:rPr>
          <w:rFonts w:asciiTheme="minorHAnsi" w:hAnsiTheme="minorHAnsi" w:cstheme="minorHAnsi"/>
          <w:sz w:val="28"/>
          <w:szCs w:val="28"/>
          <w:vertAlign w:val="superscript"/>
        </w:rPr>
        <w:t>1</w:t>
      </w:r>
      <w:r w:rsidRPr="001C2DD7">
        <w:rPr>
          <w:rFonts w:asciiTheme="minorHAnsi" w:hAnsiTheme="minorHAnsi" w:cstheme="minorHAnsi"/>
          <w:sz w:val="28"/>
          <w:szCs w:val="28"/>
        </w:rPr>
        <w:t>, Fouzia NA</w:t>
      </w:r>
      <w:r w:rsidR="00F134C2">
        <w:rPr>
          <w:rFonts w:asciiTheme="minorHAnsi" w:hAnsiTheme="minorHAnsi" w:cstheme="minorHAnsi"/>
          <w:sz w:val="28"/>
          <w:szCs w:val="28"/>
          <w:vertAlign w:val="superscript"/>
        </w:rPr>
        <w:t>1</w:t>
      </w:r>
      <w:r w:rsidRPr="001C2DD7">
        <w:rPr>
          <w:rFonts w:asciiTheme="minorHAnsi" w:hAnsiTheme="minorHAnsi" w:cstheme="minorHAnsi"/>
          <w:sz w:val="28"/>
          <w:szCs w:val="28"/>
        </w:rPr>
        <w:t>, Aby Abraham</w:t>
      </w:r>
      <w:r w:rsidR="00F134C2">
        <w:rPr>
          <w:rFonts w:asciiTheme="minorHAnsi" w:hAnsiTheme="minorHAnsi" w:cstheme="minorHAnsi"/>
          <w:sz w:val="28"/>
          <w:szCs w:val="28"/>
          <w:vertAlign w:val="superscript"/>
        </w:rPr>
        <w:t>1</w:t>
      </w:r>
      <w:r w:rsidRPr="001C2DD7">
        <w:rPr>
          <w:rFonts w:asciiTheme="minorHAnsi" w:hAnsiTheme="minorHAnsi" w:cstheme="minorHAnsi"/>
          <w:sz w:val="28"/>
          <w:szCs w:val="28"/>
        </w:rPr>
        <w:t>, Alok Srivastava</w:t>
      </w:r>
      <w:r w:rsidR="00F134C2">
        <w:rPr>
          <w:rFonts w:asciiTheme="minorHAnsi" w:hAnsiTheme="minorHAnsi" w:cstheme="minorHAnsi"/>
          <w:sz w:val="28"/>
          <w:szCs w:val="28"/>
          <w:vertAlign w:val="superscript"/>
        </w:rPr>
        <w:t>1</w:t>
      </w:r>
      <w:r w:rsidRPr="001C2DD7">
        <w:rPr>
          <w:rFonts w:asciiTheme="minorHAnsi" w:hAnsiTheme="minorHAnsi" w:cstheme="minorHAnsi"/>
          <w:sz w:val="28"/>
          <w:szCs w:val="28"/>
        </w:rPr>
        <w:t>, Biju George</w:t>
      </w:r>
      <w:r w:rsidR="00F134C2">
        <w:rPr>
          <w:rFonts w:asciiTheme="minorHAnsi" w:hAnsiTheme="minorHAnsi" w:cstheme="minorHAnsi"/>
          <w:sz w:val="28"/>
          <w:szCs w:val="28"/>
          <w:vertAlign w:val="superscript"/>
        </w:rPr>
        <w:t>1</w:t>
      </w:r>
      <w:r w:rsidRPr="001C2DD7">
        <w:rPr>
          <w:rFonts w:asciiTheme="minorHAnsi" w:hAnsiTheme="minorHAnsi" w:cstheme="minorHAnsi"/>
          <w:sz w:val="28"/>
          <w:szCs w:val="28"/>
        </w:rPr>
        <w:t>, Vikram Mathews</w:t>
      </w:r>
      <w:r w:rsidR="00F134C2">
        <w:rPr>
          <w:rFonts w:asciiTheme="minorHAnsi" w:hAnsiTheme="minorHAnsi" w:cstheme="minorHAnsi"/>
          <w:sz w:val="28"/>
          <w:szCs w:val="28"/>
          <w:vertAlign w:val="superscript"/>
        </w:rPr>
        <w:t>1</w:t>
      </w:r>
      <w:r w:rsidRPr="001C2DD7">
        <w:rPr>
          <w:rFonts w:asciiTheme="minorHAnsi" w:hAnsiTheme="minorHAnsi" w:cstheme="minorHAnsi"/>
          <w:sz w:val="28"/>
          <w:szCs w:val="28"/>
        </w:rPr>
        <w:t>, Anu Korula</w:t>
      </w:r>
      <w:r w:rsidR="00F134C2">
        <w:rPr>
          <w:rFonts w:asciiTheme="minorHAnsi" w:hAnsiTheme="minorHAnsi" w:cstheme="minorHAnsi"/>
          <w:sz w:val="28"/>
          <w:szCs w:val="28"/>
          <w:vertAlign w:val="superscript"/>
        </w:rPr>
        <w:t>1</w:t>
      </w:r>
      <w:r w:rsidRPr="001C2DD7">
        <w:rPr>
          <w:rFonts w:asciiTheme="minorHAnsi" w:hAnsiTheme="minorHAnsi" w:cstheme="minorHAnsi"/>
          <w:sz w:val="28"/>
          <w:szCs w:val="28"/>
        </w:rPr>
        <w:t>, Poonkuzhali Balasubramanian</w:t>
      </w:r>
      <w:r w:rsidR="00F134C2">
        <w:rPr>
          <w:rFonts w:asciiTheme="minorHAnsi" w:hAnsiTheme="minorHAnsi" w:cstheme="minorHAnsi"/>
          <w:sz w:val="28"/>
          <w:szCs w:val="28"/>
          <w:vertAlign w:val="superscript"/>
        </w:rPr>
        <w:t>1</w:t>
      </w:r>
    </w:p>
    <w:p w14:paraId="1E410343" w14:textId="77777777" w:rsidR="00C94139" w:rsidRPr="001C2DD7" w:rsidRDefault="00C94139" w:rsidP="00C94139">
      <w:pPr>
        <w:jc w:val="both"/>
        <w:rPr>
          <w:rFonts w:asciiTheme="minorHAnsi" w:hAnsiTheme="minorHAnsi" w:cstheme="minorHAnsi"/>
          <w:sz w:val="28"/>
          <w:szCs w:val="28"/>
        </w:rPr>
      </w:pPr>
    </w:p>
    <w:p w14:paraId="3F26DC75" w14:textId="1A0735DF" w:rsidR="00C94139" w:rsidRPr="001C2DD7" w:rsidRDefault="00F134C2" w:rsidP="00C94139">
      <w:pPr>
        <w:jc w:val="both"/>
        <w:rPr>
          <w:rFonts w:asciiTheme="minorHAnsi" w:hAnsiTheme="minorHAnsi" w:cstheme="minorHAnsi"/>
          <w:bCs/>
          <w:sz w:val="28"/>
          <w:szCs w:val="28"/>
        </w:rPr>
      </w:pPr>
      <w:r>
        <w:rPr>
          <w:rFonts w:asciiTheme="minorHAnsi" w:hAnsiTheme="minorHAnsi" w:cstheme="minorHAnsi"/>
          <w:sz w:val="28"/>
          <w:szCs w:val="28"/>
          <w:vertAlign w:val="superscript"/>
        </w:rPr>
        <w:t>1</w:t>
      </w:r>
      <w:r w:rsidR="00C94139" w:rsidRPr="001C2DD7">
        <w:rPr>
          <w:rFonts w:asciiTheme="minorHAnsi" w:hAnsiTheme="minorHAnsi" w:cstheme="minorHAnsi"/>
          <w:bCs/>
          <w:sz w:val="28"/>
          <w:szCs w:val="28"/>
        </w:rPr>
        <w:t>Department of Haematology, Christian Medical College, Vellore</w:t>
      </w:r>
    </w:p>
    <w:p w14:paraId="50E45A68" w14:textId="77777777" w:rsidR="00C94139" w:rsidRPr="008A6976" w:rsidRDefault="00C94139" w:rsidP="00C94139">
      <w:pPr>
        <w:jc w:val="both"/>
        <w:rPr>
          <w:rFonts w:asciiTheme="minorHAnsi" w:hAnsiTheme="minorHAnsi" w:cstheme="minorHAnsi"/>
          <w:b/>
          <w:bCs/>
        </w:rPr>
      </w:pPr>
    </w:p>
    <w:p w14:paraId="636D22D1" w14:textId="77777777" w:rsidR="00C94139" w:rsidRDefault="00C94139" w:rsidP="00C94139">
      <w:pPr>
        <w:jc w:val="both"/>
        <w:rPr>
          <w:rFonts w:asciiTheme="minorHAnsi" w:hAnsiTheme="minorHAnsi" w:cstheme="minorHAnsi"/>
          <w:b/>
          <w:bCs/>
          <w:sz w:val="28"/>
          <w:szCs w:val="28"/>
        </w:rPr>
      </w:pPr>
    </w:p>
    <w:p w14:paraId="6CDDA05D" w14:textId="77777777" w:rsidR="00C94139" w:rsidRDefault="00C94139" w:rsidP="00C94139">
      <w:pPr>
        <w:jc w:val="both"/>
        <w:rPr>
          <w:rFonts w:asciiTheme="minorHAnsi" w:hAnsiTheme="minorHAnsi" w:cstheme="minorHAnsi"/>
          <w:b/>
          <w:bCs/>
          <w:sz w:val="28"/>
          <w:szCs w:val="28"/>
        </w:rPr>
      </w:pPr>
    </w:p>
    <w:p w14:paraId="0D5DF3F8" w14:textId="77777777" w:rsidR="00C94139" w:rsidRDefault="00C94139" w:rsidP="00C94139">
      <w:pPr>
        <w:jc w:val="both"/>
        <w:rPr>
          <w:rFonts w:asciiTheme="minorHAnsi" w:hAnsiTheme="minorHAnsi" w:cstheme="minorHAnsi"/>
          <w:b/>
          <w:bCs/>
          <w:sz w:val="28"/>
          <w:szCs w:val="28"/>
        </w:rPr>
      </w:pPr>
    </w:p>
    <w:p w14:paraId="68651F06" w14:textId="77777777" w:rsidR="00C94139" w:rsidRDefault="00C94139" w:rsidP="00C94139">
      <w:pPr>
        <w:jc w:val="both"/>
        <w:rPr>
          <w:rFonts w:asciiTheme="minorHAnsi" w:hAnsiTheme="minorHAnsi" w:cstheme="minorHAnsi"/>
          <w:b/>
          <w:bCs/>
          <w:sz w:val="28"/>
          <w:szCs w:val="28"/>
        </w:rPr>
      </w:pPr>
    </w:p>
    <w:p w14:paraId="0A641049" w14:textId="77777777" w:rsidR="00C94139" w:rsidRDefault="00C94139" w:rsidP="00C94139">
      <w:pPr>
        <w:jc w:val="both"/>
        <w:rPr>
          <w:rFonts w:asciiTheme="minorHAnsi" w:hAnsiTheme="minorHAnsi" w:cstheme="minorHAnsi"/>
          <w:b/>
          <w:bCs/>
          <w:sz w:val="28"/>
          <w:szCs w:val="28"/>
        </w:rPr>
      </w:pPr>
    </w:p>
    <w:p w14:paraId="3BD17199" w14:textId="77777777" w:rsidR="00C94139" w:rsidRDefault="00C94139" w:rsidP="00C94139">
      <w:pPr>
        <w:jc w:val="both"/>
        <w:rPr>
          <w:rFonts w:asciiTheme="minorHAnsi" w:hAnsiTheme="minorHAnsi" w:cstheme="minorHAnsi"/>
          <w:b/>
          <w:bCs/>
          <w:sz w:val="28"/>
          <w:szCs w:val="28"/>
        </w:rPr>
      </w:pPr>
    </w:p>
    <w:p w14:paraId="6CFFD372" w14:textId="77777777" w:rsidR="00C94139" w:rsidRDefault="00C94139" w:rsidP="00C94139">
      <w:pPr>
        <w:jc w:val="both"/>
        <w:rPr>
          <w:rFonts w:asciiTheme="minorHAnsi" w:hAnsiTheme="minorHAnsi" w:cstheme="minorHAnsi"/>
          <w:b/>
          <w:bCs/>
          <w:sz w:val="28"/>
          <w:szCs w:val="28"/>
        </w:rPr>
      </w:pPr>
    </w:p>
    <w:p w14:paraId="2D5FA697" w14:textId="77777777" w:rsidR="00C94139" w:rsidRDefault="00C94139" w:rsidP="00C94139">
      <w:pPr>
        <w:jc w:val="both"/>
        <w:rPr>
          <w:rFonts w:asciiTheme="minorHAnsi" w:hAnsiTheme="minorHAnsi" w:cstheme="minorHAnsi"/>
          <w:b/>
          <w:bCs/>
          <w:sz w:val="28"/>
          <w:szCs w:val="28"/>
        </w:rPr>
      </w:pPr>
    </w:p>
    <w:p w14:paraId="4986B12B" w14:textId="77777777" w:rsidR="00C94139" w:rsidRDefault="00C94139" w:rsidP="00C94139">
      <w:pPr>
        <w:jc w:val="both"/>
        <w:rPr>
          <w:rFonts w:asciiTheme="minorHAnsi" w:hAnsiTheme="minorHAnsi" w:cstheme="minorHAnsi"/>
          <w:b/>
          <w:bCs/>
          <w:sz w:val="28"/>
          <w:szCs w:val="28"/>
        </w:rPr>
      </w:pPr>
    </w:p>
    <w:p w14:paraId="4F478EF2" w14:textId="77777777" w:rsidR="00C94139" w:rsidRDefault="00C94139" w:rsidP="00C94139">
      <w:pPr>
        <w:jc w:val="both"/>
        <w:rPr>
          <w:rFonts w:asciiTheme="minorHAnsi" w:hAnsiTheme="minorHAnsi" w:cstheme="minorHAnsi"/>
          <w:b/>
          <w:bCs/>
          <w:sz w:val="28"/>
          <w:szCs w:val="28"/>
        </w:rPr>
      </w:pPr>
    </w:p>
    <w:p w14:paraId="0743A8F8" w14:textId="77777777" w:rsidR="00C94139" w:rsidRDefault="00C94139" w:rsidP="00C94139">
      <w:pPr>
        <w:jc w:val="both"/>
        <w:rPr>
          <w:rFonts w:asciiTheme="minorHAnsi" w:hAnsiTheme="minorHAnsi" w:cstheme="minorHAnsi"/>
          <w:b/>
          <w:bCs/>
          <w:sz w:val="28"/>
          <w:szCs w:val="28"/>
        </w:rPr>
      </w:pPr>
    </w:p>
    <w:p w14:paraId="49B5D768" w14:textId="77777777" w:rsidR="00C94139" w:rsidRPr="001C2DD7" w:rsidRDefault="00C94139" w:rsidP="00C94139">
      <w:pPr>
        <w:jc w:val="both"/>
        <w:rPr>
          <w:rFonts w:asciiTheme="minorHAnsi" w:hAnsiTheme="minorHAnsi" w:cstheme="minorHAnsi"/>
          <w:b/>
          <w:bCs/>
          <w:sz w:val="32"/>
          <w:szCs w:val="32"/>
        </w:rPr>
      </w:pPr>
    </w:p>
    <w:p w14:paraId="60159C27" w14:textId="77777777" w:rsidR="00C94139" w:rsidRPr="001C2DD7" w:rsidRDefault="00C94139" w:rsidP="00C94139">
      <w:pPr>
        <w:jc w:val="both"/>
        <w:rPr>
          <w:rFonts w:asciiTheme="minorHAnsi" w:hAnsiTheme="minorHAnsi" w:cstheme="minorHAnsi"/>
          <w:b/>
          <w:bCs/>
          <w:sz w:val="28"/>
          <w:szCs w:val="28"/>
        </w:rPr>
      </w:pPr>
      <w:r w:rsidRPr="001C2DD7">
        <w:rPr>
          <w:rFonts w:asciiTheme="minorHAnsi" w:hAnsiTheme="minorHAnsi" w:cstheme="minorHAnsi"/>
          <w:b/>
          <w:bCs/>
          <w:sz w:val="28"/>
          <w:szCs w:val="28"/>
        </w:rPr>
        <w:t>Correspondence:</w:t>
      </w:r>
    </w:p>
    <w:p w14:paraId="3814692C" w14:textId="77777777" w:rsidR="00C94139" w:rsidRPr="001C2DD7" w:rsidRDefault="00C94139" w:rsidP="00C94139">
      <w:pPr>
        <w:jc w:val="both"/>
        <w:rPr>
          <w:rFonts w:asciiTheme="minorHAnsi" w:hAnsiTheme="minorHAnsi" w:cstheme="minorHAnsi"/>
          <w:bCs/>
          <w:sz w:val="28"/>
          <w:szCs w:val="28"/>
        </w:rPr>
      </w:pPr>
      <w:r w:rsidRPr="001C2DD7">
        <w:rPr>
          <w:rFonts w:asciiTheme="minorHAnsi" w:hAnsiTheme="minorHAnsi" w:cstheme="minorHAnsi"/>
          <w:bCs/>
          <w:sz w:val="28"/>
          <w:szCs w:val="28"/>
        </w:rPr>
        <w:t>Poonkuzhali Balasubramanian</w:t>
      </w:r>
    </w:p>
    <w:p w14:paraId="02139122" w14:textId="77777777" w:rsidR="00C94139" w:rsidRPr="001C2DD7" w:rsidRDefault="00C94139" w:rsidP="00C94139">
      <w:pPr>
        <w:jc w:val="both"/>
        <w:rPr>
          <w:rFonts w:asciiTheme="minorHAnsi" w:hAnsiTheme="minorHAnsi" w:cstheme="minorHAnsi"/>
          <w:bCs/>
          <w:sz w:val="28"/>
          <w:szCs w:val="28"/>
        </w:rPr>
      </w:pPr>
      <w:r w:rsidRPr="001C2DD7">
        <w:rPr>
          <w:rFonts w:asciiTheme="minorHAnsi" w:hAnsiTheme="minorHAnsi" w:cstheme="minorHAnsi"/>
          <w:bCs/>
          <w:sz w:val="28"/>
          <w:szCs w:val="28"/>
        </w:rPr>
        <w:t>Professor</w:t>
      </w:r>
    </w:p>
    <w:p w14:paraId="43B37827" w14:textId="77777777" w:rsidR="00C94139" w:rsidRPr="001C2DD7" w:rsidRDefault="00C94139" w:rsidP="00C94139">
      <w:pPr>
        <w:jc w:val="both"/>
        <w:rPr>
          <w:rFonts w:asciiTheme="minorHAnsi" w:hAnsiTheme="minorHAnsi" w:cstheme="minorHAnsi"/>
          <w:bCs/>
          <w:sz w:val="28"/>
          <w:szCs w:val="28"/>
        </w:rPr>
      </w:pPr>
      <w:r w:rsidRPr="001C2DD7">
        <w:rPr>
          <w:rFonts w:asciiTheme="minorHAnsi" w:hAnsiTheme="minorHAnsi" w:cstheme="minorHAnsi"/>
          <w:bCs/>
          <w:sz w:val="28"/>
          <w:szCs w:val="28"/>
        </w:rPr>
        <w:t>Department of Haematology</w:t>
      </w:r>
    </w:p>
    <w:p w14:paraId="57154FDA" w14:textId="77777777" w:rsidR="00C94139" w:rsidRPr="001C2DD7" w:rsidRDefault="00C94139" w:rsidP="00C94139">
      <w:pPr>
        <w:jc w:val="both"/>
        <w:rPr>
          <w:rFonts w:asciiTheme="minorHAnsi" w:hAnsiTheme="minorHAnsi" w:cstheme="minorHAnsi"/>
          <w:bCs/>
          <w:sz w:val="28"/>
          <w:szCs w:val="28"/>
        </w:rPr>
      </w:pPr>
      <w:r w:rsidRPr="001C2DD7">
        <w:rPr>
          <w:rFonts w:asciiTheme="minorHAnsi" w:hAnsiTheme="minorHAnsi" w:cstheme="minorHAnsi"/>
          <w:bCs/>
          <w:sz w:val="28"/>
          <w:szCs w:val="28"/>
        </w:rPr>
        <w:t>Christian Medical College- Vellore</w:t>
      </w:r>
    </w:p>
    <w:p w14:paraId="67A54D50" w14:textId="77777777" w:rsidR="00C94139" w:rsidRPr="001C2DD7" w:rsidRDefault="00C94139" w:rsidP="00C94139">
      <w:pPr>
        <w:jc w:val="both"/>
        <w:rPr>
          <w:rFonts w:asciiTheme="minorHAnsi" w:hAnsiTheme="minorHAnsi" w:cstheme="minorHAnsi"/>
          <w:bCs/>
          <w:sz w:val="28"/>
          <w:szCs w:val="28"/>
        </w:rPr>
      </w:pPr>
      <w:r w:rsidRPr="001C2DD7">
        <w:rPr>
          <w:rFonts w:asciiTheme="minorHAnsi" w:hAnsiTheme="minorHAnsi" w:cstheme="minorHAnsi"/>
          <w:bCs/>
          <w:sz w:val="28"/>
          <w:szCs w:val="28"/>
        </w:rPr>
        <w:t xml:space="preserve">Email: </w:t>
      </w:r>
      <w:r w:rsidRPr="001C2DD7">
        <w:rPr>
          <w:rFonts w:asciiTheme="minorHAnsi" w:hAnsiTheme="minorHAnsi" w:cstheme="minorHAnsi"/>
          <w:sz w:val="28"/>
          <w:szCs w:val="28"/>
        </w:rPr>
        <w:t>bpoonkuzhali@cmcvellore.ac.in</w:t>
      </w:r>
    </w:p>
    <w:p w14:paraId="4B93DE36" w14:textId="77777777" w:rsidR="00C94139" w:rsidRPr="00856B24" w:rsidRDefault="00C94139" w:rsidP="00C94139">
      <w:pPr>
        <w:spacing w:after="160" w:line="259" w:lineRule="auto"/>
        <w:rPr>
          <w:rFonts w:asciiTheme="minorHAnsi" w:hAnsiTheme="minorHAnsi" w:cstheme="minorHAnsi"/>
          <w:sz w:val="28"/>
          <w:szCs w:val="28"/>
        </w:rPr>
      </w:pPr>
      <w:r w:rsidRPr="00856B24">
        <w:rPr>
          <w:rFonts w:asciiTheme="minorHAnsi" w:hAnsiTheme="minorHAnsi" w:cstheme="minorHAnsi"/>
          <w:sz w:val="28"/>
          <w:szCs w:val="28"/>
        </w:rPr>
        <w:t>ORCID ID : 0000-0002-9443-439X</w:t>
      </w:r>
    </w:p>
    <w:p w14:paraId="02C0A9E5" w14:textId="40DD26AD" w:rsidR="00C94139" w:rsidRDefault="00C94139" w:rsidP="00C94139">
      <w:pPr>
        <w:spacing w:after="160" w:line="259" w:lineRule="auto"/>
        <w:rPr>
          <w:rFonts w:asciiTheme="minorHAnsi" w:hAnsiTheme="minorHAnsi" w:cstheme="minorHAnsi"/>
          <w:b/>
          <w:bCs/>
          <w:sz w:val="28"/>
          <w:szCs w:val="28"/>
        </w:rPr>
      </w:pPr>
    </w:p>
    <w:p w14:paraId="7F21907D" w14:textId="45B0FCDA" w:rsidR="00563231" w:rsidRDefault="00563231" w:rsidP="00C94139">
      <w:pPr>
        <w:spacing w:after="160" w:line="259" w:lineRule="auto"/>
        <w:rPr>
          <w:rFonts w:asciiTheme="minorHAnsi" w:hAnsiTheme="minorHAnsi" w:cstheme="minorHAnsi"/>
          <w:b/>
          <w:bCs/>
          <w:sz w:val="28"/>
          <w:szCs w:val="28"/>
        </w:rPr>
      </w:pPr>
    </w:p>
    <w:p w14:paraId="31E11156" w14:textId="2262D76D" w:rsidR="00563231" w:rsidRDefault="00563231" w:rsidP="00C94139">
      <w:pPr>
        <w:spacing w:after="160" w:line="259" w:lineRule="auto"/>
        <w:rPr>
          <w:rFonts w:asciiTheme="minorHAnsi" w:hAnsiTheme="minorHAnsi" w:cstheme="minorHAnsi"/>
          <w:b/>
          <w:bCs/>
          <w:sz w:val="28"/>
          <w:szCs w:val="28"/>
        </w:rPr>
      </w:pPr>
    </w:p>
    <w:p w14:paraId="7F113385" w14:textId="77777777" w:rsidR="00563231" w:rsidRDefault="00563231" w:rsidP="00C94139">
      <w:pPr>
        <w:spacing w:after="160" w:line="259" w:lineRule="auto"/>
        <w:rPr>
          <w:rFonts w:asciiTheme="minorHAnsi" w:hAnsiTheme="minorHAnsi" w:cstheme="minorHAnsi"/>
          <w:b/>
          <w:bCs/>
          <w:sz w:val="28"/>
          <w:szCs w:val="28"/>
        </w:rPr>
      </w:pPr>
    </w:p>
    <w:p w14:paraId="37CA9CEC" w14:textId="3587100A" w:rsidR="00C94139" w:rsidRDefault="00765A61" w:rsidP="00C94139">
      <w:pPr>
        <w:jc w:val="both"/>
        <w:rPr>
          <w:rFonts w:asciiTheme="minorHAnsi" w:hAnsiTheme="minorHAnsi" w:cstheme="minorHAnsi"/>
          <w:b/>
          <w:bCs/>
        </w:rPr>
      </w:pPr>
      <w:r w:rsidRPr="00765A61">
        <w:rPr>
          <w:rFonts w:asciiTheme="minorHAnsi" w:hAnsiTheme="minorHAnsi" w:cstheme="minorHAnsi"/>
          <w:b/>
          <w:bCs/>
          <w:sz w:val="28"/>
          <w:szCs w:val="28"/>
        </w:rPr>
        <w:t>Keywords</w:t>
      </w:r>
      <w:r w:rsidRPr="00765A61">
        <w:rPr>
          <w:rFonts w:asciiTheme="minorHAnsi" w:hAnsiTheme="minorHAnsi" w:cstheme="minorHAnsi"/>
          <w:sz w:val="28"/>
          <w:szCs w:val="28"/>
        </w:rPr>
        <w:t>: Leukemia, Mercaptopurine, Myelotoxicity, Pharmacogenomics</w:t>
      </w:r>
    </w:p>
    <w:p w14:paraId="5707C1C5" w14:textId="5FA1755C" w:rsidR="00C94139" w:rsidRDefault="00C94139" w:rsidP="00C94139">
      <w:pPr>
        <w:jc w:val="both"/>
        <w:rPr>
          <w:rFonts w:asciiTheme="minorHAnsi" w:hAnsiTheme="minorHAnsi" w:cstheme="minorHAnsi"/>
          <w:b/>
          <w:bCs/>
        </w:rPr>
      </w:pPr>
    </w:p>
    <w:p w14:paraId="50203F9C" w14:textId="003520D0" w:rsidR="00C94139" w:rsidRDefault="00C94139" w:rsidP="00C94139">
      <w:pPr>
        <w:jc w:val="both"/>
        <w:rPr>
          <w:rFonts w:asciiTheme="minorHAnsi" w:hAnsiTheme="minorHAnsi" w:cstheme="minorHAnsi"/>
          <w:b/>
          <w:bCs/>
        </w:rPr>
      </w:pPr>
    </w:p>
    <w:p w14:paraId="11387693" w14:textId="3E29A2EC" w:rsidR="00C94139" w:rsidRDefault="00C94139" w:rsidP="00C94139">
      <w:pPr>
        <w:jc w:val="both"/>
        <w:rPr>
          <w:rFonts w:asciiTheme="minorHAnsi" w:hAnsiTheme="minorHAnsi" w:cstheme="minorHAnsi"/>
          <w:b/>
          <w:bCs/>
        </w:rPr>
      </w:pPr>
    </w:p>
    <w:p w14:paraId="5E5BFE72" w14:textId="0A3D4F1B" w:rsidR="00C94139" w:rsidRDefault="00C94139" w:rsidP="00C94139">
      <w:pPr>
        <w:jc w:val="both"/>
        <w:rPr>
          <w:rFonts w:asciiTheme="minorHAnsi" w:hAnsiTheme="minorHAnsi" w:cstheme="minorHAnsi"/>
          <w:b/>
          <w:bCs/>
        </w:rPr>
      </w:pPr>
    </w:p>
    <w:p w14:paraId="6D1083AA" w14:textId="2D980E30" w:rsidR="00C94139" w:rsidRDefault="00C94139" w:rsidP="00C94139">
      <w:pPr>
        <w:jc w:val="both"/>
        <w:rPr>
          <w:rFonts w:asciiTheme="minorHAnsi" w:hAnsiTheme="minorHAnsi" w:cstheme="minorHAnsi"/>
          <w:b/>
          <w:bCs/>
        </w:rPr>
      </w:pPr>
    </w:p>
    <w:p w14:paraId="3D6523F9" w14:textId="77777777" w:rsidR="00C94139" w:rsidRDefault="00C94139" w:rsidP="00C94139">
      <w:pPr>
        <w:jc w:val="both"/>
        <w:rPr>
          <w:rFonts w:asciiTheme="minorHAnsi" w:hAnsiTheme="minorHAnsi" w:cstheme="minorHAnsi"/>
          <w:b/>
          <w:bCs/>
        </w:rPr>
      </w:pPr>
    </w:p>
    <w:p w14:paraId="286F6CE3" w14:textId="4DA60065" w:rsidR="00C94139" w:rsidRDefault="00C94139" w:rsidP="00C94139">
      <w:pPr>
        <w:jc w:val="both"/>
        <w:rPr>
          <w:rFonts w:asciiTheme="minorHAnsi" w:hAnsiTheme="minorHAnsi" w:cstheme="minorHAnsi"/>
          <w:b/>
          <w:bCs/>
        </w:rPr>
      </w:pPr>
      <w:r>
        <w:rPr>
          <w:rFonts w:asciiTheme="minorHAnsi" w:hAnsiTheme="minorHAnsi" w:cstheme="minorHAnsi"/>
          <w:b/>
          <w:bCs/>
        </w:rPr>
        <w:t>Table S1:</w:t>
      </w:r>
      <w:r w:rsidR="009633F2">
        <w:rPr>
          <w:rFonts w:asciiTheme="minorHAnsi" w:hAnsiTheme="minorHAnsi" w:cstheme="minorHAnsi"/>
          <w:b/>
          <w:bCs/>
        </w:rPr>
        <w:t xml:space="preserve"> </w:t>
      </w:r>
      <w:r w:rsidRPr="001C2DD7">
        <w:rPr>
          <w:rFonts w:asciiTheme="minorHAnsi" w:hAnsiTheme="minorHAnsi" w:cstheme="minorHAnsi"/>
          <w:b/>
          <w:bCs/>
        </w:rPr>
        <w:t xml:space="preserve">Comparison of </w:t>
      </w:r>
      <w:r>
        <w:rPr>
          <w:rFonts w:asciiTheme="minorHAnsi" w:hAnsiTheme="minorHAnsi" w:cstheme="minorHAnsi"/>
          <w:b/>
          <w:bCs/>
        </w:rPr>
        <w:t>baseline</w:t>
      </w:r>
      <w:r w:rsidRPr="001C2DD7">
        <w:rPr>
          <w:rFonts w:asciiTheme="minorHAnsi" w:hAnsiTheme="minorHAnsi" w:cstheme="minorHAnsi"/>
          <w:b/>
          <w:bCs/>
        </w:rPr>
        <w:t xml:space="preserve"> characteristics between patients </w:t>
      </w:r>
      <w:r>
        <w:rPr>
          <w:rFonts w:asciiTheme="minorHAnsi" w:hAnsiTheme="minorHAnsi" w:cstheme="minorHAnsi"/>
          <w:b/>
          <w:bCs/>
        </w:rPr>
        <w:t>enrolled in study (cohort-2) with total patients on maintenance therapy diagnosed at the centre but not enrolled due to inclusion criteria.</w:t>
      </w:r>
    </w:p>
    <w:p w14:paraId="55B11150" w14:textId="77777777" w:rsidR="00C94139" w:rsidRDefault="00C94139" w:rsidP="00C94139">
      <w:pPr>
        <w:jc w:val="both"/>
        <w:rPr>
          <w:rFonts w:asciiTheme="minorHAnsi" w:hAnsiTheme="minorHAnsi" w:cstheme="minorHAnsi"/>
          <w:b/>
          <w:bCs/>
        </w:rPr>
      </w:pPr>
    </w:p>
    <w:tbl>
      <w:tblPr>
        <w:tblW w:w="8795"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20" w:firstRow="1" w:lastRow="0" w:firstColumn="0" w:lastColumn="0" w:noHBand="0" w:noVBand="1"/>
      </w:tblPr>
      <w:tblGrid>
        <w:gridCol w:w="3003"/>
        <w:gridCol w:w="2390"/>
        <w:gridCol w:w="2268"/>
        <w:gridCol w:w="1134"/>
      </w:tblGrid>
      <w:tr w:rsidR="00C94139" w:rsidRPr="006917DD" w14:paraId="00B73A72" w14:textId="77777777" w:rsidTr="00D218BB">
        <w:trPr>
          <w:trHeight w:val="269"/>
          <w:jc w:val="center"/>
        </w:trPr>
        <w:tc>
          <w:tcPr>
            <w:tcW w:w="3003" w:type="dxa"/>
            <w:tcBorders>
              <w:top w:val="single" w:sz="4" w:space="0" w:color="000000"/>
              <w:left w:val="single" w:sz="4" w:space="0" w:color="000000"/>
              <w:bottom w:val="single" w:sz="4" w:space="0" w:color="000000"/>
              <w:right w:val="nil"/>
            </w:tcBorders>
            <w:shd w:val="clear" w:color="auto" w:fill="000000"/>
            <w:vAlign w:val="center"/>
            <w:hideMark/>
          </w:tcPr>
          <w:p w14:paraId="04F20388" w14:textId="3FEA5110" w:rsidR="00C94139" w:rsidRPr="006917DD" w:rsidRDefault="00D218BB" w:rsidP="008C679D">
            <w:pPr>
              <w:jc w:val="center"/>
              <w:rPr>
                <w:rFonts w:asciiTheme="minorHAnsi" w:hAnsiTheme="minorHAnsi" w:cstheme="minorHAnsi"/>
                <w:b/>
                <w:bCs/>
                <w:color w:val="FFFFFF"/>
                <w:lang w:val="en-IN" w:eastAsia="en-IN"/>
              </w:rPr>
            </w:pPr>
            <w:r>
              <w:rPr>
                <w:rFonts w:asciiTheme="minorHAnsi" w:hAnsiTheme="minorHAnsi" w:cstheme="minorHAnsi"/>
                <w:b/>
                <w:bCs/>
                <w:color w:val="FFFFFF"/>
                <w:kern w:val="24"/>
                <w:lang w:val="en-IN" w:eastAsia="en-IN"/>
              </w:rPr>
              <w:t>Baseline characteristics</w:t>
            </w:r>
          </w:p>
        </w:tc>
        <w:tc>
          <w:tcPr>
            <w:tcW w:w="2390" w:type="dxa"/>
            <w:tcBorders>
              <w:top w:val="single" w:sz="4" w:space="0" w:color="000000"/>
              <w:left w:val="nil"/>
              <w:bottom w:val="single" w:sz="4" w:space="0" w:color="000000"/>
              <w:right w:val="nil"/>
            </w:tcBorders>
            <w:shd w:val="clear" w:color="auto" w:fill="000000"/>
            <w:vAlign w:val="center"/>
            <w:hideMark/>
          </w:tcPr>
          <w:p w14:paraId="1219A643" w14:textId="77777777" w:rsidR="00D218BB" w:rsidRDefault="00D218BB" w:rsidP="008C679D">
            <w:pPr>
              <w:jc w:val="center"/>
              <w:rPr>
                <w:rFonts w:asciiTheme="minorHAnsi" w:hAnsiTheme="minorHAnsi" w:cstheme="minorHAnsi"/>
                <w:b/>
                <w:bCs/>
                <w:color w:val="FFFFFF"/>
                <w:lang w:val="en-IN" w:eastAsia="en-IN"/>
              </w:rPr>
            </w:pPr>
            <w:r>
              <w:rPr>
                <w:rFonts w:asciiTheme="minorHAnsi" w:hAnsiTheme="minorHAnsi" w:cstheme="minorHAnsi"/>
                <w:b/>
                <w:bCs/>
                <w:color w:val="FFFFFF"/>
                <w:lang w:val="en-IN" w:eastAsia="en-IN"/>
              </w:rPr>
              <w:t xml:space="preserve">Patients not enrolled </w:t>
            </w:r>
          </w:p>
          <w:p w14:paraId="537E273C" w14:textId="71101C46" w:rsidR="00C94139" w:rsidRPr="006917DD" w:rsidRDefault="00D218BB" w:rsidP="008C679D">
            <w:pPr>
              <w:jc w:val="center"/>
              <w:rPr>
                <w:rFonts w:asciiTheme="minorHAnsi" w:hAnsiTheme="minorHAnsi" w:cstheme="minorHAnsi"/>
                <w:b/>
                <w:bCs/>
                <w:color w:val="FFFFFF"/>
                <w:lang w:val="en-IN" w:eastAsia="en-IN"/>
              </w:rPr>
            </w:pPr>
            <w:r>
              <w:rPr>
                <w:rFonts w:asciiTheme="minorHAnsi" w:hAnsiTheme="minorHAnsi" w:cstheme="minorHAnsi"/>
                <w:b/>
                <w:bCs/>
                <w:color w:val="FFFFFF"/>
                <w:lang w:val="en-IN" w:eastAsia="en-IN"/>
              </w:rPr>
              <w:t>(n=107)</w:t>
            </w:r>
          </w:p>
        </w:tc>
        <w:tc>
          <w:tcPr>
            <w:tcW w:w="2268" w:type="dxa"/>
            <w:tcBorders>
              <w:top w:val="single" w:sz="4" w:space="0" w:color="000000"/>
              <w:left w:val="nil"/>
              <w:bottom w:val="single" w:sz="4" w:space="0" w:color="000000"/>
              <w:right w:val="single" w:sz="4" w:space="0" w:color="000000"/>
            </w:tcBorders>
            <w:shd w:val="clear" w:color="auto" w:fill="000000"/>
            <w:vAlign w:val="center"/>
            <w:hideMark/>
          </w:tcPr>
          <w:p w14:paraId="29B416CB" w14:textId="4BA3BD00" w:rsidR="00C94139" w:rsidRPr="006917DD" w:rsidRDefault="00D218BB" w:rsidP="008C679D">
            <w:pPr>
              <w:jc w:val="center"/>
              <w:rPr>
                <w:rFonts w:asciiTheme="minorHAnsi" w:hAnsiTheme="minorHAnsi" w:cstheme="minorHAnsi"/>
                <w:b/>
                <w:bCs/>
                <w:color w:val="FFFFFF"/>
                <w:lang w:val="en-IN" w:eastAsia="en-IN"/>
              </w:rPr>
            </w:pPr>
            <w:r>
              <w:rPr>
                <w:rFonts w:asciiTheme="minorHAnsi" w:hAnsiTheme="minorHAnsi" w:cstheme="minorHAnsi"/>
                <w:b/>
                <w:bCs/>
                <w:color w:val="FFFFFF"/>
                <w:lang w:val="en-IN" w:eastAsia="en-IN"/>
              </w:rPr>
              <w:t>Prospective cohort (n=133)</w:t>
            </w:r>
          </w:p>
        </w:tc>
        <w:tc>
          <w:tcPr>
            <w:tcW w:w="1134" w:type="dxa"/>
            <w:tcBorders>
              <w:top w:val="single" w:sz="4" w:space="0" w:color="000000"/>
              <w:left w:val="nil"/>
              <w:bottom w:val="single" w:sz="4" w:space="0" w:color="000000"/>
              <w:right w:val="single" w:sz="4" w:space="0" w:color="000000"/>
            </w:tcBorders>
            <w:shd w:val="clear" w:color="auto" w:fill="000000"/>
            <w:vAlign w:val="center"/>
          </w:tcPr>
          <w:p w14:paraId="7CDB3618" w14:textId="206580EF" w:rsidR="00C94139" w:rsidRPr="001E77CE" w:rsidRDefault="00D218BB" w:rsidP="008C679D">
            <w:pPr>
              <w:jc w:val="center"/>
              <w:rPr>
                <w:rFonts w:asciiTheme="minorHAnsi" w:hAnsiTheme="minorHAnsi" w:cstheme="minorHAnsi"/>
                <w:b/>
                <w:bCs/>
                <w:color w:val="FFFFFF"/>
                <w:lang w:val="en-IN" w:eastAsia="en-IN"/>
              </w:rPr>
            </w:pPr>
            <w:r w:rsidRPr="001E77CE">
              <w:rPr>
                <w:rFonts w:asciiTheme="minorHAnsi" w:hAnsiTheme="minorHAnsi" w:cstheme="minorHAnsi"/>
                <w:b/>
                <w:bCs/>
                <w:color w:val="FFFFFF"/>
                <w:lang w:val="en-IN" w:eastAsia="en-IN"/>
              </w:rPr>
              <w:t>P-value</w:t>
            </w:r>
          </w:p>
        </w:tc>
      </w:tr>
      <w:tr w:rsidR="00C94139" w:rsidRPr="006917DD" w14:paraId="4AFBE2DA" w14:textId="77777777" w:rsidTr="00D218BB">
        <w:trPr>
          <w:trHeight w:val="223"/>
          <w:jc w:val="center"/>
        </w:trPr>
        <w:tc>
          <w:tcPr>
            <w:tcW w:w="3003" w:type="dxa"/>
            <w:shd w:val="clear" w:color="auto" w:fill="auto"/>
            <w:vAlign w:val="center"/>
            <w:hideMark/>
          </w:tcPr>
          <w:p w14:paraId="1049E77B" w14:textId="77777777" w:rsidR="00C94139" w:rsidRPr="00010730" w:rsidRDefault="00C94139" w:rsidP="008C679D">
            <w:pPr>
              <w:jc w:val="center"/>
              <w:rPr>
                <w:rFonts w:asciiTheme="minorHAnsi" w:hAnsiTheme="minorHAnsi" w:cstheme="minorHAnsi"/>
                <w:lang w:val="en-IN" w:eastAsia="en-IN"/>
              </w:rPr>
            </w:pPr>
            <w:r w:rsidRPr="006917DD">
              <w:rPr>
                <w:rFonts w:asciiTheme="minorHAnsi" w:hAnsiTheme="minorHAnsi" w:cstheme="minorHAnsi"/>
                <w:b/>
                <w:bCs/>
                <w:color w:val="000000"/>
                <w:kern w:val="24"/>
                <w:lang w:val="en-IN" w:eastAsia="en-IN"/>
              </w:rPr>
              <w:t>Age at Diagnosis</w:t>
            </w:r>
          </w:p>
        </w:tc>
        <w:tc>
          <w:tcPr>
            <w:tcW w:w="2390" w:type="dxa"/>
            <w:shd w:val="clear" w:color="auto" w:fill="auto"/>
            <w:vAlign w:val="center"/>
          </w:tcPr>
          <w:p w14:paraId="7E4218C5" w14:textId="77777777" w:rsidR="00C94139" w:rsidRPr="0033461C" w:rsidRDefault="00C94139" w:rsidP="008C679D">
            <w:pPr>
              <w:jc w:val="center"/>
              <w:rPr>
                <w:rFonts w:asciiTheme="minorHAnsi" w:hAnsiTheme="minorHAnsi" w:cstheme="minorHAnsi"/>
                <w:i/>
                <w:iCs/>
                <w:lang w:val="en-IN" w:eastAsia="en-IN"/>
              </w:rPr>
            </w:pPr>
            <w:r>
              <w:rPr>
                <w:rFonts w:asciiTheme="minorHAnsi" w:hAnsiTheme="minorHAnsi" w:cstheme="minorHAnsi"/>
                <w:i/>
                <w:iCs/>
                <w:lang w:val="en-IN" w:eastAsia="en-IN"/>
              </w:rPr>
              <w:t>13 (1-61)</w:t>
            </w:r>
          </w:p>
        </w:tc>
        <w:tc>
          <w:tcPr>
            <w:tcW w:w="2268" w:type="dxa"/>
            <w:shd w:val="clear" w:color="auto" w:fill="auto"/>
            <w:vAlign w:val="center"/>
          </w:tcPr>
          <w:p w14:paraId="48BD4706" w14:textId="77777777" w:rsidR="00C94139" w:rsidRPr="006917DD" w:rsidRDefault="00C94139" w:rsidP="008C679D">
            <w:pPr>
              <w:jc w:val="center"/>
              <w:rPr>
                <w:rFonts w:asciiTheme="minorHAnsi" w:hAnsiTheme="minorHAnsi" w:cstheme="minorHAnsi"/>
                <w:i/>
                <w:iCs/>
                <w:lang w:val="en-IN" w:eastAsia="en-IN"/>
              </w:rPr>
            </w:pPr>
            <w:r w:rsidRPr="00030690">
              <w:rPr>
                <w:rFonts w:asciiTheme="minorHAnsi" w:hAnsiTheme="minorHAnsi" w:cstheme="minorHAnsi"/>
                <w:i/>
                <w:iCs/>
                <w:lang w:val="en-IN" w:eastAsia="en-IN"/>
              </w:rPr>
              <w:t>17 (1-63)</w:t>
            </w:r>
          </w:p>
        </w:tc>
        <w:tc>
          <w:tcPr>
            <w:tcW w:w="1134" w:type="dxa"/>
            <w:shd w:val="clear" w:color="auto" w:fill="auto"/>
            <w:vAlign w:val="center"/>
          </w:tcPr>
          <w:p w14:paraId="205A8062" w14:textId="77777777" w:rsidR="00C94139" w:rsidRPr="001E77CE" w:rsidRDefault="00C94139" w:rsidP="008C679D">
            <w:pPr>
              <w:jc w:val="center"/>
              <w:rPr>
                <w:rFonts w:asciiTheme="minorHAnsi" w:hAnsiTheme="minorHAnsi" w:cstheme="minorHAnsi"/>
                <w:i/>
                <w:iCs/>
                <w:color w:val="000000"/>
                <w:kern w:val="24"/>
                <w:lang w:val="en-IN" w:eastAsia="en-IN"/>
              </w:rPr>
            </w:pPr>
            <w:r w:rsidRPr="001E77CE">
              <w:rPr>
                <w:rFonts w:asciiTheme="minorHAnsi" w:hAnsiTheme="minorHAnsi" w:cstheme="minorHAnsi"/>
                <w:i/>
                <w:iCs/>
                <w:color w:val="000000"/>
                <w:kern w:val="24"/>
                <w:lang w:val="en-IN" w:eastAsia="en-IN"/>
              </w:rPr>
              <w:t>0.729</w:t>
            </w:r>
          </w:p>
        </w:tc>
      </w:tr>
      <w:tr w:rsidR="00C94139" w:rsidRPr="006917DD" w14:paraId="55B515CD" w14:textId="77777777" w:rsidTr="00D218BB">
        <w:trPr>
          <w:trHeight w:val="223"/>
          <w:jc w:val="center"/>
        </w:trPr>
        <w:tc>
          <w:tcPr>
            <w:tcW w:w="3003" w:type="dxa"/>
            <w:shd w:val="clear" w:color="auto" w:fill="auto"/>
            <w:vAlign w:val="center"/>
          </w:tcPr>
          <w:p w14:paraId="3C3AA853" w14:textId="77777777" w:rsidR="00C94139" w:rsidRPr="006917DD" w:rsidRDefault="00C94139" w:rsidP="008C679D">
            <w:pPr>
              <w:jc w:val="center"/>
              <w:rPr>
                <w:rFonts w:asciiTheme="minorHAnsi" w:hAnsiTheme="minorHAnsi" w:cstheme="minorHAnsi"/>
                <w:b/>
                <w:bCs/>
                <w:color w:val="000000"/>
                <w:kern w:val="24"/>
                <w:lang w:val="en-IN" w:eastAsia="en-IN"/>
              </w:rPr>
            </w:pPr>
            <w:r>
              <w:rPr>
                <w:rFonts w:asciiTheme="minorHAnsi" w:hAnsiTheme="minorHAnsi" w:cstheme="minorHAnsi"/>
                <w:b/>
                <w:bCs/>
                <w:color w:val="000000"/>
                <w:kern w:val="24"/>
                <w:lang w:val="en-IN" w:eastAsia="en-IN"/>
              </w:rPr>
              <w:t>BSA (m</w:t>
            </w:r>
            <w:r w:rsidRPr="000B07F9">
              <w:rPr>
                <w:rFonts w:asciiTheme="minorHAnsi" w:hAnsiTheme="minorHAnsi" w:cstheme="minorHAnsi"/>
                <w:b/>
                <w:bCs/>
                <w:color w:val="000000"/>
                <w:kern w:val="24"/>
                <w:vertAlign w:val="superscript"/>
                <w:lang w:val="en-IN" w:eastAsia="en-IN"/>
              </w:rPr>
              <w:t>2</w:t>
            </w:r>
            <w:r>
              <w:rPr>
                <w:rFonts w:asciiTheme="minorHAnsi" w:hAnsiTheme="minorHAnsi" w:cstheme="minorHAnsi"/>
                <w:b/>
                <w:bCs/>
                <w:color w:val="000000"/>
                <w:kern w:val="24"/>
                <w:lang w:val="en-IN" w:eastAsia="en-IN"/>
              </w:rPr>
              <w:t>)</w:t>
            </w:r>
          </w:p>
        </w:tc>
        <w:tc>
          <w:tcPr>
            <w:tcW w:w="2390" w:type="dxa"/>
            <w:shd w:val="clear" w:color="auto" w:fill="auto"/>
            <w:vAlign w:val="center"/>
          </w:tcPr>
          <w:p w14:paraId="31585DE8" w14:textId="77777777" w:rsidR="00C94139" w:rsidRDefault="00C94139" w:rsidP="008C679D">
            <w:pPr>
              <w:jc w:val="center"/>
              <w:rPr>
                <w:rFonts w:asciiTheme="minorHAnsi" w:hAnsiTheme="minorHAnsi" w:cstheme="minorHAnsi"/>
                <w:i/>
                <w:iCs/>
                <w:lang w:val="en-IN" w:eastAsia="en-IN"/>
              </w:rPr>
            </w:pPr>
            <w:r>
              <w:rPr>
                <w:rFonts w:asciiTheme="minorHAnsi" w:hAnsiTheme="minorHAnsi" w:cstheme="minorHAnsi"/>
                <w:i/>
                <w:iCs/>
                <w:lang w:val="en-IN" w:eastAsia="en-IN"/>
              </w:rPr>
              <w:t>1.28 (0.49-2.03)</w:t>
            </w:r>
          </w:p>
        </w:tc>
        <w:tc>
          <w:tcPr>
            <w:tcW w:w="2268" w:type="dxa"/>
            <w:shd w:val="clear" w:color="auto" w:fill="auto"/>
            <w:vAlign w:val="center"/>
          </w:tcPr>
          <w:p w14:paraId="26175A62" w14:textId="77777777" w:rsidR="00C94139" w:rsidRPr="00030690" w:rsidRDefault="00C94139" w:rsidP="008C679D">
            <w:pPr>
              <w:jc w:val="center"/>
              <w:rPr>
                <w:rFonts w:asciiTheme="minorHAnsi" w:hAnsiTheme="minorHAnsi" w:cstheme="minorHAnsi"/>
                <w:i/>
                <w:iCs/>
                <w:lang w:val="en-IN" w:eastAsia="en-IN"/>
              </w:rPr>
            </w:pPr>
            <w:r w:rsidRPr="000B07F9">
              <w:rPr>
                <w:rFonts w:asciiTheme="minorHAnsi" w:hAnsiTheme="minorHAnsi" w:cstheme="minorHAnsi"/>
                <w:i/>
                <w:iCs/>
                <w:lang w:val="en-IN" w:eastAsia="en-IN"/>
              </w:rPr>
              <w:t>1.5 (0.4-2.1)</w:t>
            </w:r>
          </w:p>
        </w:tc>
        <w:tc>
          <w:tcPr>
            <w:tcW w:w="1134" w:type="dxa"/>
            <w:shd w:val="clear" w:color="auto" w:fill="auto"/>
            <w:vAlign w:val="center"/>
          </w:tcPr>
          <w:p w14:paraId="68F337EB" w14:textId="77777777" w:rsidR="00C94139" w:rsidRPr="001E77CE" w:rsidRDefault="00C94139" w:rsidP="008C679D">
            <w:pPr>
              <w:jc w:val="center"/>
              <w:rPr>
                <w:rFonts w:asciiTheme="minorHAnsi" w:hAnsiTheme="minorHAnsi" w:cstheme="minorHAnsi"/>
                <w:i/>
                <w:iCs/>
                <w:color w:val="000000"/>
                <w:kern w:val="24"/>
                <w:lang w:val="en-IN" w:eastAsia="en-IN"/>
              </w:rPr>
            </w:pPr>
            <w:r>
              <w:rPr>
                <w:rFonts w:asciiTheme="minorHAnsi" w:hAnsiTheme="minorHAnsi" w:cstheme="minorHAnsi"/>
                <w:i/>
                <w:iCs/>
                <w:color w:val="000000"/>
                <w:kern w:val="24"/>
                <w:lang w:val="en-IN" w:eastAsia="en-IN"/>
              </w:rPr>
              <w:t>0.309</w:t>
            </w:r>
          </w:p>
        </w:tc>
      </w:tr>
      <w:tr w:rsidR="00C94139" w:rsidRPr="006917DD" w14:paraId="02EB6795" w14:textId="77777777" w:rsidTr="00D218BB">
        <w:trPr>
          <w:trHeight w:val="519"/>
          <w:jc w:val="center"/>
        </w:trPr>
        <w:tc>
          <w:tcPr>
            <w:tcW w:w="3003" w:type="dxa"/>
            <w:shd w:val="clear" w:color="auto" w:fill="auto"/>
            <w:vAlign w:val="center"/>
            <w:hideMark/>
          </w:tcPr>
          <w:p w14:paraId="1F1234BD" w14:textId="77777777" w:rsidR="00C94139" w:rsidRPr="00010730" w:rsidRDefault="00C94139" w:rsidP="008C679D">
            <w:pPr>
              <w:jc w:val="center"/>
              <w:rPr>
                <w:rFonts w:asciiTheme="minorHAnsi" w:hAnsiTheme="minorHAnsi" w:cstheme="minorHAnsi"/>
                <w:lang w:val="en-IN" w:eastAsia="en-IN"/>
              </w:rPr>
            </w:pPr>
            <w:r w:rsidRPr="006917DD">
              <w:rPr>
                <w:rFonts w:asciiTheme="minorHAnsi" w:hAnsiTheme="minorHAnsi" w:cstheme="minorHAnsi"/>
                <w:b/>
                <w:bCs/>
                <w:color w:val="000000"/>
                <w:kern w:val="24"/>
                <w:lang w:val="en-IN" w:eastAsia="en-IN"/>
              </w:rPr>
              <w:t>Sex</w:t>
            </w:r>
          </w:p>
          <w:p w14:paraId="187DF348" w14:textId="77777777" w:rsidR="00C94139" w:rsidRPr="0033461C" w:rsidRDefault="00C94139" w:rsidP="008C679D">
            <w:pPr>
              <w:jc w:val="center"/>
              <w:rPr>
                <w:rFonts w:asciiTheme="minorHAnsi" w:hAnsiTheme="minorHAnsi" w:cstheme="minorHAnsi"/>
                <w:lang w:val="en-IN" w:eastAsia="en-IN"/>
              </w:rPr>
            </w:pPr>
            <w:r w:rsidRPr="0033461C">
              <w:rPr>
                <w:rFonts w:asciiTheme="minorHAnsi" w:hAnsiTheme="minorHAnsi" w:cstheme="minorHAnsi"/>
                <w:color w:val="000000"/>
                <w:kern w:val="24"/>
                <w:lang w:val="en-IN" w:eastAsia="en-IN"/>
              </w:rPr>
              <w:t>Male</w:t>
            </w:r>
          </w:p>
          <w:p w14:paraId="32EAC29C" w14:textId="77777777" w:rsidR="00C94139" w:rsidRPr="006917DD" w:rsidRDefault="00C94139" w:rsidP="008C679D">
            <w:pPr>
              <w:jc w:val="center"/>
              <w:rPr>
                <w:rFonts w:asciiTheme="minorHAnsi" w:hAnsiTheme="minorHAnsi" w:cstheme="minorHAnsi"/>
                <w:lang w:val="en-IN" w:eastAsia="en-IN"/>
              </w:rPr>
            </w:pPr>
            <w:r w:rsidRPr="006917DD">
              <w:rPr>
                <w:rFonts w:asciiTheme="minorHAnsi" w:hAnsiTheme="minorHAnsi" w:cstheme="minorHAnsi"/>
                <w:color w:val="000000"/>
                <w:kern w:val="24"/>
                <w:lang w:val="en-IN" w:eastAsia="en-IN"/>
              </w:rPr>
              <w:t>Female</w:t>
            </w:r>
          </w:p>
        </w:tc>
        <w:tc>
          <w:tcPr>
            <w:tcW w:w="2390" w:type="dxa"/>
            <w:shd w:val="clear" w:color="auto" w:fill="auto"/>
            <w:vAlign w:val="center"/>
          </w:tcPr>
          <w:p w14:paraId="7338B003" w14:textId="77777777" w:rsidR="00C94139" w:rsidRDefault="00C94139" w:rsidP="008C679D">
            <w:pPr>
              <w:jc w:val="center"/>
              <w:rPr>
                <w:rFonts w:asciiTheme="minorHAnsi" w:hAnsiTheme="minorHAnsi" w:cstheme="minorHAnsi"/>
                <w:i/>
                <w:iCs/>
                <w:lang w:val="en-IN" w:eastAsia="en-IN"/>
              </w:rPr>
            </w:pPr>
          </w:p>
          <w:p w14:paraId="60C55F05" w14:textId="77777777" w:rsidR="00C94139" w:rsidRDefault="00C94139" w:rsidP="008C679D">
            <w:pPr>
              <w:jc w:val="center"/>
              <w:rPr>
                <w:rFonts w:asciiTheme="minorHAnsi" w:hAnsiTheme="minorHAnsi" w:cstheme="minorHAnsi"/>
                <w:i/>
                <w:iCs/>
                <w:lang w:val="en-IN" w:eastAsia="en-IN"/>
              </w:rPr>
            </w:pPr>
            <w:r>
              <w:rPr>
                <w:rFonts w:asciiTheme="minorHAnsi" w:hAnsiTheme="minorHAnsi" w:cstheme="minorHAnsi"/>
                <w:i/>
                <w:iCs/>
                <w:lang w:val="en-IN" w:eastAsia="en-IN"/>
              </w:rPr>
              <w:t>73 (68.2)</w:t>
            </w:r>
          </w:p>
          <w:p w14:paraId="0EDB2D71" w14:textId="77777777" w:rsidR="00C94139" w:rsidRPr="006917DD" w:rsidRDefault="00C94139" w:rsidP="008C679D">
            <w:pPr>
              <w:jc w:val="center"/>
              <w:rPr>
                <w:rFonts w:asciiTheme="minorHAnsi" w:hAnsiTheme="minorHAnsi" w:cstheme="minorHAnsi"/>
                <w:i/>
                <w:iCs/>
                <w:lang w:val="en-IN" w:eastAsia="en-IN"/>
              </w:rPr>
            </w:pPr>
            <w:r>
              <w:rPr>
                <w:rFonts w:asciiTheme="minorHAnsi" w:hAnsiTheme="minorHAnsi" w:cstheme="minorHAnsi"/>
                <w:i/>
                <w:iCs/>
                <w:lang w:val="en-IN" w:eastAsia="en-IN"/>
              </w:rPr>
              <w:t xml:space="preserve">34 (31.8)  </w:t>
            </w:r>
          </w:p>
        </w:tc>
        <w:tc>
          <w:tcPr>
            <w:tcW w:w="2268" w:type="dxa"/>
            <w:shd w:val="clear" w:color="auto" w:fill="auto"/>
            <w:vAlign w:val="center"/>
          </w:tcPr>
          <w:p w14:paraId="096B0DBD" w14:textId="77777777" w:rsidR="00C94139" w:rsidRDefault="00C94139" w:rsidP="008C679D">
            <w:pPr>
              <w:jc w:val="center"/>
              <w:rPr>
                <w:rFonts w:asciiTheme="minorHAnsi" w:hAnsiTheme="minorHAnsi" w:cstheme="minorHAnsi"/>
                <w:i/>
                <w:iCs/>
                <w:lang w:val="en-IN" w:eastAsia="en-IN"/>
              </w:rPr>
            </w:pPr>
          </w:p>
          <w:p w14:paraId="6AFABC49" w14:textId="77777777" w:rsidR="00C94139" w:rsidRPr="00030690" w:rsidRDefault="00C94139" w:rsidP="008C679D">
            <w:pPr>
              <w:jc w:val="center"/>
              <w:rPr>
                <w:rFonts w:asciiTheme="minorHAnsi" w:hAnsiTheme="minorHAnsi" w:cstheme="minorHAnsi"/>
                <w:i/>
                <w:iCs/>
                <w:lang w:val="en-IN" w:eastAsia="en-IN"/>
              </w:rPr>
            </w:pPr>
            <w:r w:rsidRPr="00030690">
              <w:rPr>
                <w:rFonts w:asciiTheme="minorHAnsi" w:hAnsiTheme="minorHAnsi" w:cstheme="minorHAnsi"/>
                <w:i/>
                <w:iCs/>
                <w:lang w:val="en-IN" w:eastAsia="en-IN"/>
              </w:rPr>
              <w:t>8</w:t>
            </w:r>
            <w:r>
              <w:rPr>
                <w:rFonts w:asciiTheme="minorHAnsi" w:hAnsiTheme="minorHAnsi" w:cstheme="minorHAnsi"/>
                <w:i/>
                <w:iCs/>
                <w:lang w:val="en-IN" w:eastAsia="en-IN"/>
              </w:rPr>
              <w:t>8 (66.2)</w:t>
            </w:r>
          </w:p>
          <w:p w14:paraId="3016384D" w14:textId="77777777" w:rsidR="00C94139" w:rsidRPr="0033461C" w:rsidRDefault="00C94139" w:rsidP="008C679D">
            <w:pPr>
              <w:jc w:val="center"/>
              <w:rPr>
                <w:rFonts w:asciiTheme="minorHAnsi" w:hAnsiTheme="minorHAnsi" w:cstheme="minorHAnsi"/>
                <w:i/>
                <w:iCs/>
                <w:lang w:val="en-IN" w:eastAsia="en-IN"/>
              </w:rPr>
            </w:pPr>
            <w:r w:rsidRPr="00030690">
              <w:rPr>
                <w:rFonts w:asciiTheme="minorHAnsi" w:hAnsiTheme="minorHAnsi" w:cstheme="minorHAnsi"/>
                <w:i/>
                <w:iCs/>
                <w:lang w:val="en-IN" w:eastAsia="en-IN"/>
              </w:rPr>
              <w:t>4</w:t>
            </w:r>
            <w:r>
              <w:rPr>
                <w:rFonts w:asciiTheme="minorHAnsi" w:hAnsiTheme="minorHAnsi" w:cstheme="minorHAnsi"/>
                <w:i/>
                <w:iCs/>
                <w:lang w:val="en-IN" w:eastAsia="en-IN"/>
              </w:rPr>
              <w:t>5 (33.8)</w:t>
            </w:r>
          </w:p>
        </w:tc>
        <w:tc>
          <w:tcPr>
            <w:tcW w:w="1134" w:type="dxa"/>
            <w:shd w:val="clear" w:color="auto" w:fill="auto"/>
            <w:vAlign w:val="center"/>
          </w:tcPr>
          <w:p w14:paraId="5F7ABE82" w14:textId="77777777" w:rsidR="00C94139" w:rsidRPr="001E77CE" w:rsidRDefault="00C94139" w:rsidP="008C679D">
            <w:pPr>
              <w:jc w:val="center"/>
              <w:rPr>
                <w:rFonts w:asciiTheme="minorHAnsi" w:hAnsiTheme="minorHAnsi" w:cstheme="minorHAnsi"/>
                <w:i/>
                <w:iCs/>
                <w:color w:val="000000"/>
                <w:kern w:val="24"/>
                <w:lang w:val="en-IN" w:eastAsia="en-IN"/>
              </w:rPr>
            </w:pPr>
            <w:r w:rsidRPr="001E77CE">
              <w:rPr>
                <w:rFonts w:asciiTheme="minorHAnsi" w:hAnsiTheme="minorHAnsi" w:cstheme="minorHAnsi"/>
                <w:i/>
                <w:iCs/>
                <w:color w:val="000000"/>
                <w:kern w:val="24"/>
                <w:lang w:val="en-IN" w:eastAsia="en-IN"/>
              </w:rPr>
              <w:t>0.783</w:t>
            </w:r>
          </w:p>
        </w:tc>
      </w:tr>
      <w:tr w:rsidR="00C94139" w:rsidRPr="006917DD" w14:paraId="6B77A855" w14:textId="77777777" w:rsidTr="00D218BB">
        <w:trPr>
          <w:trHeight w:val="810"/>
          <w:jc w:val="center"/>
        </w:trPr>
        <w:tc>
          <w:tcPr>
            <w:tcW w:w="3003" w:type="dxa"/>
            <w:shd w:val="clear" w:color="auto" w:fill="auto"/>
            <w:vAlign w:val="center"/>
            <w:hideMark/>
          </w:tcPr>
          <w:p w14:paraId="1BF17741" w14:textId="77777777" w:rsidR="00C94139" w:rsidRPr="00010730" w:rsidRDefault="00C94139" w:rsidP="008C679D">
            <w:pPr>
              <w:jc w:val="center"/>
              <w:rPr>
                <w:rFonts w:asciiTheme="minorHAnsi" w:hAnsiTheme="minorHAnsi" w:cstheme="minorHAnsi"/>
                <w:lang w:val="en-IN" w:eastAsia="en-IN"/>
              </w:rPr>
            </w:pPr>
            <w:r w:rsidRPr="006917DD">
              <w:rPr>
                <w:rFonts w:asciiTheme="minorHAnsi" w:hAnsiTheme="minorHAnsi" w:cstheme="minorHAnsi"/>
                <w:b/>
                <w:bCs/>
                <w:color w:val="000000"/>
                <w:kern w:val="24"/>
                <w:lang w:val="en-IN" w:eastAsia="en-IN"/>
              </w:rPr>
              <w:t>Immunophenotype</w:t>
            </w:r>
          </w:p>
          <w:p w14:paraId="1978ADF8" w14:textId="77777777" w:rsidR="00C94139" w:rsidRPr="0033461C" w:rsidRDefault="00C94139" w:rsidP="008C679D">
            <w:pPr>
              <w:jc w:val="center"/>
              <w:rPr>
                <w:rFonts w:asciiTheme="minorHAnsi" w:hAnsiTheme="minorHAnsi" w:cstheme="minorHAnsi"/>
                <w:lang w:val="en-IN" w:eastAsia="en-IN"/>
              </w:rPr>
            </w:pPr>
            <w:r w:rsidRPr="0033461C">
              <w:rPr>
                <w:rFonts w:asciiTheme="minorHAnsi" w:hAnsiTheme="minorHAnsi" w:cstheme="minorHAnsi"/>
                <w:color w:val="000000"/>
                <w:kern w:val="24"/>
                <w:lang w:val="en-IN" w:eastAsia="en-IN"/>
              </w:rPr>
              <w:t>B cell</w:t>
            </w:r>
          </w:p>
          <w:p w14:paraId="45B6B3CC" w14:textId="77777777" w:rsidR="00C94139" w:rsidRDefault="00C94139" w:rsidP="008C679D">
            <w:pPr>
              <w:jc w:val="center"/>
              <w:rPr>
                <w:rFonts w:asciiTheme="minorHAnsi" w:hAnsiTheme="minorHAnsi" w:cstheme="minorHAnsi"/>
                <w:color w:val="000000"/>
                <w:kern w:val="24"/>
                <w:lang w:val="en-IN" w:eastAsia="en-IN"/>
              </w:rPr>
            </w:pPr>
            <w:r w:rsidRPr="006917DD">
              <w:rPr>
                <w:rFonts w:asciiTheme="minorHAnsi" w:hAnsiTheme="minorHAnsi" w:cstheme="minorHAnsi"/>
                <w:color w:val="000000"/>
                <w:kern w:val="24"/>
                <w:lang w:val="en-IN" w:eastAsia="en-IN"/>
              </w:rPr>
              <w:t>T cell</w:t>
            </w:r>
          </w:p>
          <w:p w14:paraId="0D1C7580" w14:textId="77777777" w:rsidR="00C94139" w:rsidRPr="006917DD" w:rsidRDefault="00C94139" w:rsidP="008C679D">
            <w:pPr>
              <w:jc w:val="center"/>
              <w:rPr>
                <w:rFonts w:asciiTheme="minorHAnsi" w:hAnsiTheme="minorHAnsi" w:cstheme="minorHAnsi"/>
                <w:lang w:val="en-IN" w:eastAsia="en-IN"/>
              </w:rPr>
            </w:pPr>
            <w:r>
              <w:rPr>
                <w:rFonts w:asciiTheme="minorHAnsi" w:hAnsiTheme="minorHAnsi" w:cstheme="minorHAnsi"/>
                <w:lang w:val="en-IN" w:eastAsia="en-IN"/>
              </w:rPr>
              <w:t>BP-ALL</w:t>
            </w:r>
          </w:p>
          <w:p w14:paraId="17D4618E" w14:textId="77777777" w:rsidR="00C94139" w:rsidRDefault="00C94139" w:rsidP="008C679D">
            <w:pPr>
              <w:jc w:val="center"/>
              <w:rPr>
                <w:rFonts w:asciiTheme="minorHAnsi" w:hAnsiTheme="minorHAnsi" w:cstheme="minorHAnsi"/>
                <w:color w:val="000000"/>
                <w:kern w:val="24"/>
                <w:lang w:val="en-IN" w:eastAsia="en-IN"/>
              </w:rPr>
            </w:pPr>
            <w:r w:rsidRPr="006917DD">
              <w:rPr>
                <w:rFonts w:asciiTheme="minorHAnsi" w:hAnsiTheme="minorHAnsi" w:cstheme="minorHAnsi"/>
                <w:color w:val="000000"/>
                <w:kern w:val="24"/>
                <w:lang w:val="en-IN" w:eastAsia="en-IN"/>
              </w:rPr>
              <w:t>MP-ALL</w:t>
            </w:r>
          </w:p>
          <w:p w14:paraId="49AF44F3" w14:textId="77777777" w:rsidR="00C94139" w:rsidRPr="006917DD" w:rsidRDefault="00C94139" w:rsidP="008C679D">
            <w:pPr>
              <w:jc w:val="center"/>
              <w:rPr>
                <w:rFonts w:asciiTheme="minorHAnsi" w:hAnsiTheme="minorHAnsi" w:cstheme="minorHAnsi"/>
                <w:lang w:val="en-IN" w:eastAsia="en-IN"/>
              </w:rPr>
            </w:pPr>
            <w:r>
              <w:rPr>
                <w:rFonts w:asciiTheme="minorHAnsi" w:hAnsiTheme="minorHAnsi" w:cstheme="minorHAnsi"/>
                <w:lang w:val="en-IN" w:eastAsia="en-IN"/>
              </w:rPr>
              <w:t>ETP-ALL</w:t>
            </w:r>
          </w:p>
          <w:p w14:paraId="63F4F93D" w14:textId="77777777" w:rsidR="00C94139" w:rsidRPr="006917DD" w:rsidRDefault="00C94139" w:rsidP="008C679D">
            <w:pPr>
              <w:jc w:val="center"/>
              <w:rPr>
                <w:rFonts w:asciiTheme="minorHAnsi" w:hAnsiTheme="minorHAnsi" w:cstheme="minorHAnsi"/>
                <w:lang w:val="en-IN" w:eastAsia="en-IN"/>
              </w:rPr>
            </w:pPr>
            <w:r w:rsidRPr="006917DD">
              <w:rPr>
                <w:rFonts w:asciiTheme="minorHAnsi" w:hAnsiTheme="minorHAnsi" w:cstheme="minorHAnsi"/>
                <w:color w:val="000000"/>
                <w:kern w:val="24"/>
                <w:lang w:val="en-IN" w:eastAsia="en-IN"/>
              </w:rPr>
              <w:t>NA</w:t>
            </w:r>
          </w:p>
        </w:tc>
        <w:tc>
          <w:tcPr>
            <w:tcW w:w="2390" w:type="dxa"/>
            <w:shd w:val="clear" w:color="auto" w:fill="auto"/>
            <w:vAlign w:val="center"/>
          </w:tcPr>
          <w:p w14:paraId="480A86A1" w14:textId="77777777" w:rsidR="00C94139" w:rsidRDefault="00C94139" w:rsidP="008C679D">
            <w:pPr>
              <w:jc w:val="center"/>
              <w:rPr>
                <w:rFonts w:asciiTheme="minorHAnsi" w:hAnsiTheme="minorHAnsi" w:cstheme="minorHAnsi"/>
                <w:i/>
                <w:iCs/>
                <w:lang w:val="en-IN" w:eastAsia="en-IN"/>
              </w:rPr>
            </w:pPr>
          </w:p>
          <w:p w14:paraId="56DBB6CA" w14:textId="77777777" w:rsidR="00C94139" w:rsidRDefault="00C94139" w:rsidP="008C679D">
            <w:pPr>
              <w:jc w:val="center"/>
              <w:rPr>
                <w:rFonts w:asciiTheme="minorHAnsi" w:hAnsiTheme="minorHAnsi" w:cstheme="minorHAnsi"/>
                <w:i/>
                <w:iCs/>
                <w:lang w:val="en-IN" w:eastAsia="en-IN"/>
              </w:rPr>
            </w:pPr>
            <w:r>
              <w:rPr>
                <w:rFonts w:asciiTheme="minorHAnsi" w:hAnsiTheme="minorHAnsi" w:cstheme="minorHAnsi"/>
                <w:i/>
                <w:iCs/>
                <w:lang w:val="en-IN" w:eastAsia="en-IN"/>
              </w:rPr>
              <w:t>78 (72.9)</w:t>
            </w:r>
          </w:p>
          <w:p w14:paraId="4600373A" w14:textId="77777777" w:rsidR="00C94139" w:rsidRDefault="00C94139" w:rsidP="008C679D">
            <w:pPr>
              <w:jc w:val="center"/>
              <w:rPr>
                <w:rFonts w:asciiTheme="minorHAnsi" w:hAnsiTheme="minorHAnsi" w:cstheme="minorHAnsi"/>
                <w:i/>
                <w:iCs/>
                <w:lang w:val="en-IN" w:eastAsia="en-IN"/>
              </w:rPr>
            </w:pPr>
            <w:r>
              <w:rPr>
                <w:rFonts w:asciiTheme="minorHAnsi" w:hAnsiTheme="minorHAnsi" w:cstheme="minorHAnsi"/>
                <w:i/>
                <w:iCs/>
                <w:lang w:val="en-IN" w:eastAsia="en-IN"/>
              </w:rPr>
              <w:t>22 (20.6)</w:t>
            </w:r>
          </w:p>
          <w:p w14:paraId="11538FBA" w14:textId="77777777" w:rsidR="00C94139" w:rsidRDefault="00C94139" w:rsidP="008C679D">
            <w:pPr>
              <w:jc w:val="center"/>
              <w:rPr>
                <w:rFonts w:asciiTheme="minorHAnsi" w:hAnsiTheme="minorHAnsi" w:cstheme="minorHAnsi"/>
                <w:i/>
                <w:iCs/>
                <w:lang w:val="en-IN" w:eastAsia="en-IN"/>
              </w:rPr>
            </w:pPr>
            <w:r>
              <w:rPr>
                <w:rFonts w:asciiTheme="minorHAnsi" w:hAnsiTheme="minorHAnsi" w:cstheme="minorHAnsi"/>
                <w:i/>
                <w:iCs/>
                <w:lang w:val="en-IN" w:eastAsia="en-IN"/>
              </w:rPr>
              <w:t>1 (0.9)</w:t>
            </w:r>
          </w:p>
          <w:p w14:paraId="4DBD9C60" w14:textId="77777777" w:rsidR="00C94139" w:rsidRDefault="00C94139" w:rsidP="008C679D">
            <w:pPr>
              <w:jc w:val="center"/>
              <w:rPr>
                <w:rFonts w:asciiTheme="minorHAnsi" w:hAnsiTheme="minorHAnsi" w:cstheme="minorHAnsi"/>
                <w:i/>
                <w:iCs/>
                <w:lang w:val="en-IN" w:eastAsia="en-IN"/>
              </w:rPr>
            </w:pPr>
            <w:r>
              <w:rPr>
                <w:rFonts w:asciiTheme="minorHAnsi" w:hAnsiTheme="minorHAnsi" w:cstheme="minorHAnsi"/>
                <w:i/>
                <w:iCs/>
                <w:lang w:val="en-IN" w:eastAsia="en-IN"/>
              </w:rPr>
              <w:t>-</w:t>
            </w:r>
          </w:p>
          <w:p w14:paraId="7E24E57D" w14:textId="77777777" w:rsidR="00C94139" w:rsidRDefault="00C94139" w:rsidP="008C679D">
            <w:pPr>
              <w:jc w:val="center"/>
              <w:rPr>
                <w:rFonts w:asciiTheme="minorHAnsi" w:hAnsiTheme="minorHAnsi" w:cstheme="minorHAnsi"/>
                <w:i/>
                <w:iCs/>
                <w:lang w:val="en-IN" w:eastAsia="en-IN"/>
              </w:rPr>
            </w:pPr>
            <w:r>
              <w:rPr>
                <w:rFonts w:asciiTheme="minorHAnsi" w:hAnsiTheme="minorHAnsi" w:cstheme="minorHAnsi"/>
                <w:i/>
                <w:iCs/>
                <w:lang w:val="en-IN" w:eastAsia="en-IN"/>
              </w:rPr>
              <w:t>2 (1.9)</w:t>
            </w:r>
          </w:p>
          <w:p w14:paraId="6884EBB6" w14:textId="77777777" w:rsidR="00C94139" w:rsidRPr="006917DD" w:rsidRDefault="00C94139" w:rsidP="008C679D">
            <w:pPr>
              <w:jc w:val="center"/>
              <w:rPr>
                <w:rFonts w:asciiTheme="minorHAnsi" w:hAnsiTheme="minorHAnsi" w:cstheme="minorHAnsi"/>
                <w:i/>
                <w:iCs/>
                <w:lang w:val="en-IN" w:eastAsia="en-IN"/>
              </w:rPr>
            </w:pPr>
            <w:r>
              <w:rPr>
                <w:rFonts w:asciiTheme="minorHAnsi" w:hAnsiTheme="minorHAnsi" w:cstheme="minorHAnsi"/>
                <w:i/>
                <w:iCs/>
                <w:lang w:val="en-IN" w:eastAsia="en-IN"/>
              </w:rPr>
              <w:t>4 (3.7)</w:t>
            </w:r>
          </w:p>
        </w:tc>
        <w:tc>
          <w:tcPr>
            <w:tcW w:w="2268" w:type="dxa"/>
            <w:shd w:val="clear" w:color="auto" w:fill="auto"/>
            <w:vAlign w:val="center"/>
          </w:tcPr>
          <w:p w14:paraId="4E539655" w14:textId="77777777" w:rsidR="00C94139" w:rsidRDefault="00C94139" w:rsidP="008C679D">
            <w:pPr>
              <w:jc w:val="center"/>
              <w:rPr>
                <w:rFonts w:asciiTheme="minorHAnsi" w:hAnsiTheme="minorHAnsi" w:cstheme="minorHAnsi"/>
                <w:i/>
                <w:iCs/>
                <w:lang w:val="en-IN" w:eastAsia="en-IN"/>
              </w:rPr>
            </w:pPr>
          </w:p>
          <w:p w14:paraId="77BB2653" w14:textId="77777777" w:rsidR="00C94139" w:rsidRPr="00030690" w:rsidRDefault="00C94139" w:rsidP="008C679D">
            <w:pPr>
              <w:jc w:val="center"/>
              <w:rPr>
                <w:rFonts w:asciiTheme="minorHAnsi" w:hAnsiTheme="minorHAnsi" w:cstheme="minorHAnsi"/>
                <w:i/>
                <w:iCs/>
                <w:lang w:val="en-IN" w:eastAsia="en-IN"/>
              </w:rPr>
            </w:pPr>
            <w:r w:rsidRPr="00030690">
              <w:rPr>
                <w:rFonts w:asciiTheme="minorHAnsi" w:hAnsiTheme="minorHAnsi" w:cstheme="minorHAnsi"/>
                <w:i/>
                <w:iCs/>
                <w:lang w:val="en-IN" w:eastAsia="en-IN"/>
              </w:rPr>
              <w:t>11</w:t>
            </w:r>
            <w:r>
              <w:rPr>
                <w:rFonts w:asciiTheme="minorHAnsi" w:hAnsiTheme="minorHAnsi" w:cstheme="minorHAnsi"/>
                <w:i/>
                <w:iCs/>
                <w:lang w:val="en-IN" w:eastAsia="en-IN"/>
              </w:rPr>
              <w:t>1 (83.6)</w:t>
            </w:r>
          </w:p>
          <w:p w14:paraId="61BA2A1F" w14:textId="77777777" w:rsidR="00C94139" w:rsidRDefault="00C94139" w:rsidP="008C679D">
            <w:pPr>
              <w:jc w:val="center"/>
              <w:rPr>
                <w:rFonts w:asciiTheme="minorHAnsi" w:hAnsiTheme="minorHAnsi" w:cstheme="minorHAnsi"/>
                <w:i/>
                <w:iCs/>
                <w:lang w:val="en-IN" w:eastAsia="en-IN"/>
              </w:rPr>
            </w:pPr>
            <w:r>
              <w:rPr>
                <w:rFonts w:asciiTheme="minorHAnsi" w:hAnsiTheme="minorHAnsi" w:cstheme="minorHAnsi"/>
                <w:i/>
                <w:iCs/>
                <w:lang w:val="en-IN" w:eastAsia="en-IN"/>
              </w:rPr>
              <w:t>20 (15)</w:t>
            </w:r>
          </w:p>
          <w:p w14:paraId="3DEEDDB9" w14:textId="77777777" w:rsidR="00C94139" w:rsidRPr="00030690" w:rsidRDefault="00C94139" w:rsidP="008C679D">
            <w:pPr>
              <w:jc w:val="center"/>
              <w:rPr>
                <w:rFonts w:asciiTheme="minorHAnsi" w:hAnsiTheme="minorHAnsi" w:cstheme="minorHAnsi"/>
                <w:i/>
                <w:iCs/>
                <w:lang w:val="en-IN" w:eastAsia="en-IN"/>
              </w:rPr>
            </w:pPr>
            <w:r>
              <w:rPr>
                <w:rFonts w:asciiTheme="minorHAnsi" w:hAnsiTheme="minorHAnsi" w:cstheme="minorHAnsi"/>
                <w:i/>
                <w:iCs/>
                <w:lang w:val="en-IN" w:eastAsia="en-IN"/>
              </w:rPr>
              <w:t>-</w:t>
            </w:r>
          </w:p>
          <w:p w14:paraId="0FBCE2B8" w14:textId="77777777" w:rsidR="00C94139" w:rsidRDefault="00C94139" w:rsidP="008C679D">
            <w:pPr>
              <w:jc w:val="center"/>
              <w:rPr>
                <w:rFonts w:asciiTheme="minorHAnsi" w:hAnsiTheme="minorHAnsi" w:cstheme="minorHAnsi"/>
                <w:i/>
                <w:iCs/>
                <w:lang w:val="en-IN" w:eastAsia="en-IN"/>
              </w:rPr>
            </w:pPr>
            <w:r w:rsidRPr="00030690">
              <w:rPr>
                <w:rFonts w:asciiTheme="minorHAnsi" w:hAnsiTheme="minorHAnsi" w:cstheme="minorHAnsi"/>
                <w:i/>
                <w:iCs/>
                <w:lang w:val="en-IN" w:eastAsia="en-IN"/>
              </w:rPr>
              <w:t>1</w:t>
            </w:r>
            <w:r>
              <w:rPr>
                <w:rFonts w:asciiTheme="minorHAnsi" w:hAnsiTheme="minorHAnsi" w:cstheme="minorHAnsi"/>
                <w:i/>
                <w:iCs/>
                <w:lang w:val="en-IN" w:eastAsia="en-IN"/>
              </w:rPr>
              <w:t xml:space="preserve"> (0.8)</w:t>
            </w:r>
          </w:p>
          <w:p w14:paraId="5C525E85" w14:textId="77777777" w:rsidR="00C94139" w:rsidRPr="00030690" w:rsidRDefault="00C94139" w:rsidP="008C679D">
            <w:pPr>
              <w:jc w:val="center"/>
              <w:rPr>
                <w:rFonts w:asciiTheme="minorHAnsi" w:hAnsiTheme="minorHAnsi" w:cstheme="minorHAnsi"/>
                <w:i/>
                <w:iCs/>
                <w:lang w:val="en-IN" w:eastAsia="en-IN"/>
              </w:rPr>
            </w:pPr>
            <w:r>
              <w:rPr>
                <w:rFonts w:asciiTheme="minorHAnsi" w:hAnsiTheme="minorHAnsi" w:cstheme="minorHAnsi"/>
                <w:i/>
                <w:iCs/>
                <w:lang w:val="en-IN" w:eastAsia="en-IN"/>
              </w:rPr>
              <w:t>-</w:t>
            </w:r>
          </w:p>
          <w:p w14:paraId="5F00FE90" w14:textId="77777777" w:rsidR="00C94139" w:rsidRPr="006917DD" w:rsidRDefault="00C94139" w:rsidP="008C679D">
            <w:pPr>
              <w:jc w:val="center"/>
              <w:rPr>
                <w:rFonts w:asciiTheme="minorHAnsi" w:hAnsiTheme="minorHAnsi" w:cstheme="minorHAnsi"/>
                <w:i/>
                <w:iCs/>
                <w:lang w:val="en-IN" w:eastAsia="en-IN"/>
              </w:rPr>
            </w:pPr>
            <w:r w:rsidRPr="00030690">
              <w:rPr>
                <w:rFonts w:asciiTheme="minorHAnsi" w:hAnsiTheme="minorHAnsi" w:cstheme="minorHAnsi"/>
                <w:i/>
                <w:iCs/>
                <w:lang w:val="en-IN" w:eastAsia="en-IN"/>
              </w:rPr>
              <w:t>1</w:t>
            </w:r>
            <w:r>
              <w:rPr>
                <w:rFonts w:asciiTheme="minorHAnsi" w:hAnsiTheme="minorHAnsi" w:cstheme="minorHAnsi"/>
                <w:i/>
                <w:iCs/>
                <w:lang w:val="en-IN" w:eastAsia="en-IN"/>
              </w:rPr>
              <w:t xml:space="preserve"> (0.8) </w:t>
            </w:r>
          </w:p>
        </w:tc>
        <w:tc>
          <w:tcPr>
            <w:tcW w:w="1134" w:type="dxa"/>
            <w:shd w:val="clear" w:color="auto" w:fill="auto"/>
            <w:vAlign w:val="center"/>
          </w:tcPr>
          <w:p w14:paraId="4432C9E1" w14:textId="77777777" w:rsidR="00C94139" w:rsidRPr="001E77CE" w:rsidRDefault="00C94139" w:rsidP="008C679D">
            <w:pPr>
              <w:jc w:val="center"/>
              <w:rPr>
                <w:rFonts w:asciiTheme="minorHAnsi" w:hAnsiTheme="minorHAnsi" w:cstheme="minorHAnsi"/>
                <w:i/>
                <w:iCs/>
                <w:color w:val="000000"/>
                <w:kern w:val="24"/>
                <w:lang w:val="en-IN" w:eastAsia="en-IN"/>
              </w:rPr>
            </w:pPr>
            <w:r w:rsidRPr="001E77CE">
              <w:rPr>
                <w:rFonts w:asciiTheme="minorHAnsi" w:hAnsiTheme="minorHAnsi" w:cstheme="minorHAnsi"/>
                <w:i/>
                <w:iCs/>
                <w:color w:val="000000"/>
                <w:kern w:val="24"/>
                <w:lang w:val="en-IN" w:eastAsia="en-IN"/>
              </w:rPr>
              <w:t xml:space="preserve"> 0.135</w:t>
            </w:r>
          </w:p>
        </w:tc>
      </w:tr>
      <w:tr w:rsidR="00C94139" w:rsidRPr="006917DD" w14:paraId="455513F6" w14:textId="77777777" w:rsidTr="00D218BB">
        <w:trPr>
          <w:trHeight w:val="290"/>
          <w:jc w:val="center"/>
        </w:trPr>
        <w:tc>
          <w:tcPr>
            <w:tcW w:w="3003" w:type="dxa"/>
            <w:shd w:val="clear" w:color="auto" w:fill="auto"/>
            <w:vAlign w:val="center"/>
            <w:hideMark/>
          </w:tcPr>
          <w:p w14:paraId="6881BEC9" w14:textId="77777777" w:rsidR="00C94139" w:rsidRPr="00010730" w:rsidRDefault="00C94139" w:rsidP="008C679D">
            <w:pPr>
              <w:jc w:val="center"/>
              <w:rPr>
                <w:rFonts w:asciiTheme="minorHAnsi" w:hAnsiTheme="minorHAnsi" w:cstheme="minorHAnsi"/>
                <w:lang w:val="en-IN" w:eastAsia="en-IN"/>
              </w:rPr>
            </w:pPr>
            <w:r w:rsidRPr="006917DD">
              <w:rPr>
                <w:rFonts w:asciiTheme="minorHAnsi" w:hAnsiTheme="minorHAnsi" w:cstheme="minorHAnsi"/>
                <w:b/>
                <w:bCs/>
                <w:color w:val="000000"/>
                <w:kern w:val="24"/>
                <w:lang w:val="en-IN" w:eastAsia="en-IN"/>
              </w:rPr>
              <w:t>Cytogenetics Risk</w:t>
            </w:r>
          </w:p>
          <w:p w14:paraId="5481133D" w14:textId="77777777" w:rsidR="00C94139" w:rsidRPr="0033461C" w:rsidRDefault="00C94139" w:rsidP="008C679D">
            <w:pPr>
              <w:jc w:val="center"/>
              <w:rPr>
                <w:rFonts w:asciiTheme="minorHAnsi" w:hAnsiTheme="minorHAnsi" w:cstheme="minorHAnsi"/>
                <w:lang w:val="en-IN" w:eastAsia="en-IN"/>
              </w:rPr>
            </w:pPr>
            <w:r w:rsidRPr="0033461C">
              <w:rPr>
                <w:rFonts w:asciiTheme="minorHAnsi" w:hAnsiTheme="minorHAnsi" w:cstheme="minorHAnsi"/>
                <w:color w:val="000000"/>
                <w:kern w:val="24"/>
                <w:lang w:val="en-IN" w:eastAsia="en-IN"/>
              </w:rPr>
              <w:t>Favourable</w:t>
            </w:r>
          </w:p>
          <w:p w14:paraId="76CBEC6A" w14:textId="77777777" w:rsidR="00C94139" w:rsidRPr="006917DD" w:rsidRDefault="00C94139" w:rsidP="008C679D">
            <w:pPr>
              <w:jc w:val="center"/>
              <w:rPr>
                <w:rFonts w:asciiTheme="minorHAnsi" w:hAnsiTheme="minorHAnsi" w:cstheme="minorHAnsi"/>
                <w:lang w:val="en-IN" w:eastAsia="en-IN"/>
              </w:rPr>
            </w:pPr>
            <w:r w:rsidRPr="006917DD">
              <w:rPr>
                <w:rFonts w:asciiTheme="minorHAnsi" w:hAnsiTheme="minorHAnsi" w:cstheme="minorHAnsi"/>
                <w:color w:val="000000"/>
                <w:kern w:val="24"/>
                <w:lang w:val="en-IN" w:eastAsia="en-IN"/>
              </w:rPr>
              <w:t>Intermediate</w:t>
            </w:r>
          </w:p>
          <w:p w14:paraId="083995DF" w14:textId="77777777" w:rsidR="00C94139" w:rsidRPr="006917DD" w:rsidRDefault="00C94139" w:rsidP="008C679D">
            <w:pPr>
              <w:jc w:val="center"/>
              <w:rPr>
                <w:rFonts w:asciiTheme="minorHAnsi" w:hAnsiTheme="minorHAnsi" w:cstheme="minorHAnsi"/>
                <w:lang w:val="en-IN" w:eastAsia="en-IN"/>
              </w:rPr>
            </w:pPr>
            <w:r w:rsidRPr="006917DD">
              <w:rPr>
                <w:rFonts w:asciiTheme="minorHAnsi" w:hAnsiTheme="minorHAnsi" w:cstheme="minorHAnsi"/>
                <w:color w:val="000000"/>
                <w:kern w:val="24"/>
                <w:lang w:val="en-IN" w:eastAsia="en-IN"/>
              </w:rPr>
              <w:t>Poor</w:t>
            </w:r>
          </w:p>
          <w:p w14:paraId="24374D20" w14:textId="77777777" w:rsidR="00C94139" w:rsidRPr="006917DD" w:rsidRDefault="00C94139" w:rsidP="008C679D">
            <w:pPr>
              <w:jc w:val="center"/>
              <w:rPr>
                <w:rFonts w:asciiTheme="minorHAnsi" w:hAnsiTheme="minorHAnsi" w:cstheme="minorHAnsi"/>
                <w:lang w:val="en-IN" w:eastAsia="en-IN"/>
              </w:rPr>
            </w:pPr>
            <w:r w:rsidRPr="006917DD">
              <w:rPr>
                <w:rFonts w:asciiTheme="minorHAnsi" w:hAnsiTheme="minorHAnsi" w:cstheme="minorHAnsi"/>
                <w:color w:val="000000"/>
                <w:kern w:val="24"/>
                <w:lang w:val="en-IN" w:eastAsia="en-IN"/>
              </w:rPr>
              <w:t>NA</w:t>
            </w:r>
          </w:p>
        </w:tc>
        <w:tc>
          <w:tcPr>
            <w:tcW w:w="2390" w:type="dxa"/>
            <w:shd w:val="clear" w:color="auto" w:fill="auto"/>
            <w:vAlign w:val="center"/>
          </w:tcPr>
          <w:p w14:paraId="7896988B" w14:textId="77777777" w:rsidR="00C94139" w:rsidRDefault="00C94139" w:rsidP="008C679D">
            <w:pPr>
              <w:jc w:val="center"/>
              <w:rPr>
                <w:rFonts w:asciiTheme="minorHAnsi" w:hAnsiTheme="minorHAnsi" w:cstheme="minorHAnsi"/>
                <w:i/>
                <w:iCs/>
                <w:lang w:val="en-IN" w:eastAsia="en-IN"/>
              </w:rPr>
            </w:pPr>
          </w:p>
          <w:p w14:paraId="4466F71E" w14:textId="77777777" w:rsidR="00C94139" w:rsidRDefault="00C94139" w:rsidP="008C679D">
            <w:pPr>
              <w:jc w:val="center"/>
              <w:rPr>
                <w:rFonts w:asciiTheme="minorHAnsi" w:hAnsiTheme="minorHAnsi" w:cstheme="minorHAnsi"/>
                <w:i/>
                <w:iCs/>
                <w:lang w:val="en-IN" w:eastAsia="en-IN"/>
              </w:rPr>
            </w:pPr>
            <w:r>
              <w:rPr>
                <w:rFonts w:asciiTheme="minorHAnsi" w:hAnsiTheme="minorHAnsi" w:cstheme="minorHAnsi"/>
                <w:i/>
                <w:iCs/>
                <w:lang w:val="en-IN" w:eastAsia="en-IN"/>
              </w:rPr>
              <w:t>17 (15.9)</w:t>
            </w:r>
          </w:p>
          <w:p w14:paraId="3D232605" w14:textId="77777777" w:rsidR="00C94139" w:rsidRDefault="00C94139" w:rsidP="008C679D">
            <w:pPr>
              <w:jc w:val="center"/>
              <w:rPr>
                <w:rFonts w:asciiTheme="minorHAnsi" w:hAnsiTheme="minorHAnsi" w:cstheme="minorHAnsi"/>
                <w:i/>
                <w:iCs/>
                <w:lang w:val="en-IN" w:eastAsia="en-IN"/>
              </w:rPr>
            </w:pPr>
            <w:r>
              <w:rPr>
                <w:rFonts w:asciiTheme="minorHAnsi" w:hAnsiTheme="minorHAnsi" w:cstheme="minorHAnsi"/>
                <w:i/>
                <w:iCs/>
                <w:lang w:val="en-IN" w:eastAsia="en-IN"/>
              </w:rPr>
              <w:t>63 (58.9)</w:t>
            </w:r>
          </w:p>
          <w:p w14:paraId="08766BC8" w14:textId="77777777" w:rsidR="00C94139" w:rsidRDefault="00C94139" w:rsidP="008C679D">
            <w:pPr>
              <w:jc w:val="center"/>
              <w:rPr>
                <w:rFonts w:asciiTheme="minorHAnsi" w:hAnsiTheme="minorHAnsi" w:cstheme="minorHAnsi"/>
                <w:i/>
                <w:iCs/>
                <w:lang w:val="en-IN" w:eastAsia="en-IN"/>
              </w:rPr>
            </w:pPr>
            <w:r>
              <w:rPr>
                <w:rFonts w:asciiTheme="minorHAnsi" w:hAnsiTheme="minorHAnsi" w:cstheme="minorHAnsi"/>
                <w:i/>
                <w:iCs/>
                <w:lang w:val="en-IN" w:eastAsia="en-IN"/>
              </w:rPr>
              <w:t xml:space="preserve">22 (20.6)   </w:t>
            </w:r>
          </w:p>
          <w:p w14:paraId="42118297" w14:textId="77777777" w:rsidR="00C94139" w:rsidRPr="006917DD" w:rsidRDefault="00C94139" w:rsidP="008C679D">
            <w:pPr>
              <w:jc w:val="center"/>
              <w:rPr>
                <w:rFonts w:asciiTheme="minorHAnsi" w:hAnsiTheme="minorHAnsi" w:cstheme="minorHAnsi"/>
                <w:i/>
                <w:iCs/>
                <w:lang w:val="en-IN" w:eastAsia="en-IN"/>
              </w:rPr>
            </w:pPr>
            <w:r>
              <w:rPr>
                <w:rFonts w:asciiTheme="minorHAnsi" w:hAnsiTheme="minorHAnsi" w:cstheme="minorHAnsi"/>
                <w:i/>
                <w:iCs/>
                <w:lang w:val="en-IN" w:eastAsia="en-IN"/>
              </w:rPr>
              <w:t>05 (4.6)</w:t>
            </w:r>
          </w:p>
        </w:tc>
        <w:tc>
          <w:tcPr>
            <w:tcW w:w="2268" w:type="dxa"/>
            <w:shd w:val="clear" w:color="auto" w:fill="auto"/>
            <w:vAlign w:val="center"/>
          </w:tcPr>
          <w:p w14:paraId="34CBB7C4" w14:textId="77777777" w:rsidR="00C94139" w:rsidRDefault="00C94139" w:rsidP="008C679D">
            <w:pPr>
              <w:jc w:val="center"/>
              <w:rPr>
                <w:rFonts w:asciiTheme="minorHAnsi" w:hAnsiTheme="minorHAnsi" w:cstheme="minorHAnsi"/>
                <w:i/>
                <w:iCs/>
                <w:lang w:val="en-IN" w:eastAsia="en-IN"/>
              </w:rPr>
            </w:pPr>
          </w:p>
          <w:p w14:paraId="0655BD0A" w14:textId="77777777" w:rsidR="00C94139" w:rsidRPr="00030690" w:rsidRDefault="00C94139" w:rsidP="008C679D">
            <w:pPr>
              <w:jc w:val="center"/>
              <w:rPr>
                <w:rFonts w:asciiTheme="minorHAnsi" w:hAnsiTheme="minorHAnsi" w:cstheme="minorHAnsi"/>
                <w:i/>
                <w:iCs/>
                <w:lang w:val="en-IN" w:eastAsia="en-IN"/>
              </w:rPr>
            </w:pPr>
            <w:r w:rsidRPr="00030690">
              <w:rPr>
                <w:rFonts w:asciiTheme="minorHAnsi" w:hAnsiTheme="minorHAnsi" w:cstheme="minorHAnsi"/>
                <w:i/>
                <w:iCs/>
                <w:lang w:val="en-IN" w:eastAsia="en-IN"/>
              </w:rPr>
              <w:t>2</w:t>
            </w:r>
            <w:r>
              <w:rPr>
                <w:rFonts w:asciiTheme="minorHAnsi" w:hAnsiTheme="minorHAnsi" w:cstheme="minorHAnsi"/>
                <w:i/>
                <w:iCs/>
                <w:lang w:val="en-IN" w:eastAsia="en-IN"/>
              </w:rPr>
              <w:t>5 (18.8)</w:t>
            </w:r>
          </w:p>
          <w:p w14:paraId="2241CC27" w14:textId="77777777" w:rsidR="00C94139" w:rsidRPr="00030690" w:rsidRDefault="00C94139" w:rsidP="008C679D">
            <w:pPr>
              <w:jc w:val="center"/>
              <w:rPr>
                <w:rFonts w:asciiTheme="minorHAnsi" w:hAnsiTheme="minorHAnsi" w:cstheme="minorHAnsi"/>
                <w:i/>
                <w:iCs/>
                <w:lang w:val="en-IN" w:eastAsia="en-IN"/>
              </w:rPr>
            </w:pPr>
            <w:r>
              <w:rPr>
                <w:rFonts w:asciiTheme="minorHAnsi" w:hAnsiTheme="minorHAnsi" w:cstheme="minorHAnsi"/>
                <w:i/>
                <w:iCs/>
                <w:lang w:val="en-IN" w:eastAsia="en-IN"/>
              </w:rPr>
              <w:t>81 (60.9)</w:t>
            </w:r>
          </w:p>
          <w:p w14:paraId="5141AB64" w14:textId="77777777" w:rsidR="00C94139" w:rsidRPr="00030690" w:rsidRDefault="00C94139" w:rsidP="008C679D">
            <w:pPr>
              <w:jc w:val="center"/>
              <w:rPr>
                <w:rFonts w:asciiTheme="minorHAnsi" w:hAnsiTheme="minorHAnsi" w:cstheme="minorHAnsi"/>
                <w:i/>
                <w:iCs/>
                <w:lang w:val="en-IN" w:eastAsia="en-IN"/>
              </w:rPr>
            </w:pPr>
            <w:r>
              <w:rPr>
                <w:rFonts w:asciiTheme="minorHAnsi" w:hAnsiTheme="minorHAnsi" w:cstheme="minorHAnsi"/>
                <w:i/>
                <w:iCs/>
                <w:lang w:val="en-IN" w:eastAsia="en-IN"/>
              </w:rPr>
              <w:t xml:space="preserve">7 (5.3)  </w:t>
            </w:r>
          </w:p>
          <w:p w14:paraId="5F58F025" w14:textId="77777777" w:rsidR="00C94139" w:rsidRPr="006917DD" w:rsidRDefault="00C94139" w:rsidP="008C679D">
            <w:pPr>
              <w:jc w:val="center"/>
              <w:rPr>
                <w:rFonts w:asciiTheme="minorHAnsi" w:hAnsiTheme="minorHAnsi" w:cstheme="minorHAnsi"/>
                <w:i/>
                <w:iCs/>
                <w:lang w:val="en-IN" w:eastAsia="en-IN"/>
              </w:rPr>
            </w:pPr>
            <w:r>
              <w:rPr>
                <w:rFonts w:asciiTheme="minorHAnsi" w:hAnsiTheme="minorHAnsi" w:cstheme="minorHAnsi"/>
                <w:i/>
                <w:iCs/>
                <w:lang w:val="en-IN" w:eastAsia="en-IN"/>
              </w:rPr>
              <w:t>20 (15)</w:t>
            </w:r>
          </w:p>
        </w:tc>
        <w:tc>
          <w:tcPr>
            <w:tcW w:w="1134" w:type="dxa"/>
            <w:shd w:val="clear" w:color="auto" w:fill="auto"/>
            <w:vAlign w:val="center"/>
          </w:tcPr>
          <w:p w14:paraId="7201ACF4" w14:textId="77777777" w:rsidR="00C94139" w:rsidRPr="001E77CE" w:rsidRDefault="00C94139" w:rsidP="008C679D">
            <w:pPr>
              <w:jc w:val="center"/>
              <w:rPr>
                <w:rFonts w:asciiTheme="minorHAnsi" w:hAnsiTheme="minorHAnsi" w:cstheme="minorHAnsi"/>
                <w:i/>
                <w:iCs/>
                <w:color w:val="000000"/>
                <w:kern w:val="24"/>
                <w:lang w:val="en-IN" w:eastAsia="en-IN"/>
              </w:rPr>
            </w:pPr>
            <w:r w:rsidRPr="001E77CE">
              <w:rPr>
                <w:rFonts w:asciiTheme="minorHAnsi" w:hAnsiTheme="minorHAnsi" w:cstheme="minorHAnsi"/>
                <w:i/>
                <w:iCs/>
                <w:color w:val="000000"/>
                <w:kern w:val="24"/>
                <w:lang w:val="en-IN" w:eastAsia="en-IN"/>
              </w:rPr>
              <w:t>0.389</w:t>
            </w:r>
          </w:p>
        </w:tc>
      </w:tr>
      <w:tr w:rsidR="00C94139" w:rsidRPr="006917DD" w14:paraId="5C6CB2DF" w14:textId="77777777" w:rsidTr="00D218BB">
        <w:trPr>
          <w:trHeight w:val="878"/>
          <w:jc w:val="center"/>
        </w:trPr>
        <w:tc>
          <w:tcPr>
            <w:tcW w:w="3003" w:type="dxa"/>
            <w:shd w:val="clear" w:color="auto" w:fill="auto"/>
            <w:vAlign w:val="center"/>
            <w:hideMark/>
          </w:tcPr>
          <w:p w14:paraId="6BEBA001" w14:textId="77777777" w:rsidR="00C94139" w:rsidRPr="00010730" w:rsidRDefault="00C94139" w:rsidP="008C679D">
            <w:pPr>
              <w:jc w:val="center"/>
              <w:rPr>
                <w:rFonts w:asciiTheme="minorHAnsi" w:hAnsiTheme="minorHAnsi" w:cstheme="minorHAnsi"/>
                <w:lang w:val="en-IN" w:eastAsia="en-IN"/>
              </w:rPr>
            </w:pPr>
            <w:r w:rsidRPr="006917DD">
              <w:rPr>
                <w:rFonts w:asciiTheme="minorHAnsi" w:hAnsiTheme="minorHAnsi" w:cstheme="minorHAnsi"/>
                <w:b/>
                <w:bCs/>
                <w:color w:val="000000"/>
                <w:kern w:val="24"/>
                <w:lang w:val="en-IN" w:eastAsia="en-IN"/>
              </w:rPr>
              <w:t>ALL Risk</w:t>
            </w:r>
          </w:p>
          <w:p w14:paraId="496625D2" w14:textId="77777777" w:rsidR="00C94139" w:rsidRPr="0033461C" w:rsidRDefault="00C94139" w:rsidP="008C679D">
            <w:pPr>
              <w:jc w:val="center"/>
              <w:rPr>
                <w:rFonts w:asciiTheme="minorHAnsi" w:hAnsiTheme="minorHAnsi" w:cstheme="minorHAnsi"/>
                <w:lang w:val="en-IN" w:eastAsia="en-IN"/>
              </w:rPr>
            </w:pPr>
            <w:r w:rsidRPr="0033461C">
              <w:rPr>
                <w:rFonts w:asciiTheme="minorHAnsi" w:hAnsiTheme="minorHAnsi" w:cstheme="minorHAnsi"/>
                <w:color w:val="000000"/>
                <w:kern w:val="24"/>
                <w:lang w:val="pt-BR" w:eastAsia="en-IN"/>
              </w:rPr>
              <w:t>Standard Risk</w:t>
            </w:r>
          </w:p>
          <w:p w14:paraId="6EC5D303" w14:textId="77777777" w:rsidR="00C94139" w:rsidRPr="006917DD" w:rsidRDefault="00C94139" w:rsidP="008C679D">
            <w:pPr>
              <w:jc w:val="center"/>
              <w:rPr>
                <w:rFonts w:asciiTheme="minorHAnsi" w:hAnsiTheme="minorHAnsi" w:cstheme="minorHAnsi"/>
                <w:lang w:val="en-IN" w:eastAsia="en-IN"/>
              </w:rPr>
            </w:pPr>
            <w:r w:rsidRPr="006917DD">
              <w:rPr>
                <w:rFonts w:asciiTheme="minorHAnsi" w:hAnsiTheme="minorHAnsi" w:cstheme="minorHAnsi"/>
                <w:color w:val="000000"/>
                <w:kern w:val="24"/>
                <w:lang w:val="pt-BR" w:eastAsia="en-IN"/>
              </w:rPr>
              <w:t>Intermediate Risk</w:t>
            </w:r>
          </w:p>
          <w:p w14:paraId="363CFF3E" w14:textId="77777777" w:rsidR="00C94139" w:rsidRPr="006917DD" w:rsidRDefault="00C94139" w:rsidP="008C679D">
            <w:pPr>
              <w:jc w:val="center"/>
              <w:rPr>
                <w:rFonts w:asciiTheme="minorHAnsi" w:hAnsiTheme="minorHAnsi" w:cstheme="minorHAnsi"/>
                <w:lang w:val="en-IN" w:eastAsia="en-IN"/>
              </w:rPr>
            </w:pPr>
            <w:r w:rsidRPr="006917DD">
              <w:rPr>
                <w:rFonts w:asciiTheme="minorHAnsi" w:hAnsiTheme="minorHAnsi" w:cstheme="minorHAnsi"/>
                <w:color w:val="000000"/>
                <w:kern w:val="24"/>
                <w:lang w:val="pt-BR" w:eastAsia="en-IN"/>
              </w:rPr>
              <w:t>High Risk</w:t>
            </w:r>
          </w:p>
          <w:p w14:paraId="5D18CFC1" w14:textId="77777777" w:rsidR="00C94139" w:rsidRPr="006917DD" w:rsidRDefault="00C94139" w:rsidP="008C679D">
            <w:pPr>
              <w:jc w:val="center"/>
              <w:rPr>
                <w:rFonts w:asciiTheme="minorHAnsi" w:hAnsiTheme="minorHAnsi" w:cstheme="minorHAnsi"/>
                <w:lang w:val="en-IN" w:eastAsia="en-IN"/>
              </w:rPr>
            </w:pPr>
            <w:r w:rsidRPr="006917DD">
              <w:rPr>
                <w:rFonts w:asciiTheme="minorHAnsi" w:hAnsiTheme="minorHAnsi" w:cstheme="minorHAnsi"/>
                <w:color w:val="000000"/>
                <w:kern w:val="24"/>
                <w:lang w:val="pt-BR" w:eastAsia="en-IN"/>
              </w:rPr>
              <w:t>NA</w:t>
            </w:r>
          </w:p>
        </w:tc>
        <w:tc>
          <w:tcPr>
            <w:tcW w:w="2390" w:type="dxa"/>
            <w:shd w:val="clear" w:color="auto" w:fill="auto"/>
            <w:vAlign w:val="center"/>
          </w:tcPr>
          <w:p w14:paraId="1BE6FDFA" w14:textId="77777777" w:rsidR="00C94139" w:rsidRDefault="00C94139" w:rsidP="008C679D">
            <w:pPr>
              <w:jc w:val="center"/>
              <w:rPr>
                <w:rFonts w:asciiTheme="minorHAnsi" w:hAnsiTheme="minorHAnsi" w:cstheme="minorHAnsi"/>
                <w:i/>
                <w:iCs/>
                <w:lang w:val="en-IN" w:eastAsia="en-IN"/>
              </w:rPr>
            </w:pPr>
          </w:p>
          <w:p w14:paraId="07AA11A7" w14:textId="77777777" w:rsidR="00C94139" w:rsidRDefault="00C94139" w:rsidP="008C679D">
            <w:pPr>
              <w:jc w:val="center"/>
              <w:rPr>
                <w:rFonts w:asciiTheme="minorHAnsi" w:hAnsiTheme="minorHAnsi" w:cstheme="minorHAnsi"/>
                <w:i/>
                <w:iCs/>
                <w:lang w:val="en-IN" w:eastAsia="en-IN"/>
              </w:rPr>
            </w:pPr>
            <w:r>
              <w:rPr>
                <w:rFonts w:asciiTheme="minorHAnsi" w:hAnsiTheme="minorHAnsi" w:cstheme="minorHAnsi"/>
                <w:i/>
                <w:iCs/>
                <w:lang w:val="en-IN" w:eastAsia="en-IN"/>
              </w:rPr>
              <w:t>12 (11.2)</w:t>
            </w:r>
          </w:p>
          <w:p w14:paraId="2273DF21" w14:textId="77777777" w:rsidR="00C94139" w:rsidRDefault="00C94139" w:rsidP="008C679D">
            <w:pPr>
              <w:jc w:val="center"/>
              <w:rPr>
                <w:rFonts w:asciiTheme="minorHAnsi" w:hAnsiTheme="minorHAnsi" w:cstheme="minorHAnsi"/>
                <w:i/>
                <w:iCs/>
                <w:lang w:val="en-IN" w:eastAsia="en-IN"/>
              </w:rPr>
            </w:pPr>
            <w:r>
              <w:rPr>
                <w:rFonts w:asciiTheme="minorHAnsi" w:hAnsiTheme="minorHAnsi" w:cstheme="minorHAnsi"/>
                <w:i/>
                <w:iCs/>
                <w:lang w:val="en-IN" w:eastAsia="en-IN"/>
              </w:rPr>
              <w:t xml:space="preserve">61 (57)   </w:t>
            </w:r>
          </w:p>
          <w:p w14:paraId="5243B5F3" w14:textId="77777777" w:rsidR="00C94139" w:rsidRDefault="00C94139" w:rsidP="008C679D">
            <w:pPr>
              <w:jc w:val="center"/>
              <w:rPr>
                <w:rFonts w:asciiTheme="minorHAnsi" w:hAnsiTheme="minorHAnsi" w:cstheme="minorHAnsi"/>
                <w:i/>
                <w:iCs/>
                <w:lang w:val="en-IN" w:eastAsia="en-IN"/>
              </w:rPr>
            </w:pPr>
            <w:r>
              <w:rPr>
                <w:rFonts w:asciiTheme="minorHAnsi" w:hAnsiTheme="minorHAnsi" w:cstheme="minorHAnsi"/>
                <w:i/>
                <w:iCs/>
                <w:lang w:val="en-IN" w:eastAsia="en-IN"/>
              </w:rPr>
              <w:t>12 (11.2)</w:t>
            </w:r>
          </w:p>
          <w:p w14:paraId="0AA817A1" w14:textId="77777777" w:rsidR="00C94139" w:rsidRPr="006917DD" w:rsidRDefault="00C94139" w:rsidP="008C679D">
            <w:pPr>
              <w:jc w:val="center"/>
              <w:rPr>
                <w:rFonts w:asciiTheme="minorHAnsi" w:hAnsiTheme="minorHAnsi" w:cstheme="minorHAnsi"/>
                <w:i/>
                <w:iCs/>
                <w:lang w:val="en-IN" w:eastAsia="en-IN"/>
              </w:rPr>
            </w:pPr>
            <w:r>
              <w:rPr>
                <w:rFonts w:asciiTheme="minorHAnsi" w:hAnsiTheme="minorHAnsi" w:cstheme="minorHAnsi"/>
                <w:i/>
                <w:iCs/>
                <w:lang w:val="en-IN" w:eastAsia="en-IN"/>
              </w:rPr>
              <w:t xml:space="preserve">22 (20.6) </w:t>
            </w:r>
          </w:p>
        </w:tc>
        <w:tc>
          <w:tcPr>
            <w:tcW w:w="2268" w:type="dxa"/>
            <w:shd w:val="clear" w:color="auto" w:fill="auto"/>
            <w:vAlign w:val="center"/>
          </w:tcPr>
          <w:p w14:paraId="6D9F21A0" w14:textId="77777777" w:rsidR="00C94139" w:rsidRDefault="00C94139" w:rsidP="008C679D">
            <w:pPr>
              <w:jc w:val="center"/>
              <w:rPr>
                <w:rFonts w:asciiTheme="minorHAnsi" w:hAnsiTheme="minorHAnsi" w:cstheme="minorHAnsi"/>
                <w:i/>
                <w:iCs/>
                <w:lang w:val="en-IN" w:eastAsia="en-IN"/>
              </w:rPr>
            </w:pPr>
          </w:p>
          <w:p w14:paraId="0CD9E26D" w14:textId="77777777" w:rsidR="00C94139" w:rsidRPr="00030690" w:rsidRDefault="00C94139" w:rsidP="008C679D">
            <w:pPr>
              <w:jc w:val="center"/>
              <w:rPr>
                <w:rFonts w:asciiTheme="minorHAnsi" w:hAnsiTheme="minorHAnsi" w:cstheme="minorHAnsi"/>
                <w:i/>
                <w:iCs/>
                <w:lang w:val="en-IN" w:eastAsia="en-IN"/>
              </w:rPr>
            </w:pPr>
            <w:r w:rsidRPr="00030690">
              <w:rPr>
                <w:rFonts w:asciiTheme="minorHAnsi" w:hAnsiTheme="minorHAnsi" w:cstheme="minorHAnsi"/>
                <w:i/>
                <w:iCs/>
                <w:lang w:val="en-IN" w:eastAsia="en-IN"/>
              </w:rPr>
              <w:t>2</w:t>
            </w:r>
            <w:r>
              <w:rPr>
                <w:rFonts w:asciiTheme="minorHAnsi" w:hAnsiTheme="minorHAnsi" w:cstheme="minorHAnsi"/>
                <w:i/>
                <w:iCs/>
                <w:lang w:val="en-IN" w:eastAsia="en-IN"/>
              </w:rPr>
              <w:t>0 (15)</w:t>
            </w:r>
          </w:p>
          <w:p w14:paraId="1DD02746" w14:textId="77777777" w:rsidR="00C94139" w:rsidRPr="00030690" w:rsidRDefault="00C94139" w:rsidP="008C679D">
            <w:pPr>
              <w:jc w:val="center"/>
              <w:rPr>
                <w:rFonts w:asciiTheme="minorHAnsi" w:hAnsiTheme="minorHAnsi" w:cstheme="minorHAnsi"/>
                <w:i/>
                <w:iCs/>
                <w:lang w:val="en-IN" w:eastAsia="en-IN"/>
              </w:rPr>
            </w:pPr>
            <w:r>
              <w:rPr>
                <w:rFonts w:asciiTheme="minorHAnsi" w:hAnsiTheme="minorHAnsi" w:cstheme="minorHAnsi"/>
                <w:i/>
                <w:iCs/>
                <w:lang w:val="en-IN" w:eastAsia="en-IN"/>
              </w:rPr>
              <w:t>70 (52.6)</w:t>
            </w:r>
          </w:p>
          <w:p w14:paraId="557F5A55" w14:textId="77777777" w:rsidR="00C94139" w:rsidRPr="00030690" w:rsidRDefault="00C94139" w:rsidP="008C679D">
            <w:pPr>
              <w:jc w:val="center"/>
              <w:rPr>
                <w:rFonts w:asciiTheme="minorHAnsi" w:hAnsiTheme="minorHAnsi" w:cstheme="minorHAnsi"/>
                <w:i/>
                <w:iCs/>
                <w:lang w:val="en-IN" w:eastAsia="en-IN"/>
              </w:rPr>
            </w:pPr>
            <w:r w:rsidRPr="00030690">
              <w:rPr>
                <w:rFonts w:asciiTheme="minorHAnsi" w:hAnsiTheme="minorHAnsi" w:cstheme="minorHAnsi"/>
                <w:i/>
                <w:iCs/>
                <w:lang w:val="en-IN" w:eastAsia="en-IN"/>
              </w:rPr>
              <w:t>5</w:t>
            </w:r>
            <w:r>
              <w:rPr>
                <w:rFonts w:asciiTheme="minorHAnsi" w:hAnsiTheme="minorHAnsi" w:cstheme="minorHAnsi"/>
                <w:i/>
                <w:iCs/>
                <w:lang w:val="en-IN" w:eastAsia="en-IN"/>
              </w:rPr>
              <w:t xml:space="preserve"> (3.8)</w:t>
            </w:r>
          </w:p>
          <w:p w14:paraId="11B947AC" w14:textId="77777777" w:rsidR="00C94139" w:rsidRPr="006917DD" w:rsidRDefault="00C94139" w:rsidP="008C679D">
            <w:pPr>
              <w:jc w:val="center"/>
              <w:rPr>
                <w:rFonts w:asciiTheme="minorHAnsi" w:hAnsiTheme="minorHAnsi" w:cstheme="minorHAnsi"/>
                <w:i/>
                <w:iCs/>
                <w:lang w:val="en-IN" w:eastAsia="en-IN"/>
              </w:rPr>
            </w:pPr>
            <w:r w:rsidRPr="00030690">
              <w:rPr>
                <w:rFonts w:asciiTheme="minorHAnsi" w:hAnsiTheme="minorHAnsi" w:cstheme="minorHAnsi"/>
                <w:i/>
                <w:iCs/>
                <w:lang w:val="en-IN" w:eastAsia="en-IN"/>
              </w:rPr>
              <w:t>38</w:t>
            </w:r>
            <w:r>
              <w:rPr>
                <w:rFonts w:asciiTheme="minorHAnsi" w:hAnsiTheme="minorHAnsi" w:cstheme="minorHAnsi"/>
                <w:i/>
                <w:iCs/>
                <w:lang w:val="en-IN" w:eastAsia="en-IN"/>
              </w:rPr>
              <w:t xml:space="preserve"> (28.6)</w:t>
            </w:r>
          </w:p>
        </w:tc>
        <w:tc>
          <w:tcPr>
            <w:tcW w:w="1134" w:type="dxa"/>
            <w:shd w:val="clear" w:color="auto" w:fill="auto"/>
            <w:vAlign w:val="center"/>
          </w:tcPr>
          <w:p w14:paraId="0BFF4E54" w14:textId="77777777" w:rsidR="00C94139" w:rsidRPr="001E77CE" w:rsidRDefault="00C94139" w:rsidP="008C679D">
            <w:pPr>
              <w:jc w:val="center"/>
              <w:rPr>
                <w:rFonts w:asciiTheme="minorHAnsi" w:hAnsiTheme="minorHAnsi" w:cstheme="minorHAnsi"/>
                <w:i/>
                <w:iCs/>
                <w:color w:val="000000"/>
                <w:kern w:val="24"/>
                <w:lang w:val="en-IN" w:eastAsia="en-IN"/>
              </w:rPr>
            </w:pPr>
            <w:r w:rsidRPr="001E77CE">
              <w:rPr>
                <w:rFonts w:asciiTheme="minorHAnsi" w:hAnsiTheme="minorHAnsi" w:cstheme="minorHAnsi"/>
                <w:i/>
                <w:iCs/>
                <w:color w:val="000000"/>
                <w:kern w:val="24"/>
                <w:lang w:val="en-IN" w:eastAsia="en-IN"/>
              </w:rPr>
              <w:t>0.246</w:t>
            </w:r>
          </w:p>
        </w:tc>
      </w:tr>
    </w:tbl>
    <w:p w14:paraId="2AAFEE6D" w14:textId="77777777" w:rsidR="00A45CC2" w:rsidRDefault="00A45CC2" w:rsidP="009633F2">
      <w:pPr>
        <w:spacing w:after="160" w:line="259" w:lineRule="auto"/>
        <w:rPr>
          <w:rFonts w:asciiTheme="minorHAnsi" w:hAnsiTheme="minorHAnsi" w:cstheme="minorHAnsi"/>
          <w:b/>
          <w:bCs/>
        </w:rPr>
      </w:pPr>
    </w:p>
    <w:p w14:paraId="0A5DF9EB" w14:textId="470F229E" w:rsidR="009633F2" w:rsidRDefault="009633F2" w:rsidP="009633F2">
      <w:pPr>
        <w:spacing w:after="160" w:line="259" w:lineRule="auto"/>
        <w:rPr>
          <w:rFonts w:asciiTheme="minorHAnsi" w:hAnsiTheme="minorHAnsi" w:cstheme="minorHAnsi"/>
          <w:b/>
          <w:bCs/>
        </w:rPr>
      </w:pPr>
      <w:r w:rsidRPr="009633F2">
        <w:rPr>
          <w:rFonts w:asciiTheme="minorHAnsi" w:hAnsiTheme="minorHAnsi" w:cstheme="minorHAnsi"/>
          <w:b/>
          <w:bCs/>
        </w:rPr>
        <w:t>Table S</w:t>
      </w:r>
      <w:r>
        <w:rPr>
          <w:rFonts w:asciiTheme="minorHAnsi" w:hAnsiTheme="minorHAnsi" w:cstheme="minorHAnsi"/>
          <w:b/>
          <w:bCs/>
        </w:rPr>
        <w:t>2</w:t>
      </w:r>
      <w:r w:rsidRPr="009633F2">
        <w:rPr>
          <w:rFonts w:asciiTheme="minorHAnsi" w:hAnsiTheme="minorHAnsi" w:cstheme="minorHAnsi"/>
          <w:b/>
          <w:bCs/>
        </w:rPr>
        <w:t>:</w:t>
      </w:r>
      <w:r>
        <w:rPr>
          <w:rFonts w:asciiTheme="minorHAnsi" w:hAnsiTheme="minorHAnsi" w:cstheme="minorHAnsi"/>
          <w:b/>
          <w:bCs/>
        </w:rPr>
        <w:t xml:space="preserve"> Allele and genotype frequencies screened in the present study (cohort-2</w:t>
      </w:r>
      <w:r w:rsidR="00A45CC2">
        <w:rPr>
          <w:rFonts w:asciiTheme="minorHAnsi" w:hAnsiTheme="minorHAnsi" w:cstheme="minorHAnsi"/>
          <w:b/>
          <w:bCs/>
        </w:rPr>
        <w:t>; N=133</w:t>
      </w:r>
      <w:r>
        <w:rPr>
          <w:rFonts w:asciiTheme="minorHAnsi" w:hAnsiTheme="minorHAnsi" w:cstheme="minorHAnsi"/>
          <w:b/>
          <w:bCs/>
        </w:rPr>
        <w:t>)</w:t>
      </w:r>
    </w:p>
    <w:tbl>
      <w:tblPr>
        <w:tblStyle w:val="TableGrid"/>
        <w:tblW w:w="9493" w:type="dxa"/>
        <w:jc w:val="center"/>
        <w:tblLook w:val="04A0" w:firstRow="1" w:lastRow="0" w:firstColumn="1" w:lastColumn="0" w:noHBand="0" w:noVBand="1"/>
      </w:tblPr>
      <w:tblGrid>
        <w:gridCol w:w="743"/>
        <w:gridCol w:w="3647"/>
        <w:gridCol w:w="2268"/>
        <w:gridCol w:w="2835"/>
      </w:tblGrid>
      <w:tr w:rsidR="009633F2" w14:paraId="33D762DC" w14:textId="6AED0EB9" w:rsidTr="00B81B89">
        <w:trPr>
          <w:jc w:val="center"/>
        </w:trPr>
        <w:tc>
          <w:tcPr>
            <w:tcW w:w="743" w:type="dxa"/>
            <w:vAlign w:val="center"/>
          </w:tcPr>
          <w:p w14:paraId="3BF20A51" w14:textId="325C18AA" w:rsidR="009633F2" w:rsidRDefault="009633F2" w:rsidP="00B81B89">
            <w:pPr>
              <w:spacing w:after="160" w:line="259" w:lineRule="auto"/>
              <w:jc w:val="center"/>
              <w:rPr>
                <w:rFonts w:asciiTheme="minorHAnsi" w:hAnsiTheme="minorHAnsi" w:cstheme="minorHAnsi"/>
                <w:b/>
                <w:bCs/>
              </w:rPr>
            </w:pPr>
            <w:r>
              <w:rPr>
                <w:rFonts w:asciiTheme="minorHAnsi" w:hAnsiTheme="minorHAnsi" w:cstheme="minorHAnsi"/>
                <w:b/>
                <w:bCs/>
              </w:rPr>
              <w:t>S. No</w:t>
            </w:r>
          </w:p>
        </w:tc>
        <w:tc>
          <w:tcPr>
            <w:tcW w:w="3647" w:type="dxa"/>
            <w:vAlign w:val="center"/>
          </w:tcPr>
          <w:p w14:paraId="2629645B" w14:textId="010BC786" w:rsidR="009633F2" w:rsidRDefault="009633F2" w:rsidP="00B81B89">
            <w:pPr>
              <w:spacing w:after="160" w:line="259" w:lineRule="auto"/>
              <w:jc w:val="center"/>
              <w:rPr>
                <w:rFonts w:asciiTheme="minorHAnsi" w:hAnsiTheme="minorHAnsi" w:cstheme="minorHAnsi"/>
                <w:b/>
                <w:bCs/>
              </w:rPr>
            </w:pPr>
            <w:r>
              <w:rPr>
                <w:rFonts w:asciiTheme="minorHAnsi" w:hAnsiTheme="minorHAnsi" w:cstheme="minorHAnsi"/>
                <w:b/>
                <w:bCs/>
              </w:rPr>
              <w:t>Gene Polymorphisms</w:t>
            </w:r>
          </w:p>
        </w:tc>
        <w:tc>
          <w:tcPr>
            <w:tcW w:w="2268" w:type="dxa"/>
            <w:vAlign w:val="center"/>
          </w:tcPr>
          <w:p w14:paraId="1CFBBA46" w14:textId="085BB179" w:rsidR="009633F2" w:rsidRDefault="009633F2" w:rsidP="00B81B89">
            <w:pPr>
              <w:spacing w:after="160" w:line="259" w:lineRule="auto"/>
              <w:jc w:val="center"/>
              <w:rPr>
                <w:rFonts w:asciiTheme="minorHAnsi" w:hAnsiTheme="minorHAnsi" w:cstheme="minorHAnsi"/>
                <w:b/>
                <w:bCs/>
              </w:rPr>
            </w:pPr>
            <w:r>
              <w:rPr>
                <w:rFonts w:asciiTheme="minorHAnsi" w:hAnsiTheme="minorHAnsi" w:cstheme="minorHAnsi"/>
                <w:b/>
                <w:bCs/>
              </w:rPr>
              <w:t>Allele frequency</w:t>
            </w:r>
            <w:r w:rsidR="00B81B89">
              <w:rPr>
                <w:rFonts w:asciiTheme="minorHAnsi" w:hAnsiTheme="minorHAnsi" w:cstheme="minorHAnsi"/>
                <w:b/>
                <w:bCs/>
              </w:rPr>
              <w:t xml:space="preserve"> (%)</w:t>
            </w:r>
          </w:p>
        </w:tc>
        <w:tc>
          <w:tcPr>
            <w:tcW w:w="2835" w:type="dxa"/>
            <w:vAlign w:val="center"/>
          </w:tcPr>
          <w:p w14:paraId="0025C04A" w14:textId="054391F7" w:rsidR="009633F2" w:rsidRDefault="009633F2" w:rsidP="00B81B89">
            <w:pPr>
              <w:spacing w:after="160" w:line="259" w:lineRule="auto"/>
              <w:jc w:val="center"/>
              <w:rPr>
                <w:rFonts w:asciiTheme="minorHAnsi" w:hAnsiTheme="minorHAnsi" w:cstheme="minorHAnsi"/>
                <w:b/>
                <w:bCs/>
              </w:rPr>
            </w:pPr>
            <w:r>
              <w:rPr>
                <w:rFonts w:asciiTheme="minorHAnsi" w:hAnsiTheme="minorHAnsi" w:cstheme="minorHAnsi"/>
                <w:b/>
                <w:bCs/>
              </w:rPr>
              <w:t>Genotype frequency</w:t>
            </w:r>
            <w:r w:rsidR="00B81B89">
              <w:rPr>
                <w:rFonts w:asciiTheme="minorHAnsi" w:hAnsiTheme="minorHAnsi" w:cstheme="minorHAnsi"/>
                <w:b/>
                <w:bCs/>
              </w:rPr>
              <w:t xml:space="preserve"> (%)</w:t>
            </w:r>
          </w:p>
        </w:tc>
      </w:tr>
      <w:tr w:rsidR="009633F2" w14:paraId="55ABA520" w14:textId="69FCAD1E" w:rsidTr="00B81B89">
        <w:trPr>
          <w:jc w:val="center"/>
        </w:trPr>
        <w:tc>
          <w:tcPr>
            <w:tcW w:w="743" w:type="dxa"/>
            <w:vAlign w:val="center"/>
          </w:tcPr>
          <w:p w14:paraId="5D6D5BA5" w14:textId="122B0ED2" w:rsidR="009633F2" w:rsidRPr="009633F2" w:rsidRDefault="009633F2" w:rsidP="00B81B89">
            <w:pPr>
              <w:jc w:val="center"/>
              <w:rPr>
                <w:rFonts w:asciiTheme="minorHAnsi" w:hAnsiTheme="minorHAnsi" w:cstheme="minorHAnsi"/>
                <w:b/>
                <w:bCs/>
                <w:color w:val="000000"/>
                <w:kern w:val="24"/>
                <w:lang w:val="en-IN" w:eastAsia="en-IN"/>
              </w:rPr>
            </w:pPr>
            <w:r w:rsidRPr="009633F2">
              <w:rPr>
                <w:rFonts w:asciiTheme="minorHAnsi" w:hAnsiTheme="minorHAnsi" w:cstheme="minorHAnsi"/>
                <w:b/>
                <w:bCs/>
                <w:color w:val="000000"/>
                <w:kern w:val="24"/>
                <w:lang w:val="en-IN" w:eastAsia="en-IN"/>
              </w:rPr>
              <w:t>1</w:t>
            </w:r>
          </w:p>
        </w:tc>
        <w:tc>
          <w:tcPr>
            <w:tcW w:w="3647" w:type="dxa"/>
            <w:vAlign w:val="center"/>
          </w:tcPr>
          <w:p w14:paraId="68F8616B" w14:textId="035559A5" w:rsidR="009633F2" w:rsidRPr="00A45CC2" w:rsidRDefault="009633F2" w:rsidP="00B81B89">
            <w:pPr>
              <w:jc w:val="center"/>
              <w:rPr>
                <w:rFonts w:asciiTheme="minorHAnsi" w:hAnsiTheme="minorHAnsi" w:cstheme="minorHAnsi"/>
                <w:color w:val="000000"/>
                <w:kern w:val="24"/>
                <w:lang w:val="en-IN" w:eastAsia="en-IN"/>
              </w:rPr>
            </w:pPr>
            <w:r w:rsidRPr="00A45CC2">
              <w:rPr>
                <w:rFonts w:asciiTheme="minorHAnsi" w:hAnsiTheme="minorHAnsi" w:cstheme="minorHAnsi"/>
                <w:i/>
                <w:iCs/>
                <w:color w:val="000000"/>
                <w:kern w:val="24"/>
                <w:lang w:val="en-IN" w:eastAsia="en-IN"/>
              </w:rPr>
              <w:t>NUDT15</w:t>
            </w:r>
            <w:r w:rsidRPr="00A45CC2">
              <w:rPr>
                <w:rFonts w:asciiTheme="minorHAnsi" w:hAnsiTheme="minorHAnsi" w:cstheme="minorHAnsi"/>
                <w:color w:val="000000"/>
                <w:kern w:val="24"/>
                <w:lang w:val="en-IN" w:eastAsia="en-IN"/>
              </w:rPr>
              <w:t xml:space="preserve"> c.415C&gt;T, </w:t>
            </w:r>
            <w:r w:rsidRPr="00A45CC2">
              <w:rPr>
                <w:rFonts w:asciiTheme="minorHAnsi" w:hAnsiTheme="minorHAnsi" w:cstheme="minorHAnsi"/>
                <w:kern w:val="24"/>
                <w:lang w:val="en-IN" w:eastAsia="en-IN"/>
              </w:rPr>
              <w:t>rs116855232</w:t>
            </w:r>
          </w:p>
        </w:tc>
        <w:tc>
          <w:tcPr>
            <w:tcW w:w="2268" w:type="dxa"/>
            <w:vAlign w:val="center"/>
          </w:tcPr>
          <w:p w14:paraId="1BBE3B5C" w14:textId="5898C599" w:rsidR="00B81B89" w:rsidRPr="00A45CC2" w:rsidRDefault="00B81B89" w:rsidP="00B81B89">
            <w:pPr>
              <w:spacing w:after="160" w:line="259" w:lineRule="auto"/>
              <w:jc w:val="center"/>
              <w:rPr>
                <w:rFonts w:asciiTheme="minorHAnsi" w:hAnsiTheme="minorHAnsi" w:cstheme="minorHAnsi"/>
              </w:rPr>
            </w:pPr>
            <w:r w:rsidRPr="00A45CC2">
              <w:rPr>
                <w:rFonts w:asciiTheme="minorHAnsi" w:hAnsiTheme="minorHAnsi" w:cstheme="minorHAnsi"/>
              </w:rPr>
              <w:t>C-93 &amp; T-7</w:t>
            </w:r>
          </w:p>
        </w:tc>
        <w:tc>
          <w:tcPr>
            <w:tcW w:w="2835" w:type="dxa"/>
            <w:vAlign w:val="center"/>
          </w:tcPr>
          <w:p w14:paraId="6BF80B11" w14:textId="4E9341E1" w:rsidR="00B81B89" w:rsidRPr="00A45CC2" w:rsidRDefault="00B81B89" w:rsidP="00B81B89">
            <w:pPr>
              <w:spacing w:after="160" w:line="259" w:lineRule="auto"/>
              <w:jc w:val="center"/>
              <w:rPr>
                <w:rFonts w:asciiTheme="minorHAnsi" w:hAnsiTheme="minorHAnsi" w:cstheme="minorHAnsi"/>
              </w:rPr>
            </w:pPr>
            <w:r w:rsidRPr="00A45CC2">
              <w:rPr>
                <w:rFonts w:asciiTheme="minorHAnsi" w:hAnsiTheme="minorHAnsi" w:cstheme="minorHAnsi"/>
              </w:rPr>
              <w:t>CC-86.5 &amp; CT-13.5</w:t>
            </w:r>
          </w:p>
        </w:tc>
      </w:tr>
      <w:tr w:rsidR="009633F2" w14:paraId="0A58071A" w14:textId="5EDB9532" w:rsidTr="00B81B89">
        <w:trPr>
          <w:trHeight w:val="266"/>
          <w:jc w:val="center"/>
        </w:trPr>
        <w:tc>
          <w:tcPr>
            <w:tcW w:w="743" w:type="dxa"/>
            <w:vAlign w:val="center"/>
          </w:tcPr>
          <w:p w14:paraId="099D0E16" w14:textId="18E458B2" w:rsidR="009633F2" w:rsidRPr="009633F2" w:rsidRDefault="009633F2" w:rsidP="00B81B89">
            <w:pPr>
              <w:spacing w:after="160" w:line="259" w:lineRule="auto"/>
              <w:jc w:val="center"/>
              <w:rPr>
                <w:rFonts w:asciiTheme="minorHAnsi" w:hAnsiTheme="minorHAnsi" w:cstheme="minorHAnsi"/>
                <w:b/>
                <w:bCs/>
              </w:rPr>
            </w:pPr>
            <w:r w:rsidRPr="009633F2">
              <w:rPr>
                <w:rFonts w:asciiTheme="minorHAnsi" w:hAnsiTheme="minorHAnsi" w:cstheme="minorHAnsi"/>
                <w:b/>
                <w:bCs/>
              </w:rPr>
              <w:t>2</w:t>
            </w:r>
          </w:p>
        </w:tc>
        <w:tc>
          <w:tcPr>
            <w:tcW w:w="3647" w:type="dxa"/>
            <w:vAlign w:val="center"/>
          </w:tcPr>
          <w:p w14:paraId="34EA9B2F" w14:textId="7C5CB9B9" w:rsidR="009633F2" w:rsidRPr="00A45CC2" w:rsidRDefault="009633F2" w:rsidP="00B81B89">
            <w:pPr>
              <w:spacing w:after="160" w:line="259" w:lineRule="auto"/>
              <w:jc w:val="center"/>
              <w:rPr>
                <w:rFonts w:asciiTheme="minorHAnsi" w:hAnsiTheme="minorHAnsi" w:cstheme="minorHAnsi"/>
              </w:rPr>
            </w:pPr>
            <w:r w:rsidRPr="00A45CC2">
              <w:rPr>
                <w:rFonts w:asciiTheme="minorHAnsi" w:hAnsiTheme="minorHAnsi" w:cstheme="minorHAnsi"/>
                <w:i/>
                <w:iCs/>
              </w:rPr>
              <w:t>TPMT</w:t>
            </w:r>
            <w:r w:rsidRPr="00A45CC2">
              <w:rPr>
                <w:rFonts w:asciiTheme="minorHAnsi" w:hAnsiTheme="minorHAnsi" w:cstheme="minorHAnsi"/>
              </w:rPr>
              <w:t xml:space="preserve"> c.719A&gt;G, rs1142345</w:t>
            </w:r>
          </w:p>
        </w:tc>
        <w:tc>
          <w:tcPr>
            <w:tcW w:w="2268" w:type="dxa"/>
            <w:vAlign w:val="center"/>
          </w:tcPr>
          <w:p w14:paraId="27503CC2" w14:textId="176D5669" w:rsidR="009633F2" w:rsidRPr="00A45CC2" w:rsidRDefault="00B81B89" w:rsidP="00B81B89">
            <w:pPr>
              <w:spacing w:after="160" w:line="259" w:lineRule="auto"/>
              <w:jc w:val="center"/>
              <w:rPr>
                <w:rFonts w:asciiTheme="minorHAnsi" w:hAnsiTheme="minorHAnsi" w:cstheme="minorHAnsi"/>
              </w:rPr>
            </w:pPr>
            <w:r w:rsidRPr="00A45CC2">
              <w:rPr>
                <w:rFonts w:asciiTheme="minorHAnsi" w:hAnsiTheme="minorHAnsi" w:cstheme="minorHAnsi"/>
              </w:rPr>
              <w:t>A-98 &amp; T-2</w:t>
            </w:r>
          </w:p>
        </w:tc>
        <w:tc>
          <w:tcPr>
            <w:tcW w:w="2835" w:type="dxa"/>
            <w:vAlign w:val="center"/>
          </w:tcPr>
          <w:p w14:paraId="4C379A6B" w14:textId="6B546A15" w:rsidR="009633F2" w:rsidRPr="00A45CC2" w:rsidRDefault="00A45CC2" w:rsidP="00B81B89">
            <w:pPr>
              <w:spacing w:after="160" w:line="259" w:lineRule="auto"/>
              <w:jc w:val="center"/>
              <w:rPr>
                <w:rFonts w:asciiTheme="minorHAnsi" w:hAnsiTheme="minorHAnsi" w:cstheme="minorHAnsi"/>
              </w:rPr>
            </w:pPr>
            <w:r w:rsidRPr="00A45CC2">
              <w:rPr>
                <w:rFonts w:asciiTheme="minorHAnsi" w:hAnsiTheme="minorHAnsi" w:cstheme="minorHAnsi"/>
              </w:rPr>
              <w:t>AA-96.9 &amp; AT-3.1</w:t>
            </w:r>
          </w:p>
        </w:tc>
      </w:tr>
      <w:tr w:rsidR="009633F2" w14:paraId="7074C6BB" w14:textId="39208A94" w:rsidTr="00B81B89">
        <w:trPr>
          <w:jc w:val="center"/>
        </w:trPr>
        <w:tc>
          <w:tcPr>
            <w:tcW w:w="743" w:type="dxa"/>
            <w:vAlign w:val="center"/>
          </w:tcPr>
          <w:p w14:paraId="445F8C62" w14:textId="0B2B664E" w:rsidR="009633F2" w:rsidRPr="009633F2" w:rsidRDefault="009633F2" w:rsidP="00B81B89">
            <w:pPr>
              <w:spacing w:after="160" w:line="259" w:lineRule="auto"/>
              <w:jc w:val="center"/>
              <w:rPr>
                <w:rFonts w:asciiTheme="minorHAnsi" w:hAnsiTheme="minorHAnsi" w:cstheme="minorHAnsi"/>
                <w:b/>
                <w:bCs/>
              </w:rPr>
            </w:pPr>
            <w:r w:rsidRPr="009633F2">
              <w:rPr>
                <w:rFonts w:asciiTheme="minorHAnsi" w:hAnsiTheme="minorHAnsi" w:cstheme="minorHAnsi"/>
                <w:b/>
                <w:bCs/>
              </w:rPr>
              <w:t>3</w:t>
            </w:r>
          </w:p>
        </w:tc>
        <w:tc>
          <w:tcPr>
            <w:tcW w:w="3647" w:type="dxa"/>
            <w:vAlign w:val="center"/>
          </w:tcPr>
          <w:p w14:paraId="6E151C47" w14:textId="0C4DE38D" w:rsidR="009633F2" w:rsidRPr="00A45CC2" w:rsidRDefault="009633F2" w:rsidP="00B81B89">
            <w:pPr>
              <w:spacing w:after="160" w:line="259" w:lineRule="auto"/>
              <w:jc w:val="center"/>
              <w:rPr>
                <w:rFonts w:asciiTheme="minorHAnsi" w:hAnsiTheme="minorHAnsi" w:cstheme="minorHAnsi"/>
              </w:rPr>
            </w:pPr>
            <w:r w:rsidRPr="00A45CC2">
              <w:rPr>
                <w:rFonts w:asciiTheme="minorHAnsi" w:hAnsiTheme="minorHAnsi" w:cstheme="minorHAnsi"/>
                <w:i/>
                <w:iCs/>
              </w:rPr>
              <w:t>ITPA</w:t>
            </w:r>
            <w:r w:rsidRPr="00A45CC2">
              <w:rPr>
                <w:rFonts w:asciiTheme="minorHAnsi" w:hAnsiTheme="minorHAnsi" w:cstheme="minorHAnsi"/>
              </w:rPr>
              <w:t xml:space="preserve"> c.94 C&gt;A, rs1127354</w:t>
            </w:r>
          </w:p>
        </w:tc>
        <w:tc>
          <w:tcPr>
            <w:tcW w:w="2268" w:type="dxa"/>
            <w:vAlign w:val="center"/>
          </w:tcPr>
          <w:p w14:paraId="3AEAB399" w14:textId="7CE3EF87" w:rsidR="009633F2" w:rsidRPr="00A45CC2" w:rsidRDefault="00B81B89" w:rsidP="00B81B89">
            <w:pPr>
              <w:spacing w:after="160" w:line="259" w:lineRule="auto"/>
              <w:jc w:val="center"/>
              <w:rPr>
                <w:rFonts w:asciiTheme="minorHAnsi" w:hAnsiTheme="minorHAnsi" w:cstheme="minorHAnsi"/>
              </w:rPr>
            </w:pPr>
            <w:r w:rsidRPr="00A45CC2">
              <w:rPr>
                <w:rFonts w:asciiTheme="minorHAnsi" w:hAnsiTheme="minorHAnsi" w:cstheme="minorHAnsi"/>
              </w:rPr>
              <w:t>C-87 &amp; T-13</w:t>
            </w:r>
          </w:p>
        </w:tc>
        <w:tc>
          <w:tcPr>
            <w:tcW w:w="2835" w:type="dxa"/>
            <w:vAlign w:val="center"/>
          </w:tcPr>
          <w:p w14:paraId="58F8CC52" w14:textId="6956CCBE" w:rsidR="009633F2" w:rsidRPr="00A45CC2" w:rsidRDefault="00B81B89" w:rsidP="00B81B89">
            <w:pPr>
              <w:spacing w:after="160" w:line="259" w:lineRule="auto"/>
              <w:jc w:val="center"/>
              <w:rPr>
                <w:rFonts w:asciiTheme="minorHAnsi" w:hAnsiTheme="minorHAnsi" w:cstheme="minorHAnsi"/>
              </w:rPr>
            </w:pPr>
            <w:r w:rsidRPr="00A45CC2">
              <w:rPr>
                <w:rFonts w:asciiTheme="minorHAnsi" w:hAnsiTheme="minorHAnsi" w:cstheme="minorHAnsi"/>
              </w:rPr>
              <w:t>CC-76.4, CA-22.0 &amp; AA-1.6</w:t>
            </w:r>
          </w:p>
        </w:tc>
      </w:tr>
      <w:tr w:rsidR="00B81B89" w14:paraId="3A55866B" w14:textId="0008547A" w:rsidTr="00B81B89">
        <w:trPr>
          <w:jc w:val="center"/>
        </w:trPr>
        <w:tc>
          <w:tcPr>
            <w:tcW w:w="743" w:type="dxa"/>
            <w:vAlign w:val="center"/>
          </w:tcPr>
          <w:p w14:paraId="36EF7C12" w14:textId="1B00764F" w:rsidR="00B81B89" w:rsidRPr="009633F2" w:rsidRDefault="00B81B89" w:rsidP="00B81B89">
            <w:pPr>
              <w:spacing w:after="160" w:line="259" w:lineRule="auto"/>
              <w:jc w:val="center"/>
              <w:rPr>
                <w:rFonts w:asciiTheme="minorHAnsi" w:hAnsiTheme="minorHAnsi" w:cstheme="minorHAnsi"/>
                <w:b/>
                <w:bCs/>
              </w:rPr>
            </w:pPr>
            <w:r w:rsidRPr="009633F2">
              <w:rPr>
                <w:rFonts w:asciiTheme="minorHAnsi" w:hAnsiTheme="minorHAnsi" w:cstheme="minorHAnsi"/>
                <w:b/>
                <w:bCs/>
              </w:rPr>
              <w:t>4</w:t>
            </w:r>
          </w:p>
        </w:tc>
        <w:tc>
          <w:tcPr>
            <w:tcW w:w="3647" w:type="dxa"/>
            <w:vAlign w:val="center"/>
          </w:tcPr>
          <w:p w14:paraId="4AF8DE08" w14:textId="137213EC" w:rsidR="00B81B89" w:rsidRPr="00A45CC2" w:rsidRDefault="00B81B89" w:rsidP="00B81B89">
            <w:pPr>
              <w:spacing w:after="160" w:line="259" w:lineRule="auto"/>
              <w:jc w:val="center"/>
              <w:rPr>
                <w:rFonts w:asciiTheme="minorHAnsi" w:hAnsiTheme="minorHAnsi" w:cstheme="minorHAnsi"/>
              </w:rPr>
            </w:pPr>
            <w:r w:rsidRPr="00A45CC2">
              <w:rPr>
                <w:rFonts w:asciiTheme="minorHAnsi" w:hAnsiTheme="minorHAnsi" w:cstheme="minorHAnsi"/>
                <w:i/>
                <w:iCs/>
              </w:rPr>
              <w:t>MRP4</w:t>
            </w:r>
            <w:r w:rsidRPr="00A45CC2">
              <w:rPr>
                <w:rFonts w:asciiTheme="minorHAnsi" w:hAnsiTheme="minorHAnsi" w:cstheme="minorHAnsi"/>
              </w:rPr>
              <w:t xml:space="preserve"> c.2269 C&gt;T, rs3765534</w:t>
            </w:r>
          </w:p>
        </w:tc>
        <w:tc>
          <w:tcPr>
            <w:tcW w:w="2268" w:type="dxa"/>
            <w:vAlign w:val="center"/>
          </w:tcPr>
          <w:p w14:paraId="486ABA8A" w14:textId="77E1550C" w:rsidR="00B81B89" w:rsidRPr="00A45CC2" w:rsidRDefault="00B81B89" w:rsidP="00B81B89">
            <w:pPr>
              <w:spacing w:after="160" w:line="259" w:lineRule="auto"/>
              <w:jc w:val="center"/>
              <w:rPr>
                <w:rFonts w:asciiTheme="minorHAnsi" w:hAnsiTheme="minorHAnsi" w:cstheme="minorHAnsi"/>
              </w:rPr>
            </w:pPr>
            <w:r w:rsidRPr="00A45CC2">
              <w:rPr>
                <w:rFonts w:asciiTheme="minorHAnsi" w:hAnsiTheme="minorHAnsi" w:cstheme="minorHAnsi"/>
              </w:rPr>
              <w:t>C-93 &amp; T-7</w:t>
            </w:r>
          </w:p>
        </w:tc>
        <w:tc>
          <w:tcPr>
            <w:tcW w:w="2835" w:type="dxa"/>
            <w:vAlign w:val="center"/>
          </w:tcPr>
          <w:p w14:paraId="41830D9C" w14:textId="1F8C27BF" w:rsidR="00B81B89" w:rsidRPr="00A45CC2" w:rsidRDefault="00B81B89" w:rsidP="00B81B89">
            <w:pPr>
              <w:spacing w:after="160" w:line="259" w:lineRule="auto"/>
              <w:jc w:val="center"/>
              <w:rPr>
                <w:rFonts w:asciiTheme="minorHAnsi" w:hAnsiTheme="minorHAnsi" w:cstheme="minorHAnsi"/>
              </w:rPr>
            </w:pPr>
            <w:r w:rsidRPr="00A45CC2">
              <w:rPr>
                <w:rFonts w:asciiTheme="minorHAnsi" w:hAnsiTheme="minorHAnsi" w:cstheme="minorHAnsi"/>
              </w:rPr>
              <w:t>CC-87.6 CT-10.7 &amp; TT-1.7</w:t>
            </w:r>
          </w:p>
        </w:tc>
      </w:tr>
    </w:tbl>
    <w:p w14:paraId="7B0EEDBF" w14:textId="20C1E250" w:rsidR="00C94139" w:rsidRDefault="00C94139" w:rsidP="009633F2">
      <w:pPr>
        <w:spacing w:after="160" w:line="259" w:lineRule="auto"/>
        <w:rPr>
          <w:rFonts w:asciiTheme="minorHAnsi" w:hAnsiTheme="minorHAnsi" w:cstheme="minorHAnsi"/>
          <w:b/>
          <w:bCs/>
        </w:rPr>
      </w:pPr>
      <w:r>
        <w:rPr>
          <w:rFonts w:asciiTheme="minorHAnsi" w:hAnsiTheme="minorHAnsi" w:cstheme="minorHAnsi"/>
          <w:b/>
          <w:bCs/>
        </w:rPr>
        <w:br w:type="page"/>
      </w:r>
    </w:p>
    <w:p w14:paraId="7920F13B" w14:textId="73B020E1" w:rsidR="006E2B1C" w:rsidRDefault="00C94139" w:rsidP="00C94139">
      <w:pPr>
        <w:spacing w:after="160" w:line="259" w:lineRule="auto"/>
        <w:rPr>
          <w:rFonts w:asciiTheme="minorHAnsi" w:hAnsiTheme="minorHAnsi" w:cstheme="minorHAnsi"/>
          <w:b/>
          <w:bCs/>
        </w:rPr>
      </w:pPr>
      <w:r w:rsidRPr="003E2F93">
        <w:rPr>
          <w:rFonts w:asciiTheme="minorHAnsi" w:hAnsiTheme="minorHAnsi" w:cstheme="minorHAnsi"/>
          <w:b/>
          <w:bCs/>
        </w:rPr>
        <w:lastRenderedPageBreak/>
        <w:t>Table</w:t>
      </w:r>
      <w:r>
        <w:rPr>
          <w:rFonts w:asciiTheme="minorHAnsi" w:hAnsiTheme="minorHAnsi" w:cstheme="minorHAnsi"/>
          <w:b/>
          <w:bCs/>
        </w:rPr>
        <w:t xml:space="preserve"> S</w:t>
      </w:r>
      <w:r w:rsidR="009633F2">
        <w:rPr>
          <w:rFonts w:asciiTheme="minorHAnsi" w:hAnsiTheme="minorHAnsi" w:cstheme="minorHAnsi"/>
          <w:b/>
          <w:bCs/>
        </w:rPr>
        <w:t>3</w:t>
      </w:r>
      <w:r w:rsidRPr="003E2F93">
        <w:rPr>
          <w:rFonts w:asciiTheme="minorHAnsi" w:hAnsiTheme="minorHAnsi" w:cstheme="minorHAnsi"/>
          <w:b/>
          <w:bCs/>
        </w:rPr>
        <w:t>:</w:t>
      </w:r>
      <w:r>
        <w:rPr>
          <w:rFonts w:asciiTheme="minorHAnsi" w:hAnsiTheme="minorHAnsi" w:cstheme="minorHAnsi"/>
          <w:b/>
          <w:bCs/>
        </w:rPr>
        <w:t xml:space="preserve"> </w:t>
      </w:r>
      <w:r w:rsidR="00F265B8">
        <w:rPr>
          <w:rFonts w:asciiTheme="minorHAnsi" w:hAnsiTheme="minorHAnsi" w:cstheme="minorHAnsi"/>
          <w:b/>
          <w:bCs/>
        </w:rPr>
        <w:t>Distribution of</w:t>
      </w:r>
      <w:r w:rsidRPr="003E2F93">
        <w:rPr>
          <w:rFonts w:asciiTheme="minorHAnsi" w:hAnsiTheme="minorHAnsi" w:cstheme="minorHAnsi"/>
          <w:b/>
          <w:bCs/>
        </w:rPr>
        <w:t xml:space="preserve"> variant allele frequencies of </w:t>
      </w:r>
      <w:r w:rsidRPr="00563231">
        <w:rPr>
          <w:rFonts w:asciiTheme="minorHAnsi" w:hAnsiTheme="minorHAnsi" w:cstheme="minorHAnsi"/>
          <w:b/>
          <w:bCs/>
          <w:i/>
          <w:iCs/>
        </w:rPr>
        <w:t>NUDT15, MRP4, ITPA</w:t>
      </w:r>
      <w:r w:rsidRPr="00563231">
        <w:rPr>
          <w:rFonts w:asciiTheme="minorHAnsi" w:hAnsiTheme="minorHAnsi" w:cstheme="minorHAnsi"/>
          <w:b/>
          <w:bCs/>
        </w:rPr>
        <w:t xml:space="preserve"> and</w:t>
      </w:r>
      <w:r w:rsidRPr="00563231">
        <w:rPr>
          <w:rFonts w:asciiTheme="minorHAnsi" w:hAnsiTheme="minorHAnsi" w:cstheme="minorHAnsi"/>
          <w:b/>
          <w:bCs/>
          <w:i/>
          <w:iCs/>
        </w:rPr>
        <w:t xml:space="preserve"> TPMT</w:t>
      </w:r>
      <w:r w:rsidRPr="003E2F93">
        <w:rPr>
          <w:rFonts w:asciiTheme="minorHAnsi" w:hAnsiTheme="minorHAnsi" w:cstheme="minorHAnsi"/>
          <w:b/>
          <w:bCs/>
        </w:rPr>
        <w:t xml:space="preserve"> genes across different studies in different ethnicities</w:t>
      </w:r>
    </w:p>
    <w:tbl>
      <w:tblPr>
        <w:tblStyle w:val="TableGrid"/>
        <w:tblW w:w="10768" w:type="dxa"/>
        <w:jc w:val="center"/>
        <w:tblLayout w:type="fixed"/>
        <w:tblLook w:val="0420" w:firstRow="1" w:lastRow="0" w:firstColumn="0" w:lastColumn="0" w:noHBand="0" w:noVBand="1"/>
      </w:tblPr>
      <w:tblGrid>
        <w:gridCol w:w="709"/>
        <w:gridCol w:w="2121"/>
        <w:gridCol w:w="1560"/>
        <w:gridCol w:w="1559"/>
        <w:gridCol w:w="1559"/>
        <w:gridCol w:w="1559"/>
        <w:gridCol w:w="1701"/>
      </w:tblGrid>
      <w:tr w:rsidR="000F1B85" w:rsidRPr="00A51555" w14:paraId="3D75B101" w14:textId="77777777" w:rsidTr="000F1B85">
        <w:trPr>
          <w:trHeight w:val="483"/>
          <w:jc w:val="center"/>
        </w:trPr>
        <w:tc>
          <w:tcPr>
            <w:tcW w:w="709" w:type="dxa"/>
            <w:vAlign w:val="center"/>
          </w:tcPr>
          <w:p w14:paraId="29C6F67A" w14:textId="6E5951D6" w:rsidR="00A51555" w:rsidRPr="000F1B85" w:rsidRDefault="00A51555" w:rsidP="00E207BA">
            <w:pPr>
              <w:jc w:val="center"/>
              <w:rPr>
                <w:rFonts w:asciiTheme="minorHAnsi" w:hAnsiTheme="minorHAnsi" w:cstheme="minorHAnsi"/>
                <w:b/>
                <w:bCs/>
                <w:kern w:val="24"/>
                <w:lang w:val="en-IN" w:eastAsia="en-IN"/>
              </w:rPr>
            </w:pPr>
            <w:r w:rsidRPr="000F1B85">
              <w:rPr>
                <w:rFonts w:asciiTheme="minorHAnsi" w:hAnsiTheme="minorHAnsi" w:cstheme="minorHAnsi"/>
                <w:b/>
                <w:bCs/>
                <w:kern w:val="24"/>
                <w:lang w:val="en-IN" w:eastAsia="en-IN"/>
              </w:rPr>
              <w:t>S.no</w:t>
            </w:r>
          </w:p>
        </w:tc>
        <w:tc>
          <w:tcPr>
            <w:tcW w:w="2121" w:type="dxa"/>
            <w:vAlign w:val="center"/>
          </w:tcPr>
          <w:p w14:paraId="50EA6B2E" w14:textId="77777777" w:rsidR="00A51555" w:rsidRPr="000F1B85" w:rsidRDefault="00A51555" w:rsidP="00E207BA">
            <w:pPr>
              <w:jc w:val="center"/>
              <w:rPr>
                <w:rFonts w:asciiTheme="minorHAnsi" w:hAnsiTheme="minorHAnsi" w:cstheme="minorHAnsi"/>
                <w:b/>
                <w:bCs/>
                <w:kern w:val="24"/>
                <w:lang w:val="en-IN" w:eastAsia="en-IN"/>
              </w:rPr>
            </w:pPr>
            <w:r w:rsidRPr="000F1B85">
              <w:rPr>
                <w:rFonts w:asciiTheme="minorHAnsi" w:hAnsiTheme="minorHAnsi" w:cstheme="minorHAnsi"/>
                <w:b/>
                <w:bCs/>
                <w:kern w:val="24"/>
                <w:lang w:val="en-IN" w:eastAsia="en-IN"/>
              </w:rPr>
              <w:t>Ethnicity (n)</w:t>
            </w:r>
          </w:p>
        </w:tc>
        <w:tc>
          <w:tcPr>
            <w:tcW w:w="1560" w:type="dxa"/>
            <w:vAlign w:val="center"/>
          </w:tcPr>
          <w:p w14:paraId="21969F24" w14:textId="77777777" w:rsidR="00A51555" w:rsidRPr="000F1B85" w:rsidRDefault="00A51555" w:rsidP="00E207BA">
            <w:pPr>
              <w:jc w:val="center"/>
              <w:rPr>
                <w:rFonts w:asciiTheme="minorHAnsi" w:hAnsiTheme="minorHAnsi" w:cstheme="minorHAnsi"/>
                <w:b/>
                <w:bCs/>
                <w:color w:val="000000"/>
                <w:kern w:val="24"/>
                <w:lang w:val="en-IN" w:eastAsia="en-IN"/>
              </w:rPr>
            </w:pPr>
            <w:r w:rsidRPr="000F1B85">
              <w:rPr>
                <w:rFonts w:asciiTheme="minorHAnsi" w:hAnsiTheme="minorHAnsi" w:cstheme="minorHAnsi"/>
                <w:b/>
                <w:bCs/>
                <w:i/>
                <w:iCs/>
                <w:color w:val="000000"/>
                <w:kern w:val="24"/>
                <w:lang w:val="en-IN" w:eastAsia="en-IN"/>
              </w:rPr>
              <w:t>NUDT15</w:t>
            </w:r>
            <w:r w:rsidRPr="000F1B85">
              <w:rPr>
                <w:rFonts w:asciiTheme="minorHAnsi" w:hAnsiTheme="minorHAnsi" w:cstheme="minorHAnsi"/>
                <w:b/>
                <w:bCs/>
                <w:color w:val="000000"/>
                <w:kern w:val="24"/>
                <w:lang w:val="en-IN" w:eastAsia="en-IN"/>
              </w:rPr>
              <w:t xml:space="preserve"> c.415C&gt;T</w:t>
            </w:r>
          </w:p>
          <w:p w14:paraId="4C1E9AC7" w14:textId="391B0D54" w:rsidR="00F134C2" w:rsidRPr="000F1B85" w:rsidRDefault="00F134C2" w:rsidP="00E207BA">
            <w:pPr>
              <w:jc w:val="center"/>
              <w:rPr>
                <w:rFonts w:asciiTheme="minorHAnsi" w:hAnsiTheme="minorHAnsi" w:cstheme="minorHAnsi"/>
                <w:b/>
                <w:bCs/>
                <w:kern w:val="24"/>
                <w:lang w:val="en-IN" w:eastAsia="en-IN"/>
              </w:rPr>
            </w:pPr>
            <w:r w:rsidRPr="000F1B85">
              <w:rPr>
                <w:rFonts w:asciiTheme="minorHAnsi" w:hAnsiTheme="minorHAnsi" w:cstheme="minorHAnsi"/>
                <w:b/>
                <w:bCs/>
                <w:kern w:val="24"/>
                <w:lang w:val="en-IN" w:eastAsia="en-IN"/>
              </w:rPr>
              <w:t>rs116855232</w:t>
            </w:r>
          </w:p>
        </w:tc>
        <w:tc>
          <w:tcPr>
            <w:tcW w:w="1559" w:type="dxa"/>
            <w:vAlign w:val="center"/>
          </w:tcPr>
          <w:p w14:paraId="592ECB9A" w14:textId="7B637049" w:rsidR="00A51555" w:rsidRPr="000F1B85" w:rsidRDefault="00A51555" w:rsidP="00A51555">
            <w:pPr>
              <w:jc w:val="center"/>
              <w:rPr>
                <w:rFonts w:asciiTheme="minorHAnsi" w:hAnsiTheme="minorHAnsi" w:cstheme="minorHAnsi"/>
                <w:b/>
                <w:bCs/>
                <w:color w:val="000000"/>
                <w:kern w:val="24"/>
                <w:lang w:val="en-IN" w:eastAsia="en-IN"/>
              </w:rPr>
            </w:pPr>
            <w:r w:rsidRPr="000F1B85">
              <w:rPr>
                <w:rFonts w:asciiTheme="minorHAnsi" w:hAnsiTheme="minorHAnsi" w:cstheme="minorHAnsi"/>
                <w:b/>
                <w:bCs/>
                <w:i/>
                <w:iCs/>
                <w:color w:val="000000"/>
                <w:kern w:val="24"/>
                <w:lang w:val="en-IN" w:eastAsia="en-IN"/>
              </w:rPr>
              <w:t>TPMT</w:t>
            </w:r>
            <w:r w:rsidR="000F1B85" w:rsidRPr="000F1B85">
              <w:t xml:space="preserve"> </w:t>
            </w:r>
            <w:r w:rsidR="000F1B85" w:rsidRPr="000F1B85">
              <w:rPr>
                <w:rFonts w:asciiTheme="minorHAnsi" w:hAnsiTheme="minorHAnsi" w:cstheme="minorHAnsi"/>
                <w:b/>
                <w:bCs/>
                <w:color w:val="000000"/>
                <w:kern w:val="24"/>
                <w:lang w:val="en-IN" w:eastAsia="en-IN"/>
              </w:rPr>
              <w:t>c.719A&gt;G</w:t>
            </w:r>
            <w:r w:rsidRPr="000F1B85">
              <w:rPr>
                <w:rFonts w:asciiTheme="minorHAnsi" w:hAnsiTheme="minorHAnsi" w:cstheme="minorHAnsi"/>
                <w:b/>
                <w:bCs/>
                <w:color w:val="000000"/>
                <w:kern w:val="24"/>
                <w:lang w:val="en-IN" w:eastAsia="en-IN"/>
              </w:rPr>
              <w:t xml:space="preserve"> </w:t>
            </w:r>
          </w:p>
          <w:p w14:paraId="43599F76" w14:textId="475DB83E" w:rsidR="00F134C2" w:rsidRPr="000F1B85" w:rsidRDefault="00F134C2" w:rsidP="00A51555">
            <w:pPr>
              <w:jc w:val="center"/>
              <w:rPr>
                <w:rFonts w:asciiTheme="minorHAnsi" w:hAnsiTheme="minorHAnsi" w:cstheme="minorHAnsi"/>
                <w:b/>
                <w:bCs/>
                <w:kern w:val="24"/>
                <w:lang w:val="en-IN" w:eastAsia="en-IN"/>
              </w:rPr>
            </w:pPr>
            <w:r w:rsidRPr="000F1B85">
              <w:rPr>
                <w:rFonts w:asciiTheme="minorHAnsi" w:hAnsiTheme="minorHAnsi" w:cstheme="minorHAnsi"/>
                <w:b/>
                <w:bCs/>
                <w:kern w:val="24"/>
                <w:lang w:val="en-IN" w:eastAsia="en-IN"/>
              </w:rPr>
              <w:t>rs1142345</w:t>
            </w:r>
          </w:p>
        </w:tc>
        <w:tc>
          <w:tcPr>
            <w:tcW w:w="1559" w:type="dxa"/>
            <w:vAlign w:val="center"/>
          </w:tcPr>
          <w:p w14:paraId="7DA7DC0A" w14:textId="77777777" w:rsidR="000F1B85" w:rsidRPr="00563231" w:rsidRDefault="00A51555" w:rsidP="00E207BA">
            <w:pPr>
              <w:jc w:val="center"/>
              <w:rPr>
                <w:rFonts w:asciiTheme="minorHAnsi" w:hAnsiTheme="minorHAnsi" w:cstheme="minorHAnsi"/>
                <w:b/>
                <w:bCs/>
                <w:i/>
                <w:iCs/>
                <w:kern w:val="24"/>
                <w:lang w:val="en-IN" w:eastAsia="en-IN"/>
              </w:rPr>
            </w:pPr>
            <w:r w:rsidRPr="00563231">
              <w:rPr>
                <w:rFonts w:asciiTheme="minorHAnsi" w:hAnsiTheme="minorHAnsi" w:cstheme="minorHAnsi"/>
                <w:b/>
                <w:bCs/>
                <w:i/>
                <w:iCs/>
                <w:kern w:val="24"/>
                <w:lang w:val="en-IN" w:eastAsia="en-IN"/>
              </w:rPr>
              <w:t>ITPA</w:t>
            </w:r>
          </w:p>
          <w:p w14:paraId="56806478" w14:textId="2F341F77" w:rsidR="00A51555" w:rsidRPr="000F1B85" w:rsidRDefault="00A51555" w:rsidP="00E207BA">
            <w:pPr>
              <w:jc w:val="center"/>
              <w:rPr>
                <w:rFonts w:asciiTheme="minorHAnsi" w:hAnsiTheme="minorHAnsi" w:cstheme="minorHAnsi"/>
                <w:b/>
                <w:bCs/>
                <w:kern w:val="24"/>
                <w:lang w:val="en-IN" w:eastAsia="en-IN"/>
              </w:rPr>
            </w:pPr>
            <w:r w:rsidRPr="000F1B85">
              <w:rPr>
                <w:rFonts w:asciiTheme="minorHAnsi" w:hAnsiTheme="minorHAnsi" w:cstheme="minorHAnsi"/>
                <w:b/>
                <w:bCs/>
                <w:kern w:val="24"/>
                <w:lang w:val="en-IN" w:eastAsia="en-IN"/>
              </w:rPr>
              <w:t xml:space="preserve"> c.94 C&gt;A</w:t>
            </w:r>
          </w:p>
          <w:p w14:paraId="4D24A0AE" w14:textId="45EB63FF" w:rsidR="00F134C2" w:rsidRPr="000F1B85" w:rsidRDefault="00F134C2" w:rsidP="00E207BA">
            <w:pPr>
              <w:jc w:val="center"/>
              <w:rPr>
                <w:rFonts w:asciiTheme="minorHAnsi" w:hAnsiTheme="minorHAnsi" w:cstheme="minorHAnsi"/>
                <w:b/>
                <w:bCs/>
                <w:kern w:val="24"/>
                <w:lang w:val="en-IN" w:eastAsia="en-IN"/>
              </w:rPr>
            </w:pPr>
            <w:r w:rsidRPr="000F1B85">
              <w:rPr>
                <w:rFonts w:asciiTheme="minorHAnsi" w:hAnsiTheme="minorHAnsi" w:cstheme="minorHAnsi"/>
                <w:b/>
                <w:bCs/>
                <w:kern w:val="24"/>
                <w:lang w:val="en-IN" w:eastAsia="en-IN"/>
              </w:rPr>
              <w:t>rs1127354</w:t>
            </w:r>
          </w:p>
        </w:tc>
        <w:tc>
          <w:tcPr>
            <w:tcW w:w="1559" w:type="dxa"/>
            <w:vAlign w:val="center"/>
          </w:tcPr>
          <w:p w14:paraId="4CF94B27" w14:textId="77777777" w:rsidR="000F1B85" w:rsidRPr="00563231" w:rsidRDefault="00A51555" w:rsidP="00E207BA">
            <w:pPr>
              <w:jc w:val="center"/>
              <w:rPr>
                <w:rFonts w:asciiTheme="minorHAnsi" w:hAnsiTheme="minorHAnsi" w:cstheme="minorHAnsi"/>
                <w:b/>
                <w:bCs/>
                <w:i/>
                <w:iCs/>
                <w:kern w:val="24"/>
                <w:lang w:val="en-IN" w:eastAsia="en-IN"/>
              </w:rPr>
            </w:pPr>
            <w:r w:rsidRPr="00563231">
              <w:rPr>
                <w:rFonts w:asciiTheme="minorHAnsi" w:hAnsiTheme="minorHAnsi" w:cstheme="minorHAnsi"/>
                <w:b/>
                <w:bCs/>
                <w:i/>
                <w:iCs/>
                <w:kern w:val="24"/>
                <w:lang w:val="en-IN" w:eastAsia="en-IN"/>
              </w:rPr>
              <w:t xml:space="preserve">MRP4 </w:t>
            </w:r>
          </w:p>
          <w:p w14:paraId="5CE9F275" w14:textId="2BB1543C" w:rsidR="00A51555" w:rsidRPr="000F1B85" w:rsidRDefault="00A51555" w:rsidP="00E207BA">
            <w:pPr>
              <w:jc w:val="center"/>
              <w:rPr>
                <w:rFonts w:asciiTheme="minorHAnsi" w:hAnsiTheme="minorHAnsi" w:cstheme="minorHAnsi"/>
                <w:b/>
                <w:bCs/>
                <w:kern w:val="24"/>
                <w:lang w:val="en-IN" w:eastAsia="en-IN"/>
              </w:rPr>
            </w:pPr>
            <w:r w:rsidRPr="000F1B85">
              <w:rPr>
                <w:rFonts w:asciiTheme="minorHAnsi" w:hAnsiTheme="minorHAnsi" w:cstheme="minorHAnsi"/>
                <w:b/>
                <w:bCs/>
                <w:kern w:val="24"/>
                <w:lang w:val="en-IN" w:eastAsia="en-IN"/>
              </w:rPr>
              <w:t>c.2269 C&gt;T</w:t>
            </w:r>
          </w:p>
          <w:p w14:paraId="11350BA1" w14:textId="16DD3926" w:rsidR="00F134C2" w:rsidRPr="000F1B85" w:rsidRDefault="00F134C2" w:rsidP="00E207BA">
            <w:pPr>
              <w:jc w:val="center"/>
              <w:rPr>
                <w:rFonts w:asciiTheme="minorHAnsi" w:hAnsiTheme="minorHAnsi" w:cstheme="minorHAnsi"/>
                <w:b/>
                <w:bCs/>
                <w:kern w:val="24"/>
                <w:lang w:val="en-IN" w:eastAsia="en-IN"/>
              </w:rPr>
            </w:pPr>
            <w:r w:rsidRPr="000F1B85">
              <w:rPr>
                <w:rFonts w:asciiTheme="minorHAnsi" w:hAnsiTheme="minorHAnsi" w:cstheme="minorHAnsi"/>
                <w:b/>
                <w:bCs/>
                <w:kern w:val="24"/>
                <w:lang w:val="en-IN" w:eastAsia="en-IN"/>
              </w:rPr>
              <w:t>rs3765534</w:t>
            </w:r>
          </w:p>
        </w:tc>
        <w:tc>
          <w:tcPr>
            <w:tcW w:w="1701" w:type="dxa"/>
            <w:vAlign w:val="center"/>
          </w:tcPr>
          <w:p w14:paraId="51978928" w14:textId="6850C29D" w:rsidR="00A51555" w:rsidRPr="000F1B85" w:rsidRDefault="00A51555" w:rsidP="00E207BA">
            <w:pPr>
              <w:jc w:val="center"/>
              <w:rPr>
                <w:rFonts w:asciiTheme="minorHAnsi" w:hAnsiTheme="minorHAnsi" w:cstheme="minorHAnsi"/>
                <w:b/>
                <w:bCs/>
                <w:lang w:val="en-IN" w:eastAsia="en-IN"/>
              </w:rPr>
            </w:pPr>
            <w:r w:rsidRPr="000F1B85">
              <w:rPr>
                <w:rFonts w:asciiTheme="minorHAnsi" w:hAnsiTheme="minorHAnsi" w:cstheme="minorHAnsi"/>
                <w:b/>
                <w:bCs/>
                <w:lang w:val="en-IN" w:eastAsia="en-IN"/>
              </w:rPr>
              <w:t>Ref</w:t>
            </w:r>
            <w:r w:rsidR="000F1B85">
              <w:rPr>
                <w:rFonts w:asciiTheme="minorHAnsi" w:hAnsiTheme="minorHAnsi" w:cstheme="minorHAnsi"/>
                <w:b/>
                <w:bCs/>
                <w:lang w:val="en-IN" w:eastAsia="en-IN"/>
              </w:rPr>
              <w:t>erence</w:t>
            </w:r>
          </w:p>
        </w:tc>
      </w:tr>
      <w:tr w:rsidR="000F1B85" w:rsidRPr="00A51555" w14:paraId="7B316467" w14:textId="77777777" w:rsidTr="000F1B85">
        <w:trPr>
          <w:trHeight w:val="279"/>
          <w:jc w:val="center"/>
        </w:trPr>
        <w:tc>
          <w:tcPr>
            <w:tcW w:w="709" w:type="dxa"/>
            <w:vMerge w:val="restart"/>
            <w:vAlign w:val="center"/>
          </w:tcPr>
          <w:p w14:paraId="6714354C" w14:textId="77777777" w:rsidR="00A51555" w:rsidRPr="00A51555" w:rsidRDefault="00A51555" w:rsidP="00E207BA">
            <w:pPr>
              <w:jc w:val="center"/>
              <w:rPr>
                <w:rFonts w:asciiTheme="minorHAnsi" w:hAnsiTheme="minorHAnsi" w:cstheme="minorHAnsi"/>
                <w:kern w:val="24"/>
                <w:sz w:val="22"/>
                <w:szCs w:val="22"/>
                <w:lang w:val="en-IN" w:eastAsia="en-IN"/>
              </w:rPr>
            </w:pPr>
            <w:r w:rsidRPr="00A51555">
              <w:rPr>
                <w:rFonts w:asciiTheme="minorHAnsi" w:hAnsiTheme="minorHAnsi" w:cstheme="minorHAnsi"/>
                <w:kern w:val="24"/>
                <w:sz w:val="22"/>
                <w:szCs w:val="22"/>
                <w:lang w:val="en-IN" w:eastAsia="en-IN"/>
              </w:rPr>
              <w:t>1.</w:t>
            </w:r>
          </w:p>
        </w:tc>
        <w:tc>
          <w:tcPr>
            <w:tcW w:w="2121" w:type="dxa"/>
            <w:vAlign w:val="center"/>
          </w:tcPr>
          <w:p w14:paraId="0D4D9ED2" w14:textId="49ACB08B" w:rsidR="00A51555" w:rsidRPr="00A51555" w:rsidRDefault="00A51555" w:rsidP="00E207BA">
            <w:pPr>
              <w:jc w:val="center"/>
              <w:rPr>
                <w:rFonts w:asciiTheme="minorHAnsi" w:hAnsiTheme="minorHAnsi" w:cstheme="minorHAnsi"/>
                <w:kern w:val="24"/>
                <w:sz w:val="22"/>
                <w:szCs w:val="22"/>
                <w:lang w:val="en-IN" w:eastAsia="en-IN"/>
              </w:rPr>
            </w:pPr>
            <w:r w:rsidRPr="00A51555">
              <w:rPr>
                <w:rFonts w:asciiTheme="minorHAnsi" w:hAnsiTheme="minorHAnsi" w:cstheme="minorHAnsi"/>
                <w:kern w:val="24"/>
                <w:sz w:val="22"/>
                <w:szCs w:val="22"/>
                <w:lang w:val="en-IN" w:eastAsia="en-IN"/>
              </w:rPr>
              <w:t>Guatemal</w:t>
            </w:r>
            <w:r>
              <w:rPr>
                <w:rFonts w:asciiTheme="minorHAnsi" w:hAnsiTheme="minorHAnsi" w:cstheme="minorHAnsi"/>
                <w:kern w:val="24"/>
                <w:sz w:val="22"/>
                <w:szCs w:val="22"/>
                <w:lang w:val="en-IN" w:eastAsia="en-IN"/>
              </w:rPr>
              <w:t>a</w:t>
            </w:r>
            <w:r w:rsidRPr="00A51555">
              <w:rPr>
                <w:rFonts w:asciiTheme="minorHAnsi" w:hAnsiTheme="minorHAnsi" w:cstheme="minorHAnsi"/>
                <w:kern w:val="24"/>
                <w:sz w:val="22"/>
                <w:szCs w:val="22"/>
                <w:lang w:val="en-IN" w:eastAsia="en-IN"/>
              </w:rPr>
              <w:t>(159)</w:t>
            </w:r>
          </w:p>
        </w:tc>
        <w:tc>
          <w:tcPr>
            <w:tcW w:w="1560" w:type="dxa"/>
            <w:vAlign w:val="center"/>
          </w:tcPr>
          <w:p w14:paraId="75D29B94" w14:textId="5182800D" w:rsidR="00A51555" w:rsidRPr="00A51555" w:rsidRDefault="00F73033" w:rsidP="00E207BA">
            <w:pPr>
              <w:jc w:val="center"/>
              <w:rPr>
                <w:rFonts w:asciiTheme="minorHAnsi" w:hAnsiTheme="minorHAnsi" w:cstheme="minorHAnsi"/>
                <w:i/>
                <w:iCs/>
                <w:kern w:val="24"/>
                <w:sz w:val="22"/>
                <w:szCs w:val="22"/>
                <w:lang w:val="en-IN" w:eastAsia="en-IN"/>
              </w:rPr>
            </w:pPr>
            <w:r>
              <w:rPr>
                <w:rFonts w:asciiTheme="minorHAnsi" w:hAnsiTheme="minorHAnsi" w:cstheme="minorHAnsi"/>
                <w:i/>
                <w:iCs/>
                <w:kern w:val="24"/>
                <w:sz w:val="22"/>
                <w:szCs w:val="22"/>
                <w:lang w:val="en-IN" w:eastAsia="en-IN"/>
              </w:rPr>
              <w:t>5%</w:t>
            </w:r>
          </w:p>
        </w:tc>
        <w:tc>
          <w:tcPr>
            <w:tcW w:w="1559" w:type="dxa"/>
            <w:vAlign w:val="center"/>
          </w:tcPr>
          <w:p w14:paraId="2C4F77FC" w14:textId="233A79DB" w:rsidR="00A51555" w:rsidRPr="00A51555" w:rsidRDefault="00F73033"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w:t>
            </w:r>
          </w:p>
        </w:tc>
        <w:tc>
          <w:tcPr>
            <w:tcW w:w="1559" w:type="dxa"/>
            <w:vAlign w:val="center"/>
          </w:tcPr>
          <w:p w14:paraId="2BA76CEF" w14:textId="15619D67" w:rsidR="00A51555" w:rsidRPr="00A51555" w:rsidRDefault="00F73033"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w:t>
            </w:r>
          </w:p>
        </w:tc>
        <w:tc>
          <w:tcPr>
            <w:tcW w:w="1559" w:type="dxa"/>
            <w:vAlign w:val="center"/>
          </w:tcPr>
          <w:p w14:paraId="510AE384" w14:textId="5CE03FE6" w:rsidR="00A51555" w:rsidRPr="00A51555" w:rsidRDefault="00F73033"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w:t>
            </w:r>
          </w:p>
        </w:tc>
        <w:tc>
          <w:tcPr>
            <w:tcW w:w="1701" w:type="dxa"/>
            <w:vMerge w:val="restart"/>
            <w:vAlign w:val="center"/>
          </w:tcPr>
          <w:p w14:paraId="56F7CAF1" w14:textId="77777777" w:rsidR="00A51555" w:rsidRPr="00A51555" w:rsidRDefault="00A51555" w:rsidP="00E207BA">
            <w:pPr>
              <w:jc w:val="center"/>
              <w:rPr>
                <w:rFonts w:asciiTheme="minorHAnsi" w:hAnsiTheme="minorHAnsi" w:cstheme="minorHAnsi"/>
                <w:i/>
                <w:iCs/>
                <w:kern w:val="24"/>
                <w:sz w:val="16"/>
                <w:szCs w:val="16"/>
                <w:lang w:val="en-IN" w:eastAsia="en-IN"/>
              </w:rPr>
            </w:pPr>
            <w:r w:rsidRPr="00A51555">
              <w:rPr>
                <w:rFonts w:asciiTheme="minorHAnsi" w:hAnsiTheme="minorHAnsi" w:cstheme="minorHAnsi"/>
                <w:i/>
                <w:iCs/>
                <w:kern w:val="24"/>
                <w:sz w:val="16"/>
                <w:szCs w:val="16"/>
                <w:lang w:val="en-IN" w:eastAsia="en-IN"/>
              </w:rPr>
              <w:fldChar w:fldCharType="begin"/>
            </w:r>
            <w:r w:rsidRPr="00A51555">
              <w:rPr>
                <w:rFonts w:asciiTheme="minorHAnsi" w:hAnsiTheme="minorHAnsi" w:cstheme="minorHAnsi"/>
                <w:i/>
                <w:iCs/>
                <w:kern w:val="24"/>
                <w:sz w:val="16"/>
                <w:szCs w:val="16"/>
                <w:lang w:val="en-IN" w:eastAsia="en-IN"/>
              </w:rPr>
              <w:instrText xml:space="preserve"> ADDIN ZOTERO_ITEM CSL_CITATION {"citationID":"K5UVe4f6","properties":{"formattedCitation":"[5]","plainCitation":"[5]","noteIndex":0},"citationItems":[{"id":516,"uris":["http://zotero.org/users/local/wJduMf1V/items/N8HZI67Q"],"uri":["http://zotero.org/users/local/wJduMf1V/items/N8HZI67Q"],"itemData":{"id":516,"type":"article-journal","abstract":"Widely used as anticancer and immunosuppressive agents, thiopurines have narrow therapeutic indices owing to frequent toxicities, partly explained by TPMT genetic polymorphisms. Recent studies identified germline NUDT15 variation as another critical determinant of thiopurine intolerance, but the underlying molecular mechanisms and the clinical implications of this pharmacogenetic association remain unknown. In 270 children enrolled in clinical trials for acute lymphoblastic leukemia in Guatemala, Singapore and Japan, we identified four NUDT15 coding variants (p.Arg139Cys, p.Arg139His, p.Val18Ile and p.Val18_Val19insGlyVal) that resulted in 74.4-100% loss of nucleotide diphosphatase activity. Loss-of-function NUDT15 diplotypes were consistently associated with thiopurine intolerance across the three cohorts (P = 0.021, 2.1 × 10(-5) and 0.0054, respectively; meta-analysis P = 4.45 × 10(-8), allelic effect size = -11.5). Mechanistically, NUDT15 inactivated thiopurine metabolites and decreased thiopurine cytotoxicity in vitro, and patients with defective NUDT15 alleles showed excessive levels of thiopurine active metabolites and toxicity. Taken together, these results indicate that a comprehensive pharmacogenetic model integrating NUDT15 variants may inform personalized thiopurine therapy.","container-title":"Nature Genetics","DOI":"10.1038/ng.3508","ISSN":"1546-1718","issue":"4","journalAbbreviation":"Nat Genet","language":"eng","note":"PMID: 26878724\nPMCID: PMC5029084","page":"367-373","source":"PubMed","title":"NUDT15 polymorphisms alter thiopurine metabolism and hematopoietic toxicity","volume":"48","author":[{"family":"Moriyama","given":"Takaya"},{"family":"Nishii","given":"Rina"},{"family":"Perez-Andreu","given":"Virginia"},{"family":"Yang","given":"Wenjian"},{"family":"Klussmann","given":"Federico Antillon"},{"family":"Zhao","given":"Xujie"},{"family":"Lin","given":"Ting-Nien"},{"family":"Hoshitsuki","given":"Keito"},{"family":"Nersting","given":"Jacob"},{"family":"Kihira","given":"Kentaro"},{"family":"Hofmann","given":"Ute"},{"family":"Komada","given":"Yoshihiro"},{"family":"Kato","given":"Motohiro"},{"family":"McCorkle","given":"Robert"},{"family":"Li","given":"Lie"},{"family":"Koh","given":"Katsuyoshi"},{"family":"Najera","given":"Cesar Rolando"},{"family":"Kham","given":"Shirley Kow-Yin"},{"family":"Isobe","given":"Tomoya"},{"family":"Chen","given":"Zhiwei"},{"family":"Chiew","given":"Edwynn Kean-Hui"},{"family":"Bhojwani","given":"Deepa"},{"family":"Jeffries","given":"Cynthia"},{"family":"Lu","given":"Yan"},{"family":"Schwab","given":"Matthias"},{"family":"Inaba","given":"Hiroto"},{"family":"Pui","given":"Ching-Hon"},{"family":"Relling","given":"Mary V."},{"family":"Manabe","given":"Atsushi"},{"family":"Hori","given":"Hiroki"},{"family":"Schmiegelow","given":"Kjeld"},{"family":"Yeoh","given":"Allen E. J."},{"family":"Evans","given":"William E."},{"family":"Yang","given":"Jun J."}],"issued":{"date-parts":[["2016",4]]}}}],"schema":"https://github.com/citation-style-language/schema/raw/master/csl-citation.json"} </w:instrText>
            </w:r>
            <w:r w:rsidRPr="00A51555">
              <w:rPr>
                <w:rFonts w:asciiTheme="minorHAnsi" w:hAnsiTheme="minorHAnsi" w:cstheme="minorHAnsi"/>
                <w:i/>
                <w:iCs/>
                <w:kern w:val="24"/>
                <w:sz w:val="16"/>
                <w:szCs w:val="16"/>
                <w:lang w:val="en-IN" w:eastAsia="en-IN"/>
              </w:rPr>
              <w:fldChar w:fldCharType="separate"/>
            </w:r>
            <w:r w:rsidRPr="00A51555">
              <w:rPr>
                <w:rFonts w:ascii="Calibri" w:hAnsi="Calibri" w:cs="Calibri"/>
                <w:sz w:val="16"/>
              </w:rPr>
              <w:t>[5]</w:t>
            </w:r>
            <w:r w:rsidRPr="00A51555">
              <w:rPr>
                <w:rFonts w:asciiTheme="minorHAnsi" w:hAnsiTheme="minorHAnsi" w:cstheme="minorHAnsi"/>
                <w:i/>
                <w:iCs/>
                <w:kern w:val="24"/>
                <w:sz w:val="16"/>
                <w:szCs w:val="16"/>
                <w:lang w:val="en-IN" w:eastAsia="en-IN"/>
              </w:rPr>
              <w:fldChar w:fldCharType="end"/>
            </w:r>
          </w:p>
        </w:tc>
      </w:tr>
      <w:tr w:rsidR="000F1B85" w:rsidRPr="00A51555" w14:paraId="33B110C0" w14:textId="77777777" w:rsidTr="000F1B85">
        <w:trPr>
          <w:trHeight w:val="231"/>
          <w:jc w:val="center"/>
        </w:trPr>
        <w:tc>
          <w:tcPr>
            <w:tcW w:w="709" w:type="dxa"/>
            <w:vMerge/>
            <w:vAlign w:val="center"/>
          </w:tcPr>
          <w:p w14:paraId="30E5AFFE" w14:textId="77777777" w:rsidR="00A51555" w:rsidRPr="00A51555" w:rsidRDefault="00A51555" w:rsidP="00E207BA">
            <w:pPr>
              <w:jc w:val="center"/>
              <w:rPr>
                <w:rFonts w:asciiTheme="minorHAnsi" w:hAnsiTheme="minorHAnsi" w:cstheme="minorHAnsi"/>
                <w:kern w:val="24"/>
                <w:sz w:val="22"/>
                <w:szCs w:val="22"/>
                <w:lang w:val="en-IN" w:eastAsia="en-IN"/>
              </w:rPr>
            </w:pPr>
          </w:p>
        </w:tc>
        <w:tc>
          <w:tcPr>
            <w:tcW w:w="2121" w:type="dxa"/>
            <w:vAlign w:val="center"/>
          </w:tcPr>
          <w:p w14:paraId="769D5E64" w14:textId="77777777" w:rsidR="00A51555" w:rsidRPr="00A51555" w:rsidRDefault="00A51555" w:rsidP="00E207BA">
            <w:pPr>
              <w:jc w:val="center"/>
              <w:rPr>
                <w:rFonts w:asciiTheme="minorHAnsi" w:hAnsiTheme="minorHAnsi" w:cstheme="minorHAnsi"/>
                <w:kern w:val="24"/>
                <w:sz w:val="22"/>
                <w:szCs w:val="22"/>
                <w:lang w:val="en-IN" w:eastAsia="en-IN"/>
              </w:rPr>
            </w:pPr>
            <w:r w:rsidRPr="00A51555">
              <w:rPr>
                <w:rFonts w:asciiTheme="minorHAnsi" w:hAnsiTheme="minorHAnsi" w:cstheme="minorHAnsi"/>
                <w:kern w:val="24"/>
                <w:sz w:val="22"/>
                <w:szCs w:val="22"/>
                <w:lang w:val="en-IN" w:eastAsia="en-IN"/>
              </w:rPr>
              <w:t>Singapore (79)</w:t>
            </w:r>
          </w:p>
        </w:tc>
        <w:tc>
          <w:tcPr>
            <w:tcW w:w="1560" w:type="dxa"/>
            <w:vAlign w:val="center"/>
          </w:tcPr>
          <w:p w14:paraId="0E3B083C" w14:textId="1677654A" w:rsidR="00A51555" w:rsidRPr="00A51555" w:rsidRDefault="00F73033"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12%</w:t>
            </w:r>
          </w:p>
        </w:tc>
        <w:tc>
          <w:tcPr>
            <w:tcW w:w="1559" w:type="dxa"/>
            <w:vAlign w:val="center"/>
          </w:tcPr>
          <w:p w14:paraId="3C3D5475" w14:textId="76716BE5" w:rsidR="00A51555" w:rsidRPr="00A51555" w:rsidRDefault="00F73033"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w:t>
            </w:r>
          </w:p>
        </w:tc>
        <w:tc>
          <w:tcPr>
            <w:tcW w:w="1559" w:type="dxa"/>
            <w:vAlign w:val="center"/>
          </w:tcPr>
          <w:p w14:paraId="09B79A7A" w14:textId="75E1E740" w:rsidR="00A51555" w:rsidRPr="00A51555" w:rsidRDefault="00F73033"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w:t>
            </w:r>
          </w:p>
        </w:tc>
        <w:tc>
          <w:tcPr>
            <w:tcW w:w="1559" w:type="dxa"/>
            <w:vAlign w:val="center"/>
          </w:tcPr>
          <w:p w14:paraId="63ADE208" w14:textId="232FA537" w:rsidR="00A51555" w:rsidRPr="00A51555" w:rsidRDefault="00F73033"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w:t>
            </w:r>
          </w:p>
        </w:tc>
        <w:tc>
          <w:tcPr>
            <w:tcW w:w="1701" w:type="dxa"/>
            <w:vMerge/>
            <w:vAlign w:val="center"/>
          </w:tcPr>
          <w:p w14:paraId="47F8ED36" w14:textId="77777777" w:rsidR="00A51555" w:rsidRPr="00A51555" w:rsidRDefault="00A51555" w:rsidP="00E207BA">
            <w:pPr>
              <w:jc w:val="center"/>
              <w:rPr>
                <w:rFonts w:asciiTheme="minorHAnsi" w:hAnsiTheme="minorHAnsi" w:cstheme="minorHAnsi"/>
                <w:i/>
                <w:iCs/>
                <w:kern w:val="24"/>
                <w:sz w:val="16"/>
                <w:szCs w:val="16"/>
                <w:lang w:val="en-IN" w:eastAsia="en-IN"/>
              </w:rPr>
            </w:pPr>
          </w:p>
        </w:tc>
      </w:tr>
      <w:tr w:rsidR="000F1B85" w:rsidRPr="00A51555" w14:paraId="1D5D7707" w14:textId="77777777" w:rsidTr="000F1B85">
        <w:trPr>
          <w:trHeight w:val="50"/>
          <w:jc w:val="center"/>
        </w:trPr>
        <w:tc>
          <w:tcPr>
            <w:tcW w:w="709" w:type="dxa"/>
            <w:vMerge/>
            <w:vAlign w:val="center"/>
          </w:tcPr>
          <w:p w14:paraId="2ADC7150" w14:textId="77777777" w:rsidR="00A51555" w:rsidRPr="00A51555" w:rsidRDefault="00A51555" w:rsidP="00E207BA">
            <w:pPr>
              <w:jc w:val="center"/>
              <w:rPr>
                <w:rFonts w:asciiTheme="minorHAnsi" w:hAnsiTheme="minorHAnsi" w:cstheme="minorHAnsi"/>
                <w:kern w:val="24"/>
                <w:sz w:val="22"/>
                <w:szCs w:val="22"/>
                <w:lang w:val="en-IN" w:eastAsia="en-IN"/>
              </w:rPr>
            </w:pPr>
          </w:p>
        </w:tc>
        <w:tc>
          <w:tcPr>
            <w:tcW w:w="2121" w:type="dxa"/>
            <w:vAlign w:val="center"/>
          </w:tcPr>
          <w:p w14:paraId="65F3E28D" w14:textId="77777777" w:rsidR="00A51555" w:rsidRPr="00A51555" w:rsidRDefault="00A51555" w:rsidP="00E207BA">
            <w:pPr>
              <w:jc w:val="center"/>
              <w:rPr>
                <w:rFonts w:asciiTheme="minorHAnsi" w:hAnsiTheme="minorHAnsi" w:cstheme="minorHAnsi"/>
                <w:kern w:val="24"/>
                <w:sz w:val="22"/>
                <w:szCs w:val="22"/>
                <w:lang w:val="en-IN" w:eastAsia="en-IN"/>
              </w:rPr>
            </w:pPr>
            <w:r w:rsidRPr="00A51555">
              <w:rPr>
                <w:rFonts w:asciiTheme="minorHAnsi" w:hAnsiTheme="minorHAnsi" w:cstheme="minorHAnsi"/>
                <w:kern w:val="24"/>
                <w:sz w:val="22"/>
                <w:szCs w:val="22"/>
                <w:lang w:val="en-IN" w:eastAsia="en-IN"/>
              </w:rPr>
              <w:t>Japan (32)</w:t>
            </w:r>
          </w:p>
        </w:tc>
        <w:tc>
          <w:tcPr>
            <w:tcW w:w="1560" w:type="dxa"/>
            <w:vAlign w:val="center"/>
          </w:tcPr>
          <w:p w14:paraId="584728EB" w14:textId="7D75974E" w:rsidR="00A51555" w:rsidRPr="00A51555" w:rsidRDefault="00F73033"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17%</w:t>
            </w:r>
          </w:p>
        </w:tc>
        <w:tc>
          <w:tcPr>
            <w:tcW w:w="1559" w:type="dxa"/>
            <w:vAlign w:val="center"/>
          </w:tcPr>
          <w:p w14:paraId="387E3CC3" w14:textId="784534E3" w:rsidR="00A51555" w:rsidRPr="00A51555" w:rsidRDefault="00F73033"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w:t>
            </w:r>
          </w:p>
        </w:tc>
        <w:tc>
          <w:tcPr>
            <w:tcW w:w="1559" w:type="dxa"/>
            <w:vAlign w:val="center"/>
          </w:tcPr>
          <w:p w14:paraId="3CF99637" w14:textId="120ADCAF" w:rsidR="00A51555" w:rsidRPr="00A51555" w:rsidRDefault="00F73033"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w:t>
            </w:r>
          </w:p>
        </w:tc>
        <w:tc>
          <w:tcPr>
            <w:tcW w:w="1559" w:type="dxa"/>
            <w:vAlign w:val="center"/>
          </w:tcPr>
          <w:p w14:paraId="4E048376" w14:textId="45C0CE8F" w:rsidR="00A51555" w:rsidRPr="00A51555" w:rsidRDefault="00F73033"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w:t>
            </w:r>
          </w:p>
        </w:tc>
        <w:tc>
          <w:tcPr>
            <w:tcW w:w="1701" w:type="dxa"/>
            <w:vMerge/>
            <w:vAlign w:val="center"/>
          </w:tcPr>
          <w:p w14:paraId="5254E18B" w14:textId="77777777" w:rsidR="00A51555" w:rsidRPr="00A51555" w:rsidRDefault="00A51555" w:rsidP="00E207BA">
            <w:pPr>
              <w:jc w:val="center"/>
              <w:rPr>
                <w:rFonts w:asciiTheme="minorHAnsi" w:hAnsiTheme="minorHAnsi" w:cstheme="minorHAnsi"/>
                <w:i/>
                <w:iCs/>
                <w:kern w:val="24"/>
                <w:sz w:val="16"/>
                <w:szCs w:val="16"/>
                <w:lang w:val="en-IN" w:eastAsia="en-IN"/>
              </w:rPr>
            </w:pPr>
          </w:p>
        </w:tc>
      </w:tr>
      <w:tr w:rsidR="000F1B85" w:rsidRPr="00A51555" w14:paraId="4BDDDDF9" w14:textId="77777777" w:rsidTr="00921113">
        <w:trPr>
          <w:trHeight w:val="295"/>
          <w:jc w:val="center"/>
        </w:trPr>
        <w:tc>
          <w:tcPr>
            <w:tcW w:w="709" w:type="dxa"/>
            <w:vAlign w:val="center"/>
          </w:tcPr>
          <w:p w14:paraId="25ABFFBE" w14:textId="77777777" w:rsidR="00A51555" w:rsidRPr="00A51555" w:rsidRDefault="00A51555" w:rsidP="00E207BA">
            <w:pPr>
              <w:jc w:val="center"/>
              <w:rPr>
                <w:rFonts w:asciiTheme="minorHAnsi" w:hAnsiTheme="minorHAnsi" w:cstheme="minorHAnsi"/>
                <w:kern w:val="24"/>
                <w:sz w:val="22"/>
                <w:szCs w:val="22"/>
                <w:lang w:val="en-IN" w:eastAsia="en-IN"/>
              </w:rPr>
            </w:pPr>
            <w:r w:rsidRPr="00A51555">
              <w:rPr>
                <w:rFonts w:asciiTheme="minorHAnsi" w:hAnsiTheme="minorHAnsi" w:cstheme="minorHAnsi"/>
                <w:kern w:val="24"/>
                <w:sz w:val="22"/>
                <w:szCs w:val="22"/>
                <w:lang w:val="en-IN" w:eastAsia="en-IN"/>
              </w:rPr>
              <w:t>2</w:t>
            </w:r>
          </w:p>
        </w:tc>
        <w:tc>
          <w:tcPr>
            <w:tcW w:w="2121" w:type="dxa"/>
            <w:vAlign w:val="center"/>
          </w:tcPr>
          <w:p w14:paraId="527ED857" w14:textId="77777777" w:rsidR="00A51555" w:rsidRPr="00A51555" w:rsidRDefault="00A51555" w:rsidP="00E207BA">
            <w:pPr>
              <w:jc w:val="center"/>
              <w:rPr>
                <w:rFonts w:asciiTheme="minorHAnsi" w:hAnsiTheme="minorHAnsi" w:cstheme="minorHAnsi"/>
                <w:kern w:val="24"/>
                <w:sz w:val="22"/>
                <w:szCs w:val="22"/>
                <w:lang w:val="en-IN" w:eastAsia="en-IN"/>
              </w:rPr>
            </w:pPr>
            <w:r w:rsidRPr="00A51555">
              <w:rPr>
                <w:rFonts w:asciiTheme="minorHAnsi" w:hAnsiTheme="minorHAnsi" w:cstheme="minorHAnsi"/>
                <w:kern w:val="24"/>
                <w:sz w:val="22"/>
                <w:szCs w:val="22"/>
                <w:lang w:val="en-IN" w:eastAsia="en-IN"/>
              </w:rPr>
              <w:t>Middle East (210)</w:t>
            </w:r>
          </w:p>
        </w:tc>
        <w:tc>
          <w:tcPr>
            <w:tcW w:w="1560" w:type="dxa"/>
            <w:vAlign w:val="center"/>
          </w:tcPr>
          <w:p w14:paraId="673E63E9" w14:textId="0D575F26" w:rsidR="00A51555" w:rsidRPr="00A51555" w:rsidRDefault="00F265B8"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0.4%</w:t>
            </w:r>
          </w:p>
        </w:tc>
        <w:tc>
          <w:tcPr>
            <w:tcW w:w="1559" w:type="dxa"/>
            <w:vAlign w:val="center"/>
          </w:tcPr>
          <w:p w14:paraId="058538ED" w14:textId="6CC68952" w:rsidR="00A51555" w:rsidRPr="00A51555" w:rsidRDefault="00F265B8"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1%</w:t>
            </w:r>
          </w:p>
        </w:tc>
        <w:tc>
          <w:tcPr>
            <w:tcW w:w="1559" w:type="dxa"/>
            <w:vAlign w:val="center"/>
          </w:tcPr>
          <w:p w14:paraId="5F8BC778" w14:textId="62EC1E4D" w:rsidR="00A51555" w:rsidRPr="00A51555" w:rsidRDefault="00F265B8"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3%</w:t>
            </w:r>
          </w:p>
        </w:tc>
        <w:tc>
          <w:tcPr>
            <w:tcW w:w="1559" w:type="dxa"/>
            <w:vAlign w:val="center"/>
          </w:tcPr>
          <w:p w14:paraId="10704108" w14:textId="1753488A" w:rsidR="00A51555" w:rsidRPr="00A51555" w:rsidRDefault="00F265B8"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w:t>
            </w:r>
          </w:p>
        </w:tc>
        <w:tc>
          <w:tcPr>
            <w:tcW w:w="1701" w:type="dxa"/>
            <w:vAlign w:val="center"/>
          </w:tcPr>
          <w:p w14:paraId="4546E577" w14:textId="77777777" w:rsidR="00A51555" w:rsidRPr="00A51555" w:rsidRDefault="00A51555" w:rsidP="00E207BA">
            <w:pPr>
              <w:jc w:val="center"/>
              <w:rPr>
                <w:rFonts w:asciiTheme="minorHAnsi" w:hAnsiTheme="minorHAnsi" w:cstheme="minorHAnsi"/>
                <w:i/>
                <w:iCs/>
                <w:kern w:val="24"/>
                <w:sz w:val="16"/>
                <w:szCs w:val="16"/>
                <w:lang w:val="en-IN" w:eastAsia="en-IN"/>
              </w:rPr>
            </w:pPr>
            <w:r w:rsidRPr="00A51555">
              <w:rPr>
                <w:rFonts w:asciiTheme="minorHAnsi" w:hAnsiTheme="minorHAnsi" w:cstheme="minorHAnsi"/>
                <w:i/>
                <w:iCs/>
                <w:kern w:val="24"/>
                <w:sz w:val="16"/>
                <w:szCs w:val="16"/>
                <w:lang w:val="en-IN" w:eastAsia="en-IN"/>
              </w:rPr>
              <w:fldChar w:fldCharType="begin"/>
            </w:r>
            <w:r w:rsidRPr="00A51555">
              <w:rPr>
                <w:rFonts w:asciiTheme="minorHAnsi" w:hAnsiTheme="minorHAnsi" w:cstheme="minorHAnsi"/>
                <w:i/>
                <w:iCs/>
                <w:kern w:val="24"/>
                <w:sz w:val="16"/>
                <w:szCs w:val="16"/>
                <w:lang w:val="en-IN" w:eastAsia="en-IN"/>
              </w:rPr>
              <w:instrText xml:space="preserve"> ADDIN ZOTERO_ITEM CSL_CITATION {"citationID":"iRQ4Iri9","properties":{"formattedCitation":"[22]","plainCitation":"[22]","noteIndex":0},"citationItems":[{"id":590,"uris":["http://zotero.org/users/local/wJduMf1V/items/SYRE43ZN"],"uri":["http://zotero.org/users/local/wJduMf1V/items/SYRE43ZN"],"itemData":{"id":590,"type":"article-journal","abstract":"Background: Acute lymphoblastic leukemia (ALL) is the most common cancer seen in children worldwide and in the Middle East. Although there have been major advances in treatment approaches for childhood ALL, serious toxicities do occur but with significant inter-individual variability. The aim of this study is to measure the frequency of polymorphisms in candidate genes involved in 6-Mercaptopurine (6-MP) disposition in a combined cohort of Middle Eastern Children with ALL, and evaluate whether these polymorphisms predict 6-MP intolerance and toxicity during ALL maintenance therapy., \nMethods: The study includes children treated for ALL on two treatment protocols from two cohorts; one from Lebanon (N = 136) and another from Kurdistan province of Iran (N = 74). Genotyping for the following six candidate genetic polymorphisms: ITPA 94C &gt; A (rs1127354) and IVS2+21A &gt; C (rs7270101), TPMT*2 238G &gt; C (rs1800462), TPMT*3B 460G &gt; A (rs1800460) and *3C 719A &gt; G (rs1142345), and NUDT15 415C &gt; T (rs116855232) was performed and analyzed in association with 6-MP dose intensity and toxicity., \nResults: As expected, TPMT and NUDT15 variants were uncommon. As for ITPA, both polymorphisms were more common in the Lebanese as compared to the Kurdish cohort with a minor allele frequency of 0.05 for 94C &gt; A and 0.14 for IVS2+21A &gt; C in the Lebanese only (N = 121), and of 0.01 for either ITPA polymorphism in Kurds. The most significant toxic effects were depicted with the NUDT15 polymorphism with a median 6-MP dose intensity of 33.33%, followed by 46.65% for TPMT*3A polymorphism, followed by 65.33% for two ITPA risk allele carriers and 74% for one ITPA risk allele carriers, in comparison to a median of 100% for the homozygous wild type in the combined cohort (P &lt; 0.001). In addition, the onset of febrile neutropenia was significantly higher in variant allele carriers in the combined cohorts., \nConclusions: These data confirm the predictive role of TPMT, NUDT15, and ITPA in 6-MP intolerance in Middle Eastern children with ALL. Given the relatively high frequency of ITPA variants in our study and their significant association with 6-MP dose intensity, we recommend that physicians consider genotyping for ITPA variants in conjunction with TPMT and NUDT15 prior to 6-MP therapy in these children.","container-title":"Frontiers in Pharmacology","DOI":"10.3389/fphar.2019.00916","ISSN":"1663-9812","journalAbbreviation":"Front Pharmacol","note":"PMID: 31507415\nPMCID: PMC6718715","source":"PubMed Central","title":"ITPA, TPMT, and NUDT15 Genetic Polymorphisms Predict 6-Mercaptopurine Toxicity in Middle Eastern Children With Acute Lymphoblastic Leukemia","URL":"https://www.ncbi.nlm.nih.gov/pmc/articles/PMC6718715/","volume":"10","author":[{"family":"Moradveisi","given":"Borhan"},{"family":"Muwakkit","given":"Samar"},{"family":"Zamani","given":"Fatemeh"},{"family":"Ghaderi","given":"Ebrahim"},{"family":"Mohammadi","given":"Ebrahim"},{"family":"Zgheib","given":"Nathalie K."}],"accessed":{"date-parts":[["2020",10,14]]},"issued":{"date-parts":[["2019",8,27]]}}}],"schema":"https://github.com/citation-style-language/schema/raw/master/csl-citation.json"} </w:instrText>
            </w:r>
            <w:r w:rsidRPr="00A51555">
              <w:rPr>
                <w:rFonts w:asciiTheme="minorHAnsi" w:hAnsiTheme="minorHAnsi" w:cstheme="minorHAnsi"/>
                <w:i/>
                <w:iCs/>
                <w:kern w:val="24"/>
                <w:sz w:val="16"/>
                <w:szCs w:val="16"/>
                <w:lang w:val="en-IN" w:eastAsia="en-IN"/>
              </w:rPr>
              <w:fldChar w:fldCharType="separate"/>
            </w:r>
            <w:r w:rsidRPr="00A51555">
              <w:rPr>
                <w:rFonts w:ascii="Calibri" w:hAnsi="Calibri" w:cs="Calibri"/>
                <w:sz w:val="16"/>
              </w:rPr>
              <w:t>[22]</w:t>
            </w:r>
            <w:r w:rsidRPr="00A51555">
              <w:rPr>
                <w:rFonts w:asciiTheme="minorHAnsi" w:hAnsiTheme="minorHAnsi" w:cstheme="minorHAnsi"/>
                <w:i/>
                <w:iCs/>
                <w:kern w:val="24"/>
                <w:sz w:val="16"/>
                <w:szCs w:val="16"/>
                <w:lang w:val="en-IN" w:eastAsia="en-IN"/>
              </w:rPr>
              <w:fldChar w:fldCharType="end"/>
            </w:r>
          </w:p>
        </w:tc>
      </w:tr>
      <w:tr w:rsidR="000F1B85" w:rsidRPr="00A51555" w14:paraId="01BC3A25" w14:textId="77777777" w:rsidTr="00921113">
        <w:trPr>
          <w:trHeight w:val="143"/>
          <w:jc w:val="center"/>
        </w:trPr>
        <w:tc>
          <w:tcPr>
            <w:tcW w:w="709" w:type="dxa"/>
            <w:vAlign w:val="center"/>
          </w:tcPr>
          <w:p w14:paraId="70F45245" w14:textId="77777777" w:rsidR="00A51555" w:rsidRPr="00A51555" w:rsidRDefault="00A51555" w:rsidP="00E207BA">
            <w:pPr>
              <w:jc w:val="center"/>
              <w:rPr>
                <w:rFonts w:asciiTheme="minorHAnsi" w:hAnsiTheme="minorHAnsi" w:cstheme="minorHAnsi"/>
                <w:kern w:val="24"/>
                <w:sz w:val="22"/>
                <w:szCs w:val="22"/>
                <w:lang w:val="en-IN" w:eastAsia="en-IN"/>
              </w:rPr>
            </w:pPr>
            <w:r w:rsidRPr="00A51555">
              <w:rPr>
                <w:rFonts w:asciiTheme="minorHAnsi" w:hAnsiTheme="minorHAnsi" w:cstheme="minorHAnsi"/>
                <w:kern w:val="24"/>
                <w:sz w:val="22"/>
                <w:szCs w:val="22"/>
                <w:lang w:val="en-IN" w:eastAsia="en-IN"/>
              </w:rPr>
              <w:t>3</w:t>
            </w:r>
          </w:p>
        </w:tc>
        <w:tc>
          <w:tcPr>
            <w:tcW w:w="2121" w:type="dxa"/>
            <w:vAlign w:val="center"/>
          </w:tcPr>
          <w:p w14:paraId="258CE067" w14:textId="7B4A7F19" w:rsidR="00A51555" w:rsidRPr="00A51555" w:rsidRDefault="00A51555" w:rsidP="000F1B85">
            <w:pPr>
              <w:jc w:val="center"/>
              <w:rPr>
                <w:rFonts w:asciiTheme="minorHAnsi" w:hAnsiTheme="minorHAnsi" w:cstheme="minorHAnsi"/>
                <w:kern w:val="24"/>
                <w:sz w:val="22"/>
                <w:szCs w:val="22"/>
                <w:lang w:val="en-IN" w:eastAsia="en-IN"/>
              </w:rPr>
            </w:pPr>
            <w:r w:rsidRPr="00A51555">
              <w:rPr>
                <w:rFonts w:asciiTheme="minorHAnsi" w:hAnsiTheme="minorHAnsi" w:cstheme="minorHAnsi"/>
                <w:kern w:val="24"/>
                <w:sz w:val="22"/>
                <w:szCs w:val="22"/>
                <w:lang w:val="en-IN" w:eastAsia="en-IN"/>
              </w:rPr>
              <w:t>China</w:t>
            </w:r>
            <w:r w:rsidR="000F1B85">
              <w:rPr>
                <w:rFonts w:asciiTheme="minorHAnsi" w:hAnsiTheme="minorHAnsi" w:cstheme="minorHAnsi"/>
                <w:kern w:val="24"/>
                <w:sz w:val="22"/>
                <w:szCs w:val="22"/>
                <w:lang w:val="en-IN" w:eastAsia="en-IN"/>
              </w:rPr>
              <w:t xml:space="preserve"> </w:t>
            </w:r>
            <w:r w:rsidRPr="00A51555">
              <w:rPr>
                <w:rFonts w:asciiTheme="minorHAnsi" w:hAnsiTheme="minorHAnsi" w:cstheme="minorHAnsi"/>
                <w:kern w:val="24"/>
                <w:sz w:val="22"/>
                <w:szCs w:val="22"/>
                <w:lang w:val="en-IN" w:eastAsia="en-IN"/>
              </w:rPr>
              <w:t>(105)</w:t>
            </w:r>
          </w:p>
        </w:tc>
        <w:tc>
          <w:tcPr>
            <w:tcW w:w="1560" w:type="dxa"/>
            <w:vAlign w:val="center"/>
          </w:tcPr>
          <w:p w14:paraId="28899135" w14:textId="30854C98" w:rsidR="00A51555" w:rsidRPr="00A51555" w:rsidRDefault="00F265B8"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16%</w:t>
            </w:r>
          </w:p>
        </w:tc>
        <w:tc>
          <w:tcPr>
            <w:tcW w:w="1559" w:type="dxa"/>
            <w:vAlign w:val="center"/>
          </w:tcPr>
          <w:p w14:paraId="495EAB0E" w14:textId="757D7EB3" w:rsidR="00A51555" w:rsidRPr="00A51555" w:rsidRDefault="00F265B8"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3%</w:t>
            </w:r>
          </w:p>
        </w:tc>
        <w:tc>
          <w:tcPr>
            <w:tcW w:w="1559" w:type="dxa"/>
            <w:vAlign w:val="center"/>
          </w:tcPr>
          <w:p w14:paraId="4094642A" w14:textId="635DE951" w:rsidR="00A51555" w:rsidRPr="00A51555" w:rsidRDefault="00F265B8"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18%</w:t>
            </w:r>
          </w:p>
        </w:tc>
        <w:tc>
          <w:tcPr>
            <w:tcW w:w="1559" w:type="dxa"/>
            <w:vAlign w:val="center"/>
          </w:tcPr>
          <w:p w14:paraId="17D364CB" w14:textId="24CCBEE4" w:rsidR="00A51555" w:rsidRPr="00A51555" w:rsidRDefault="00F265B8"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w:t>
            </w:r>
          </w:p>
        </w:tc>
        <w:tc>
          <w:tcPr>
            <w:tcW w:w="1701" w:type="dxa"/>
            <w:vAlign w:val="center"/>
          </w:tcPr>
          <w:p w14:paraId="4562FE22" w14:textId="77777777" w:rsidR="00A51555" w:rsidRPr="00A51555" w:rsidRDefault="00A51555" w:rsidP="00E207BA">
            <w:pPr>
              <w:jc w:val="center"/>
              <w:rPr>
                <w:rFonts w:asciiTheme="minorHAnsi" w:hAnsiTheme="minorHAnsi" w:cstheme="minorHAnsi"/>
                <w:i/>
                <w:iCs/>
                <w:kern w:val="24"/>
                <w:sz w:val="16"/>
                <w:szCs w:val="16"/>
                <w:lang w:val="en-IN" w:eastAsia="en-IN"/>
              </w:rPr>
            </w:pPr>
            <w:r w:rsidRPr="00A51555">
              <w:rPr>
                <w:rFonts w:asciiTheme="minorHAnsi" w:hAnsiTheme="minorHAnsi" w:cstheme="minorHAnsi"/>
                <w:i/>
                <w:iCs/>
                <w:kern w:val="24"/>
                <w:sz w:val="16"/>
                <w:szCs w:val="16"/>
                <w:lang w:val="en-IN" w:eastAsia="en-IN"/>
              </w:rPr>
              <w:fldChar w:fldCharType="begin"/>
            </w:r>
            <w:r w:rsidRPr="00A51555">
              <w:rPr>
                <w:rFonts w:asciiTheme="minorHAnsi" w:hAnsiTheme="minorHAnsi" w:cstheme="minorHAnsi"/>
                <w:i/>
                <w:iCs/>
                <w:kern w:val="24"/>
                <w:sz w:val="16"/>
                <w:szCs w:val="16"/>
                <w:lang w:val="en-IN" w:eastAsia="en-IN"/>
              </w:rPr>
              <w:instrText xml:space="preserve"> ADDIN ZOTERO_ITEM CSL_CITATION {"citationID":"uxpRp0RG","properties":{"formattedCitation":"[25]","plainCitation":"[25]","noteIndex":0},"citationItems":[{"id":569,"uris":["http://zotero.org/users/local/wJduMf1V/items/9Q6EGU5X"],"uri":["http://zotero.org/users/local/wJduMf1V/items/9Q6EGU5X"],"itemData":{"id":569,"type":"article-journal","abstract":"Background\n6-mercaptopurine (6-MP) contributes substantially to remarkable improvement in the survival of childhood acute lymphoblastic leukemia (ALL) patients. However, 6-MP also has dose-limiting toxicities, particularly life-threatening myelosuppression, due to genetic polymorphisms in enzymes that metabolize 6-MP. Promising biomarkers for predicting 6-MP-induced leukopenia is still unclear in Chinese population. Here, we evaluated the associations of NUDT15, TPMT and ITPA genotypes with 6-MP intolerance in our cohort of childhood ALL patients.\n\nMethods\nA total of 105 Chinese pediatric patients with a confirmed diagnosis of ALL were enrolled. We identified the NUDT15 coding variant rs116855232 (c.415C &gt; T), a newly discovered 6-MP toxicity-related locus in Asians, and polymorphisms in TPMT rs1142345 and ITPA rs11273540. Associations between genotypes and 6-MP dose sensitivity, leukopenia, hepatotoxicity, and therapy interruption were evaluated.\n\nResults\nThe minor allele frequencies (MAFs) of NUDT15 rs116855232, TPMT rs1142345 and ITPA rs11273540 were 15.7, 2.9, and 18.1%, respectively. NUDT15 and TPMT genetic variants were strongly associated with 6-MP dose intensity. Patients with NUDT15 homogenous genotype (TT) were highly sensitive to 6-MP (dose intensity of 60.27%) compared to these with heterozygous genotype (TC) or wild type (CC), who tolerated an average dose intensity of 83.83 and 94.24%, respectively. The NUDT15 variant was a predictor for leukopenia (OR: 3.62, 95% CI 1.377–9.501, P = 0.009) and early-onset leukopenia (OR: 9.63, 95% CI 2.764–33.514, P = 3.75 × 10− 4). No differences were found between 6-MP dose intensity and ITPA polymorphisms.\n\nConclusion\nNUDT15 variant is an optimal predictor for 6-MP intolerance in Chinese pediatric ALL patients and may have greatly clinical implications for individualized therapy.","container-title":"BMC Cancer","DOI":"10.1186/s12885-018-4398-2","ISSN":"1471-2407","journalAbbreviation":"BMC Cancer","note":"PMID: 29720126\nPMCID: PMC5932771","source":"PubMed Central","title":"Optimal predictor for 6-mercaptopurine intolerance in Chinese children with acute lymphoblastic leukemia: NUDT15, TPMT, or ITPA genetic variants?","title-short":"Optimal predictor for 6-mercaptopurine intolerance in Chinese children with acute lymphoblastic leukemia","URL":"https://www.ncbi.nlm.nih.gov/pmc/articles/PMC5932771/","volume":"18","author":[{"family":"Zhou","given":"Hong"},{"family":"Li","given":"Lei"},{"family":"Yang","given":"Peng"},{"family":"Yang","given":"Lin"},{"family":"Zheng","given":"Jin E."},{"family":"Zhou","given":"Ying"},{"family":"Han","given":"Yong"}],"accessed":{"date-parts":[["2020",10,12]]},"issued":{"date-parts":[["2018",5,2]]}}}],"schema":"https://github.com/citation-style-language/schema/raw/master/csl-citation.json"} </w:instrText>
            </w:r>
            <w:r w:rsidRPr="00A51555">
              <w:rPr>
                <w:rFonts w:asciiTheme="minorHAnsi" w:hAnsiTheme="minorHAnsi" w:cstheme="minorHAnsi"/>
                <w:i/>
                <w:iCs/>
                <w:kern w:val="24"/>
                <w:sz w:val="16"/>
                <w:szCs w:val="16"/>
                <w:lang w:val="en-IN" w:eastAsia="en-IN"/>
              </w:rPr>
              <w:fldChar w:fldCharType="separate"/>
            </w:r>
            <w:r w:rsidRPr="00A51555">
              <w:rPr>
                <w:rFonts w:ascii="Calibri" w:hAnsi="Calibri" w:cs="Calibri"/>
                <w:sz w:val="16"/>
              </w:rPr>
              <w:t>[25]</w:t>
            </w:r>
            <w:r w:rsidRPr="00A51555">
              <w:rPr>
                <w:rFonts w:asciiTheme="minorHAnsi" w:hAnsiTheme="minorHAnsi" w:cstheme="minorHAnsi"/>
                <w:kern w:val="24"/>
                <w:sz w:val="16"/>
                <w:szCs w:val="16"/>
                <w:lang w:val="en-IN" w:eastAsia="en-IN"/>
              </w:rPr>
              <w:fldChar w:fldCharType="end"/>
            </w:r>
          </w:p>
        </w:tc>
      </w:tr>
      <w:tr w:rsidR="000F1B85" w:rsidRPr="00A51555" w14:paraId="131FE470" w14:textId="77777777" w:rsidTr="00921113">
        <w:trPr>
          <w:trHeight w:val="289"/>
          <w:jc w:val="center"/>
        </w:trPr>
        <w:tc>
          <w:tcPr>
            <w:tcW w:w="709" w:type="dxa"/>
            <w:vAlign w:val="center"/>
          </w:tcPr>
          <w:p w14:paraId="07916097" w14:textId="77777777" w:rsidR="00A51555" w:rsidRPr="00A51555" w:rsidRDefault="00A51555" w:rsidP="00E207BA">
            <w:pPr>
              <w:jc w:val="center"/>
              <w:rPr>
                <w:rFonts w:asciiTheme="minorHAnsi" w:hAnsiTheme="minorHAnsi" w:cstheme="minorHAnsi"/>
                <w:kern w:val="24"/>
                <w:sz w:val="22"/>
                <w:szCs w:val="22"/>
                <w:lang w:val="en-IN" w:eastAsia="en-IN"/>
              </w:rPr>
            </w:pPr>
            <w:r w:rsidRPr="00A51555">
              <w:rPr>
                <w:rFonts w:asciiTheme="minorHAnsi" w:hAnsiTheme="minorHAnsi" w:cstheme="minorHAnsi"/>
                <w:kern w:val="24"/>
                <w:sz w:val="22"/>
                <w:szCs w:val="22"/>
                <w:lang w:val="en-IN" w:eastAsia="en-IN"/>
              </w:rPr>
              <w:t>4</w:t>
            </w:r>
          </w:p>
        </w:tc>
        <w:tc>
          <w:tcPr>
            <w:tcW w:w="2121" w:type="dxa"/>
            <w:vAlign w:val="center"/>
          </w:tcPr>
          <w:p w14:paraId="18352C08" w14:textId="0B2FE9B0" w:rsidR="00A51555" w:rsidRPr="00A51555" w:rsidRDefault="00A51555" w:rsidP="000F1B85">
            <w:pPr>
              <w:jc w:val="center"/>
              <w:rPr>
                <w:rFonts w:asciiTheme="minorHAnsi" w:hAnsiTheme="minorHAnsi" w:cstheme="minorHAnsi"/>
                <w:kern w:val="24"/>
                <w:sz w:val="22"/>
                <w:szCs w:val="22"/>
                <w:lang w:val="en-IN" w:eastAsia="en-IN"/>
              </w:rPr>
            </w:pPr>
            <w:r w:rsidRPr="00A51555">
              <w:rPr>
                <w:rFonts w:asciiTheme="minorHAnsi" w:hAnsiTheme="minorHAnsi" w:cstheme="minorHAnsi"/>
                <w:kern w:val="24"/>
                <w:sz w:val="22"/>
                <w:szCs w:val="22"/>
                <w:lang w:val="en-IN" w:eastAsia="en-IN"/>
              </w:rPr>
              <w:t>Japan</w:t>
            </w:r>
            <w:r w:rsidR="000F1B85">
              <w:rPr>
                <w:rFonts w:asciiTheme="minorHAnsi" w:hAnsiTheme="minorHAnsi" w:cstheme="minorHAnsi"/>
                <w:kern w:val="24"/>
                <w:sz w:val="22"/>
                <w:szCs w:val="22"/>
                <w:lang w:val="en-IN" w:eastAsia="en-IN"/>
              </w:rPr>
              <w:t xml:space="preserve"> </w:t>
            </w:r>
            <w:r w:rsidRPr="00A51555">
              <w:rPr>
                <w:rFonts w:asciiTheme="minorHAnsi" w:hAnsiTheme="minorHAnsi" w:cstheme="minorHAnsi"/>
                <w:kern w:val="24"/>
                <w:sz w:val="22"/>
                <w:szCs w:val="22"/>
                <w:lang w:val="en-IN" w:eastAsia="en-IN"/>
              </w:rPr>
              <w:t>(95)</w:t>
            </w:r>
          </w:p>
        </w:tc>
        <w:tc>
          <w:tcPr>
            <w:tcW w:w="1560" w:type="dxa"/>
            <w:vAlign w:val="center"/>
          </w:tcPr>
          <w:p w14:paraId="4AE6E83A" w14:textId="1EBDC409" w:rsidR="00A51555" w:rsidRPr="00A51555" w:rsidRDefault="00F265B8"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16%</w:t>
            </w:r>
          </w:p>
        </w:tc>
        <w:tc>
          <w:tcPr>
            <w:tcW w:w="1559" w:type="dxa"/>
            <w:vAlign w:val="center"/>
          </w:tcPr>
          <w:p w14:paraId="2FAE4809" w14:textId="7EA1C6D7" w:rsidR="00A51555" w:rsidRPr="00A51555" w:rsidRDefault="00F265B8"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2%</w:t>
            </w:r>
          </w:p>
        </w:tc>
        <w:tc>
          <w:tcPr>
            <w:tcW w:w="1559" w:type="dxa"/>
            <w:vAlign w:val="center"/>
          </w:tcPr>
          <w:p w14:paraId="1767D130" w14:textId="40D7C38B" w:rsidR="00A51555" w:rsidRPr="00A51555" w:rsidRDefault="00F265B8"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16%</w:t>
            </w:r>
          </w:p>
        </w:tc>
        <w:tc>
          <w:tcPr>
            <w:tcW w:w="1559" w:type="dxa"/>
            <w:vAlign w:val="center"/>
          </w:tcPr>
          <w:p w14:paraId="04D0E94B" w14:textId="6E1BE546" w:rsidR="00A51555" w:rsidRPr="00A51555" w:rsidRDefault="00F265B8"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13%</w:t>
            </w:r>
          </w:p>
        </w:tc>
        <w:tc>
          <w:tcPr>
            <w:tcW w:w="1701" w:type="dxa"/>
            <w:vAlign w:val="center"/>
          </w:tcPr>
          <w:p w14:paraId="5E2A2D7C" w14:textId="77777777" w:rsidR="00A51555" w:rsidRPr="00A51555" w:rsidRDefault="00A51555" w:rsidP="00E207BA">
            <w:pPr>
              <w:jc w:val="center"/>
              <w:rPr>
                <w:rFonts w:asciiTheme="minorHAnsi" w:hAnsiTheme="minorHAnsi" w:cstheme="minorHAnsi"/>
                <w:i/>
                <w:iCs/>
                <w:kern w:val="24"/>
                <w:sz w:val="16"/>
                <w:szCs w:val="16"/>
                <w:lang w:val="en-IN" w:eastAsia="en-IN"/>
              </w:rPr>
            </w:pPr>
            <w:r w:rsidRPr="00A51555">
              <w:rPr>
                <w:rFonts w:asciiTheme="minorHAnsi" w:hAnsiTheme="minorHAnsi" w:cstheme="minorHAnsi"/>
                <w:i/>
                <w:iCs/>
                <w:kern w:val="24"/>
                <w:sz w:val="16"/>
                <w:szCs w:val="16"/>
                <w:lang w:val="en-IN" w:eastAsia="en-IN"/>
              </w:rPr>
              <w:fldChar w:fldCharType="begin"/>
            </w:r>
            <w:r w:rsidRPr="00A51555">
              <w:rPr>
                <w:rFonts w:asciiTheme="minorHAnsi" w:hAnsiTheme="minorHAnsi" w:cstheme="minorHAnsi"/>
                <w:i/>
                <w:iCs/>
                <w:kern w:val="24"/>
                <w:sz w:val="16"/>
                <w:szCs w:val="16"/>
                <w:lang w:val="en-IN" w:eastAsia="en-IN"/>
              </w:rPr>
              <w:instrText xml:space="preserve"> ADDIN ZOTERO_ITEM CSL_CITATION {"citationID":"zHe4tJiu","properties":{"formattedCitation":"[40]","plainCitation":"[40]","noteIndex":0},"citationItems":[{"id":950,"uris":["http://zotero.org/users/local/wJduMf1V/items/UFWWUGF7"],"uri":["http://zotero.org/users/local/wJduMf1V/items/UFWWUGF7"],"itemData":{"id":950,"type":"article-journal","abstract":"6-Mercaptopurine (6-MP) is a main component of childhood acute lymphoblastic leukemia (ALL) treatment. Some candidate gene variants are associated with its toxicities, but the major variants and effects of combined variants remain unclear. We used Cox regression analysis to evaluate the time-dependent association between candidate variants and the cumulative incidence of 6-MP intolerability in 95 Japanese patients. The major risk factors for severe leukopenia were ABCC4 rs3765534, NUDT15 rs116855232 and rs186364861 in multi-covariate analysis (P&lt;0.05). NUDT15 intermediate activity variant, that is, heterozygous rs116855232 or rs186364861 variant, and the ABCC4 rs3765534 variant showed leukopenia more frequently than either variant alone. All patients with both the intermediate activity NUDT15 variant and the ABCC4 rs3765534 variant suffered from leukopenia, and 57.1% patients required 50% protocol dose by day 168. These data indicate that NUDT15 and ABCC4 are major factors for 6-MP intolerability and that the interaction between these variants enhances intolerability to 6-MP.","container-title":"The Pharmacogenomics Journal","DOI":"10.1038/tpj.2017.12","ISSN":"1473-1150","issue":"2","journalAbbreviation":"Pharmacogenomics J","language":"eng","note":"PMID: 28418010","page":"275-280","source":"PubMed","title":"Interaction between NUDT15 and ABCC4 variants enhances intolerability of 6-mercaptopurine in Japanese patients with childhood acute lymphoblastic leukemia","volume":"18","author":[{"family":"Tanaka","given":"Y."},{"family":"Nakadate","given":"H."},{"family":"Kondoh","given":"K."},{"family":"Nakamura","given":"K."},{"family":"Koh","given":"K."},{"family":"Manabe","given":"A."}],"issued":{"date-parts":[["2018",4]]}}}],"schema":"https://github.com/citation-style-language/schema/raw/master/csl-citation.json"} </w:instrText>
            </w:r>
            <w:r w:rsidRPr="00A51555">
              <w:rPr>
                <w:rFonts w:asciiTheme="minorHAnsi" w:hAnsiTheme="minorHAnsi" w:cstheme="minorHAnsi"/>
                <w:i/>
                <w:iCs/>
                <w:kern w:val="24"/>
                <w:sz w:val="16"/>
                <w:szCs w:val="16"/>
                <w:lang w:val="en-IN" w:eastAsia="en-IN"/>
              </w:rPr>
              <w:fldChar w:fldCharType="separate"/>
            </w:r>
            <w:r w:rsidRPr="00A51555">
              <w:rPr>
                <w:rFonts w:ascii="Calibri" w:hAnsi="Calibri" w:cs="Calibri"/>
                <w:sz w:val="16"/>
              </w:rPr>
              <w:t>[40]</w:t>
            </w:r>
            <w:r w:rsidRPr="00A51555">
              <w:rPr>
                <w:rFonts w:asciiTheme="minorHAnsi" w:hAnsiTheme="minorHAnsi" w:cstheme="minorHAnsi"/>
                <w:i/>
                <w:iCs/>
                <w:kern w:val="24"/>
                <w:sz w:val="16"/>
                <w:szCs w:val="16"/>
                <w:lang w:val="en-IN" w:eastAsia="en-IN"/>
              </w:rPr>
              <w:fldChar w:fldCharType="end"/>
            </w:r>
          </w:p>
        </w:tc>
      </w:tr>
      <w:tr w:rsidR="000F1B85" w:rsidRPr="00A51555" w14:paraId="4F793966" w14:textId="77777777" w:rsidTr="00921113">
        <w:trPr>
          <w:trHeight w:val="265"/>
          <w:jc w:val="center"/>
        </w:trPr>
        <w:tc>
          <w:tcPr>
            <w:tcW w:w="709" w:type="dxa"/>
            <w:vAlign w:val="center"/>
          </w:tcPr>
          <w:p w14:paraId="738BF0A1" w14:textId="77777777" w:rsidR="00A51555" w:rsidRPr="00A51555" w:rsidRDefault="00A51555" w:rsidP="00E207BA">
            <w:pPr>
              <w:jc w:val="center"/>
              <w:rPr>
                <w:rFonts w:asciiTheme="minorHAnsi" w:hAnsiTheme="minorHAnsi" w:cstheme="minorHAnsi"/>
                <w:kern w:val="24"/>
                <w:sz w:val="22"/>
                <w:szCs w:val="22"/>
                <w:lang w:val="en-IN" w:eastAsia="en-IN"/>
              </w:rPr>
            </w:pPr>
            <w:r w:rsidRPr="00A51555">
              <w:rPr>
                <w:rFonts w:asciiTheme="minorHAnsi" w:hAnsiTheme="minorHAnsi" w:cstheme="minorHAnsi"/>
                <w:kern w:val="24"/>
                <w:sz w:val="22"/>
                <w:szCs w:val="22"/>
                <w:lang w:val="en-IN" w:eastAsia="en-IN"/>
              </w:rPr>
              <w:t>5</w:t>
            </w:r>
          </w:p>
        </w:tc>
        <w:tc>
          <w:tcPr>
            <w:tcW w:w="2121" w:type="dxa"/>
            <w:vAlign w:val="center"/>
          </w:tcPr>
          <w:p w14:paraId="5A9B4F57" w14:textId="77777777" w:rsidR="00A51555" w:rsidRPr="00A51555" w:rsidRDefault="00A51555" w:rsidP="00E207BA">
            <w:pPr>
              <w:jc w:val="center"/>
              <w:rPr>
                <w:rFonts w:asciiTheme="minorHAnsi" w:hAnsiTheme="minorHAnsi" w:cstheme="minorHAnsi"/>
                <w:kern w:val="24"/>
                <w:sz w:val="22"/>
                <w:szCs w:val="22"/>
                <w:lang w:val="en-IN" w:eastAsia="en-IN"/>
              </w:rPr>
            </w:pPr>
            <w:r w:rsidRPr="00A51555">
              <w:rPr>
                <w:rFonts w:asciiTheme="minorHAnsi" w:hAnsiTheme="minorHAnsi" w:cstheme="minorHAnsi"/>
                <w:kern w:val="24"/>
                <w:sz w:val="22"/>
                <w:szCs w:val="22"/>
                <w:lang w:val="en-IN" w:eastAsia="en-IN"/>
              </w:rPr>
              <w:t>Denmark (132)</w:t>
            </w:r>
          </w:p>
        </w:tc>
        <w:tc>
          <w:tcPr>
            <w:tcW w:w="1560" w:type="dxa"/>
            <w:vAlign w:val="center"/>
          </w:tcPr>
          <w:p w14:paraId="133FAA61" w14:textId="74277B27" w:rsidR="00A51555" w:rsidRPr="00A51555" w:rsidRDefault="00F265B8"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w:t>
            </w:r>
          </w:p>
        </w:tc>
        <w:tc>
          <w:tcPr>
            <w:tcW w:w="1559" w:type="dxa"/>
            <w:vAlign w:val="center"/>
          </w:tcPr>
          <w:p w14:paraId="7F79CBED" w14:textId="1DDAF64C" w:rsidR="00A51555" w:rsidRPr="00A51555" w:rsidRDefault="00F265B8"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5%</w:t>
            </w:r>
          </w:p>
        </w:tc>
        <w:tc>
          <w:tcPr>
            <w:tcW w:w="1559" w:type="dxa"/>
            <w:vAlign w:val="center"/>
          </w:tcPr>
          <w:p w14:paraId="0C7802B0" w14:textId="54E63062" w:rsidR="00A51555" w:rsidRPr="00A51555" w:rsidRDefault="00F265B8"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3%</w:t>
            </w:r>
          </w:p>
        </w:tc>
        <w:tc>
          <w:tcPr>
            <w:tcW w:w="1559" w:type="dxa"/>
            <w:vAlign w:val="center"/>
          </w:tcPr>
          <w:p w14:paraId="730BDD4C" w14:textId="29AC7431" w:rsidR="00A51555" w:rsidRPr="00A51555" w:rsidRDefault="00F265B8"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w:t>
            </w:r>
          </w:p>
        </w:tc>
        <w:tc>
          <w:tcPr>
            <w:tcW w:w="1701" w:type="dxa"/>
            <w:vAlign w:val="center"/>
          </w:tcPr>
          <w:p w14:paraId="0725C813" w14:textId="77777777" w:rsidR="00A51555" w:rsidRPr="00A51555" w:rsidRDefault="00A51555" w:rsidP="00E207BA">
            <w:pPr>
              <w:jc w:val="center"/>
              <w:rPr>
                <w:rFonts w:asciiTheme="minorHAnsi" w:hAnsiTheme="minorHAnsi" w:cstheme="minorHAnsi"/>
                <w:i/>
                <w:iCs/>
                <w:kern w:val="24"/>
                <w:sz w:val="16"/>
                <w:szCs w:val="16"/>
                <w:lang w:val="en-IN" w:eastAsia="en-IN"/>
              </w:rPr>
            </w:pPr>
            <w:r w:rsidRPr="00A51555">
              <w:rPr>
                <w:rFonts w:asciiTheme="minorHAnsi" w:hAnsiTheme="minorHAnsi" w:cstheme="minorHAnsi"/>
                <w:i/>
                <w:iCs/>
                <w:kern w:val="24"/>
                <w:sz w:val="16"/>
                <w:szCs w:val="16"/>
                <w:lang w:val="en-IN" w:eastAsia="en-IN"/>
              </w:rPr>
              <w:fldChar w:fldCharType="begin"/>
            </w:r>
            <w:r w:rsidRPr="00A51555">
              <w:rPr>
                <w:rFonts w:asciiTheme="minorHAnsi" w:hAnsiTheme="minorHAnsi" w:cstheme="minorHAnsi"/>
                <w:i/>
                <w:iCs/>
                <w:kern w:val="24"/>
                <w:sz w:val="16"/>
                <w:szCs w:val="16"/>
                <w:lang w:val="en-IN" w:eastAsia="en-IN"/>
              </w:rPr>
              <w:instrText xml:space="preserve"> ADDIN ZOTERO_ITEM CSL_CITATION {"citationID":"oN7Od7pG","properties":{"formattedCitation":"[41]","plainCitation":"[41]","noteIndex":0},"citationItems":[{"id":952,"uris":["http://zotero.org/users/local/wJduMf1V/items/E6LI49IE"],"uri":["http://zotero.org/users/local/wJduMf1V/items/E6LI49IE"],"itemData":{"id":952,"type":"article-journal","abstract":"PURPOSE: To explore the levels of thioguanine incorporated into DNA (DNA-TG), and erythrocyte levels of 6-thioguanine nucleotides (Ery-TGN) and methylated metabolites (Ery-MeMP) during 6-mercaptopurine (6MP)/Methotrexate (MTX) therapy of childhood acute lymphoblastic leukemia (ALL) and the relation to inosine triphosphatase (ITPA) and thiopurine methyltransferase (TPMT) gene variants.\nMETHODS: Blood samples were drawn during 6MP/MTX maintenance therapy from 132 children treated for ALL at Rigshospitalet, Copenhagen. The samples were analysed for thiopurine metabolites and compared to TPMT (rs1800460 and rs1142345) and ITPA (rs1127354) genotypes.\nRESULTS: Median DNA-TG (mDNA-TG) levels were higher in TPMT and ITPA low-activity patients as compared to wildtype patients (TPMTLA 549 vs. 364 fmol/µg DNA, p = 0.007, ITPALA 465 vs. 387 fmol/µg DNA, p = 0.04). mDNA-TG levels were positively correlated to median Ery-TGN (mEry-TGN)(rs = 0.37, p = 0.001), but plateaued at higher mEry-TGN levels. DNA-TG indices (mDNA-TG/mEry-TGN) were 42% higher in TPMTWT patients as compared to TPMTLA patients but no difference in DNA-TG indices was observed between ITPAWT and ITPALA patients (median 1.7 vs. 1.6 fmol/µg DNA/ nmol/mmol Hb, p = 0.81). DNA-TG indices increased with median Ery-MeMP (mEry-MeMP) levels (rs = 0.25, p = 0.001).\nCONCLUSIONS: TPMT and ITPA genotypes significantly influence the metabolism of 6MP. DNA-TG may prove to be a more relevant pharmacokinetic parameter for monitoring 6MP treatment intensity than cytosolic metabolites. Prospective trials are needed to evaluate the usefulness of DNA-TGN for individual dose adjustments in childhood ALL maintenance therapy.","container-title":"Cancer Chemotherapy and Pharmacology","DOI":"10.1007/s00280-018-3525-8","ISSN":"1432-0843","issue":"3","journalAbbreviation":"Cancer Chemother Pharmacol","language":"eng","note":"PMID: 29387964","page":"579-586","source":"PubMed","title":"Role of TPMT and ITPA variants in mercaptopurine disposition","volume":"81","author":[{"family":"Gerbek","given":"Tina"},{"family":"Ebbesen","given":"Maria"},{"family":"Nersting","given":"Jacob"},{"family":"Frandsen","given":"Thomas L."},{"family":"Appell","given":"Malin Lindqvist"},{"family":"Schmiegelow","given":"Kjeld"}],"issued":{"date-parts":[["2018",3]]}}}],"schema":"https://github.com/citation-style-language/schema/raw/master/csl-citation.json"} </w:instrText>
            </w:r>
            <w:r w:rsidRPr="00A51555">
              <w:rPr>
                <w:rFonts w:asciiTheme="minorHAnsi" w:hAnsiTheme="minorHAnsi" w:cstheme="minorHAnsi"/>
                <w:i/>
                <w:iCs/>
                <w:kern w:val="24"/>
                <w:sz w:val="16"/>
                <w:szCs w:val="16"/>
                <w:lang w:val="en-IN" w:eastAsia="en-IN"/>
              </w:rPr>
              <w:fldChar w:fldCharType="separate"/>
            </w:r>
            <w:r w:rsidRPr="00A51555">
              <w:rPr>
                <w:rFonts w:ascii="Calibri" w:hAnsi="Calibri" w:cs="Calibri"/>
                <w:sz w:val="16"/>
              </w:rPr>
              <w:t>[41]</w:t>
            </w:r>
            <w:r w:rsidRPr="00A51555">
              <w:rPr>
                <w:rFonts w:asciiTheme="minorHAnsi" w:hAnsiTheme="minorHAnsi" w:cstheme="minorHAnsi"/>
                <w:i/>
                <w:iCs/>
                <w:kern w:val="24"/>
                <w:sz w:val="16"/>
                <w:szCs w:val="16"/>
                <w:lang w:val="en-IN" w:eastAsia="en-IN"/>
              </w:rPr>
              <w:fldChar w:fldCharType="end"/>
            </w:r>
          </w:p>
        </w:tc>
      </w:tr>
      <w:tr w:rsidR="000F1B85" w:rsidRPr="00A51555" w14:paraId="69DBFE70" w14:textId="77777777" w:rsidTr="000F1B85">
        <w:trPr>
          <w:trHeight w:val="50"/>
          <w:jc w:val="center"/>
        </w:trPr>
        <w:tc>
          <w:tcPr>
            <w:tcW w:w="709" w:type="dxa"/>
            <w:vAlign w:val="center"/>
          </w:tcPr>
          <w:p w14:paraId="77D803E3" w14:textId="77777777" w:rsidR="00A51555" w:rsidRPr="00A51555" w:rsidRDefault="00A51555" w:rsidP="00E207BA">
            <w:pPr>
              <w:jc w:val="center"/>
              <w:rPr>
                <w:rFonts w:asciiTheme="minorHAnsi" w:hAnsiTheme="minorHAnsi" w:cstheme="minorHAnsi"/>
                <w:kern w:val="24"/>
                <w:sz w:val="22"/>
                <w:szCs w:val="22"/>
                <w:lang w:val="en-IN" w:eastAsia="en-IN"/>
              </w:rPr>
            </w:pPr>
            <w:r w:rsidRPr="00A51555">
              <w:rPr>
                <w:rFonts w:asciiTheme="minorHAnsi" w:hAnsiTheme="minorHAnsi" w:cstheme="minorHAnsi"/>
                <w:kern w:val="24"/>
                <w:sz w:val="22"/>
                <w:szCs w:val="22"/>
                <w:lang w:val="en-IN" w:eastAsia="en-IN"/>
              </w:rPr>
              <w:t>6</w:t>
            </w:r>
          </w:p>
        </w:tc>
        <w:tc>
          <w:tcPr>
            <w:tcW w:w="2121" w:type="dxa"/>
            <w:vAlign w:val="center"/>
          </w:tcPr>
          <w:p w14:paraId="351A2509" w14:textId="77777777" w:rsidR="00A51555" w:rsidRPr="00A51555" w:rsidRDefault="00A51555" w:rsidP="00E207BA">
            <w:pPr>
              <w:jc w:val="center"/>
              <w:rPr>
                <w:rFonts w:asciiTheme="minorHAnsi" w:hAnsiTheme="minorHAnsi" w:cstheme="minorHAnsi"/>
                <w:kern w:val="24"/>
                <w:sz w:val="22"/>
                <w:szCs w:val="22"/>
                <w:lang w:val="en-IN" w:eastAsia="en-IN"/>
              </w:rPr>
            </w:pPr>
            <w:r w:rsidRPr="00A51555">
              <w:rPr>
                <w:rFonts w:asciiTheme="minorHAnsi" w:hAnsiTheme="minorHAnsi" w:cstheme="minorHAnsi"/>
                <w:kern w:val="24"/>
                <w:sz w:val="22"/>
                <w:szCs w:val="22"/>
                <w:lang w:val="en-IN" w:eastAsia="en-IN"/>
              </w:rPr>
              <w:t>Serbia (68)</w:t>
            </w:r>
          </w:p>
        </w:tc>
        <w:tc>
          <w:tcPr>
            <w:tcW w:w="1560" w:type="dxa"/>
            <w:vAlign w:val="center"/>
          </w:tcPr>
          <w:p w14:paraId="470BA7B4" w14:textId="52B4B3B8" w:rsidR="00A51555"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3%</w:t>
            </w:r>
          </w:p>
        </w:tc>
        <w:tc>
          <w:tcPr>
            <w:tcW w:w="1559" w:type="dxa"/>
            <w:vAlign w:val="center"/>
          </w:tcPr>
          <w:p w14:paraId="7F054055" w14:textId="795F7E18" w:rsidR="00A51555"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w:t>
            </w:r>
          </w:p>
        </w:tc>
        <w:tc>
          <w:tcPr>
            <w:tcW w:w="1559" w:type="dxa"/>
            <w:vAlign w:val="center"/>
          </w:tcPr>
          <w:p w14:paraId="252D91A3" w14:textId="5F756045" w:rsidR="00A51555"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w:t>
            </w:r>
          </w:p>
        </w:tc>
        <w:tc>
          <w:tcPr>
            <w:tcW w:w="1559" w:type="dxa"/>
            <w:vAlign w:val="center"/>
          </w:tcPr>
          <w:p w14:paraId="6038ED9C" w14:textId="34FB1327" w:rsidR="00A51555"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w:t>
            </w:r>
          </w:p>
        </w:tc>
        <w:tc>
          <w:tcPr>
            <w:tcW w:w="1701" w:type="dxa"/>
            <w:vAlign w:val="center"/>
          </w:tcPr>
          <w:p w14:paraId="3F84EF45" w14:textId="77777777" w:rsidR="00A51555" w:rsidRPr="00A51555" w:rsidRDefault="00A51555" w:rsidP="00E207BA">
            <w:pPr>
              <w:jc w:val="center"/>
              <w:rPr>
                <w:rFonts w:asciiTheme="minorHAnsi" w:hAnsiTheme="minorHAnsi" w:cstheme="minorHAnsi"/>
                <w:kern w:val="24"/>
                <w:sz w:val="16"/>
                <w:szCs w:val="16"/>
                <w:lang w:val="en-IN" w:eastAsia="en-IN"/>
              </w:rPr>
            </w:pPr>
            <w:r w:rsidRPr="00A51555">
              <w:rPr>
                <w:rFonts w:asciiTheme="minorHAnsi" w:hAnsiTheme="minorHAnsi" w:cstheme="minorHAnsi"/>
                <w:kern w:val="24"/>
                <w:sz w:val="16"/>
                <w:szCs w:val="16"/>
                <w:lang w:val="en-IN" w:eastAsia="en-IN"/>
              </w:rPr>
              <w:fldChar w:fldCharType="begin"/>
            </w:r>
            <w:r w:rsidRPr="00A51555">
              <w:rPr>
                <w:rFonts w:asciiTheme="minorHAnsi" w:hAnsiTheme="minorHAnsi" w:cstheme="minorHAnsi"/>
                <w:kern w:val="24"/>
                <w:sz w:val="16"/>
                <w:szCs w:val="16"/>
                <w:lang w:val="en-IN" w:eastAsia="en-IN"/>
              </w:rPr>
              <w:instrText xml:space="preserve"> ADDIN ZOTERO_ITEM CSL_CITATION {"citationID":"lS6vIdqq","properties":{"formattedCitation":"[42]","plainCitation":"[42]","noteIndex":0},"citationItems":[{"id":954,"uris":["http://zotero.org/users/local/wJduMf1V/items/6YRDUA84"],"uri":["http://zotero.org/users/local/wJduMf1V/items/6YRDUA84"],"itemData":{"id":954,"type":"article-journal","abstract":"Background\nAcute lymphoblastic leukemia is the most common childhood malignancy. Optimal use of anti leukemic drugs has led to less toxicity and adverse reactions, and a higher survival rate. Thiopurine drugs, including 6-mercaptopurine, are mostly used as antileukemic medications in the maintenance phase of treatment for children with acute lymphoblastic leukemia. For those patients, TPMT genotype- tailored 6-mercaptopurine therapy is already implemented in the treatment protocols. We investigated the role of TPMT, ITPA, ABCC4 and ABCB1 genetic variants as predictors of outcome and 6-mercaptopurine induced toxicity during the maintenance phase of treatment in pediatric acute lymphoblastic leukemia.\n\nMethods\nSixty-eight children with acute lymphoblastic leukemia were enrolled in this study. Patients have been treated according to ALL IC-BFM 2002 or ALL IC-BFM 2009 protocols. Toxicity and adverse events have been monitored via surrogate markers (off-therapy weeks, episodes of leu - ko penia and average 6-mercaptopurine dose) and a prob- abilistic model was employed to predict overall 6-mercaptopurine related toxicity.\n\nResults\nWe confirmed that patients with acute lymphoblastic leukemia that carry inactive TPMT allele(s) require 6- mercaptopurine dose reduction. ITPA and ABCC4 genetic variants failed to show an association with 6-mercapto - purine induced toxicity during the maintenance phase. Carriers of ABCB1 variant allele experienced greater hepatotoxicity. The probabilistic model Neural net which considered all the analysed genetic variants was assessed to be the best prediction model. It was able to discriminate ALL patients with good and poor 6-mercaptopurin tolerance in 71% of cases (AUC=0.71).\n\nConclusions\nThis study contributes to the design of a panel of pharmacogenetic markers for predicting thiopurineinduced toxicity in pediatric ALL.","container-title":"Journal of Medical Biochemistry","DOI":"10.1515/jomb-2017-0060","ISSN":"1452-8258","issue":"3","journalAbbreviation":"J Med Biochem","note":"PMID: 30598629\nPMCID: PMC6298470","page":"320-327","source":"PubMed Central","title":"Variants in TPMT, ITPA, ABCC4 and ABCB1 Genes As Predictors of 6-mercaptopurine Induced Toxicity in Children with Acute Lymphoblastic Leukemia","volume":"37","author":[{"family":"Milosevic","given":"Goran"},{"family":"Kotur","given":"Nikola"},{"family":"Krstovski","given":"Nada"},{"family":"Lazic","given":"Jelena"},{"family":"Zukic","given":"Branka"},{"family":"Stankovic","given":"Biljana"},{"family":"Janic","given":"Dragana"},{"family":"Katsila","given":"Theodora"},{"family":"Patrinos","given":"George P."},{"family":"Pavlovic","given":"Sonja"},{"family":"Dokmanovic","given":"Lidija"}],"issued":{"date-parts":[["2018",7,1]]}}}],"schema":"https://github.com/citation-style-language/schema/raw/master/csl-citation.json"} </w:instrText>
            </w:r>
            <w:r w:rsidRPr="00A51555">
              <w:rPr>
                <w:rFonts w:asciiTheme="minorHAnsi" w:hAnsiTheme="minorHAnsi" w:cstheme="minorHAnsi"/>
                <w:kern w:val="24"/>
                <w:sz w:val="16"/>
                <w:szCs w:val="16"/>
                <w:lang w:val="en-IN" w:eastAsia="en-IN"/>
              </w:rPr>
              <w:fldChar w:fldCharType="separate"/>
            </w:r>
            <w:r w:rsidRPr="00A51555">
              <w:rPr>
                <w:rFonts w:ascii="Calibri" w:hAnsi="Calibri" w:cs="Calibri"/>
                <w:sz w:val="16"/>
              </w:rPr>
              <w:t>[42]</w:t>
            </w:r>
            <w:r w:rsidRPr="00A51555">
              <w:rPr>
                <w:rFonts w:asciiTheme="minorHAnsi" w:hAnsiTheme="minorHAnsi" w:cstheme="minorHAnsi"/>
                <w:kern w:val="24"/>
                <w:sz w:val="16"/>
                <w:szCs w:val="16"/>
                <w:lang w:val="en-IN" w:eastAsia="en-IN"/>
              </w:rPr>
              <w:fldChar w:fldCharType="end"/>
            </w:r>
          </w:p>
        </w:tc>
      </w:tr>
      <w:tr w:rsidR="000F1B85" w:rsidRPr="00A51555" w14:paraId="29ABD17C" w14:textId="77777777" w:rsidTr="000F1B85">
        <w:trPr>
          <w:trHeight w:val="287"/>
          <w:jc w:val="center"/>
        </w:trPr>
        <w:tc>
          <w:tcPr>
            <w:tcW w:w="709" w:type="dxa"/>
            <w:vAlign w:val="center"/>
          </w:tcPr>
          <w:p w14:paraId="37BCED66" w14:textId="77777777" w:rsidR="00A51555" w:rsidRPr="00A51555" w:rsidRDefault="00A51555" w:rsidP="00E207BA">
            <w:pPr>
              <w:jc w:val="center"/>
              <w:rPr>
                <w:rFonts w:asciiTheme="minorHAnsi" w:hAnsiTheme="minorHAnsi" w:cstheme="minorHAnsi"/>
                <w:kern w:val="24"/>
                <w:sz w:val="22"/>
                <w:szCs w:val="22"/>
                <w:lang w:val="en-IN" w:eastAsia="en-IN"/>
              </w:rPr>
            </w:pPr>
            <w:r w:rsidRPr="00A51555">
              <w:rPr>
                <w:rFonts w:asciiTheme="minorHAnsi" w:hAnsiTheme="minorHAnsi" w:cstheme="minorHAnsi"/>
                <w:kern w:val="24"/>
                <w:sz w:val="22"/>
                <w:szCs w:val="22"/>
                <w:lang w:val="en-IN" w:eastAsia="en-IN"/>
              </w:rPr>
              <w:t>7</w:t>
            </w:r>
          </w:p>
        </w:tc>
        <w:tc>
          <w:tcPr>
            <w:tcW w:w="2121" w:type="dxa"/>
            <w:vAlign w:val="center"/>
          </w:tcPr>
          <w:p w14:paraId="65EC2C4E" w14:textId="77777777" w:rsidR="00A51555" w:rsidRPr="00A51555" w:rsidRDefault="00A51555" w:rsidP="00E207BA">
            <w:pPr>
              <w:jc w:val="center"/>
              <w:rPr>
                <w:rFonts w:asciiTheme="minorHAnsi" w:hAnsiTheme="minorHAnsi" w:cstheme="minorHAnsi"/>
                <w:kern w:val="24"/>
                <w:sz w:val="22"/>
                <w:szCs w:val="22"/>
                <w:lang w:val="en-IN" w:eastAsia="en-IN"/>
              </w:rPr>
            </w:pPr>
            <w:r w:rsidRPr="00A51555">
              <w:rPr>
                <w:rFonts w:asciiTheme="minorHAnsi" w:hAnsiTheme="minorHAnsi" w:cstheme="minorHAnsi"/>
                <w:kern w:val="24"/>
                <w:sz w:val="22"/>
                <w:szCs w:val="22"/>
                <w:lang w:val="en-IN" w:eastAsia="en-IN"/>
              </w:rPr>
              <w:t>Thailand (110)</w:t>
            </w:r>
          </w:p>
        </w:tc>
        <w:tc>
          <w:tcPr>
            <w:tcW w:w="1560" w:type="dxa"/>
            <w:vAlign w:val="center"/>
          </w:tcPr>
          <w:p w14:paraId="306CACC4" w14:textId="2BE0D2FB" w:rsidR="00A51555"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12%</w:t>
            </w:r>
          </w:p>
        </w:tc>
        <w:tc>
          <w:tcPr>
            <w:tcW w:w="1559" w:type="dxa"/>
            <w:vAlign w:val="center"/>
          </w:tcPr>
          <w:p w14:paraId="206F6509" w14:textId="3EFAB3F5" w:rsidR="00A51555" w:rsidRPr="00A51555" w:rsidRDefault="006E2B1C" w:rsidP="006E2B1C">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w:t>
            </w:r>
          </w:p>
        </w:tc>
        <w:tc>
          <w:tcPr>
            <w:tcW w:w="1559" w:type="dxa"/>
            <w:vAlign w:val="center"/>
          </w:tcPr>
          <w:p w14:paraId="542C9B6A" w14:textId="14966C22" w:rsidR="00A51555"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w:t>
            </w:r>
          </w:p>
        </w:tc>
        <w:tc>
          <w:tcPr>
            <w:tcW w:w="1559" w:type="dxa"/>
            <w:vAlign w:val="center"/>
          </w:tcPr>
          <w:p w14:paraId="4E5324E6" w14:textId="69BF146A" w:rsidR="00A51555"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w:t>
            </w:r>
          </w:p>
        </w:tc>
        <w:tc>
          <w:tcPr>
            <w:tcW w:w="1701" w:type="dxa"/>
            <w:vAlign w:val="center"/>
          </w:tcPr>
          <w:p w14:paraId="3C9B3778" w14:textId="77777777" w:rsidR="00A51555" w:rsidRPr="00A51555" w:rsidRDefault="00A51555" w:rsidP="00E207BA">
            <w:pPr>
              <w:jc w:val="center"/>
              <w:rPr>
                <w:rFonts w:asciiTheme="minorHAnsi" w:hAnsiTheme="minorHAnsi" w:cstheme="minorHAnsi"/>
                <w:i/>
                <w:iCs/>
                <w:kern w:val="24"/>
                <w:sz w:val="16"/>
                <w:szCs w:val="16"/>
                <w:lang w:val="en-IN" w:eastAsia="en-IN"/>
              </w:rPr>
            </w:pPr>
            <w:r w:rsidRPr="00A51555">
              <w:rPr>
                <w:rFonts w:asciiTheme="minorHAnsi" w:hAnsiTheme="minorHAnsi" w:cstheme="minorHAnsi"/>
                <w:i/>
                <w:iCs/>
                <w:kern w:val="24"/>
                <w:sz w:val="16"/>
                <w:szCs w:val="16"/>
                <w:lang w:val="en-IN" w:eastAsia="en-IN"/>
              </w:rPr>
              <w:fldChar w:fldCharType="begin"/>
            </w:r>
            <w:r w:rsidRPr="00A51555">
              <w:rPr>
                <w:rFonts w:asciiTheme="minorHAnsi" w:hAnsiTheme="minorHAnsi" w:cstheme="minorHAnsi"/>
                <w:i/>
                <w:iCs/>
                <w:kern w:val="24"/>
                <w:sz w:val="16"/>
                <w:szCs w:val="16"/>
                <w:lang w:val="en-IN" w:eastAsia="en-IN"/>
              </w:rPr>
              <w:instrText xml:space="preserve"> ADDIN ZOTERO_ITEM CSL_CITATION {"citationID":"Umxa0ofb","properties":{"formattedCitation":"[43]","plainCitation":"[43]","noteIndex":0},"citationItems":[{"id":598,"uris":["http://zotero.org/users/local/wJduMf1V/items/R5ZK9JF4"],"uri":["http://zotero.org/users/local/wJduMf1V/items/R5ZK9JF4"],"itemData":{"id":598,"type":"article-journal","abstract":"Background 6-Mercaptopurine (6-MP) is considered the backbone of therapy in the maintenance phase of acute lymphoblastic leukemia (ALL). Gene polymorphisms involved in thiopurine degradation are predictors of toxicity in patients treated with 6-MP. We investigated the effects of nucleoside diphosphate linked moiety X (nudix) type motif 15 (NUDT15) polymorphism NUDT15c.415C&gt;T on neutropenia incidence, dose adjustment for 6-MP, and survival rates in Thai children with ALL. Methods Children diagnosed with ALL who received 6-MP in the maintenance phase of treatment, in 2005–2016, were retrospectively enrolled. Results The subjects consisted of 102 patients (median age, 5.2 years; 58 boys). On genetic testing 78, 22, and two patients were normal (CC), heterozygous (CT), and homozygous (TT), respectively. The incidence of neutropenia at 3 months was significantly higher in the CT/TT than CC polymorphism groups (OR, 12; 95%CI: 3.781–38.085, P &lt; 0.001). The mean dose of 6-MP at 3, 6, and 12 months was significantly lower in the CT/TT versus the CC group (P &lt; 0.001). The 5 year overall survival (OS) rate for CC was 80.4%, and for CT/TT, 95.5% (P = 0.34). The 5 year event-free survival (EFS) for CC and CT/TT was 75.1% and 85.7%, respectively (P = 0.17). After adjusted risk classification, no significant differences were observed for OS or EFS between the CC and CT/TT groups. Conclusion Patients harboring the CT/TT polymorphism of NUDT15 had a significantly higher incidence of neutropenia during the first 3 months of maintenance, resulting in significantly lower doses of 6-MP.","container-title":"Pediatrics International","DOI":"10.1111/ped.13905","ISSN":"1442-200X","issue":"8","language":"en","note":"_eprint: https://onlinelibrary.wiley.com/doi/pdf/10.1111/ped.13905","page":"754-758","source":"Wiley Online Library","title":"Effect of NUDT15 on incidence of neutropenia in children with acute lymphoblastic leukemia","volume":"61","author":[{"family":"Buaboonnam","given":"Jassada"},{"family":"Sripatanatadasakul","given":"Pariwan"},{"family":"Treesucon","given":"Ajjima"},{"family":"Glomglao","given":"Waraporn"},{"family":"Siraprapapat","given":"Preeyanun"},{"family":"Narkbunnam","given":"Nattee"},{"family":"Vathana","given":"Nassawee"},{"family":"Takpradit","given":"Chayamon"},{"family":"Phuakpet","given":"Kamon"},{"family":"Pongtanakul","given":"Bunchoo"},{"family":"Tongsai","given":"Sasima"},{"family":"Sinlapamongkolkul","given":"Phakatip"},{"family":"Sanpakit","given":"Kleebsabai"}],"issued":{"date-parts":[["2019"]]}}}],"schema":"https://github.com/citation-style-language/schema/raw/master/csl-citation.json"} </w:instrText>
            </w:r>
            <w:r w:rsidRPr="00A51555">
              <w:rPr>
                <w:rFonts w:asciiTheme="minorHAnsi" w:hAnsiTheme="minorHAnsi" w:cstheme="minorHAnsi"/>
                <w:i/>
                <w:iCs/>
                <w:kern w:val="24"/>
                <w:sz w:val="16"/>
                <w:szCs w:val="16"/>
                <w:lang w:val="en-IN" w:eastAsia="en-IN"/>
              </w:rPr>
              <w:fldChar w:fldCharType="separate"/>
            </w:r>
            <w:r w:rsidRPr="00A51555">
              <w:rPr>
                <w:rFonts w:ascii="Calibri" w:hAnsi="Calibri" w:cs="Calibri"/>
                <w:sz w:val="16"/>
              </w:rPr>
              <w:t>[43]</w:t>
            </w:r>
            <w:r w:rsidRPr="00A51555">
              <w:rPr>
                <w:rFonts w:asciiTheme="minorHAnsi" w:hAnsiTheme="minorHAnsi" w:cstheme="minorHAnsi"/>
                <w:i/>
                <w:iCs/>
                <w:kern w:val="24"/>
                <w:sz w:val="16"/>
                <w:szCs w:val="16"/>
                <w:lang w:val="en-IN" w:eastAsia="en-IN"/>
              </w:rPr>
              <w:fldChar w:fldCharType="end"/>
            </w:r>
          </w:p>
        </w:tc>
      </w:tr>
      <w:tr w:rsidR="000F1B85" w:rsidRPr="00A51555" w14:paraId="57A4F346" w14:textId="77777777" w:rsidTr="00921113">
        <w:trPr>
          <w:trHeight w:val="50"/>
          <w:jc w:val="center"/>
        </w:trPr>
        <w:tc>
          <w:tcPr>
            <w:tcW w:w="709" w:type="dxa"/>
            <w:vAlign w:val="center"/>
          </w:tcPr>
          <w:p w14:paraId="3F904230" w14:textId="77777777" w:rsidR="00A51555" w:rsidRPr="00A51555" w:rsidRDefault="00A51555" w:rsidP="00E207BA">
            <w:pPr>
              <w:jc w:val="center"/>
              <w:rPr>
                <w:rFonts w:asciiTheme="minorHAnsi" w:hAnsiTheme="minorHAnsi" w:cstheme="minorHAnsi"/>
                <w:kern w:val="24"/>
                <w:sz w:val="22"/>
                <w:szCs w:val="22"/>
                <w:lang w:val="en-IN" w:eastAsia="en-IN"/>
              </w:rPr>
            </w:pPr>
            <w:r w:rsidRPr="00A51555">
              <w:rPr>
                <w:rFonts w:asciiTheme="minorHAnsi" w:hAnsiTheme="minorHAnsi" w:cstheme="minorHAnsi"/>
                <w:kern w:val="24"/>
                <w:sz w:val="22"/>
                <w:szCs w:val="22"/>
                <w:lang w:val="en-IN" w:eastAsia="en-IN"/>
              </w:rPr>
              <w:t>8</w:t>
            </w:r>
          </w:p>
        </w:tc>
        <w:tc>
          <w:tcPr>
            <w:tcW w:w="2121" w:type="dxa"/>
            <w:vAlign w:val="center"/>
          </w:tcPr>
          <w:p w14:paraId="1C47F17F" w14:textId="77777777" w:rsidR="00A51555" w:rsidRPr="00A51555" w:rsidRDefault="00A51555" w:rsidP="00E207BA">
            <w:pPr>
              <w:jc w:val="center"/>
              <w:rPr>
                <w:rFonts w:asciiTheme="minorHAnsi" w:hAnsiTheme="minorHAnsi" w:cstheme="minorHAnsi"/>
                <w:kern w:val="24"/>
                <w:sz w:val="22"/>
                <w:szCs w:val="22"/>
                <w:lang w:val="en-IN" w:eastAsia="en-IN"/>
              </w:rPr>
            </w:pPr>
            <w:r w:rsidRPr="00A51555">
              <w:rPr>
                <w:rFonts w:asciiTheme="minorHAnsi" w:hAnsiTheme="minorHAnsi" w:cstheme="minorHAnsi"/>
                <w:kern w:val="24"/>
                <w:sz w:val="22"/>
                <w:szCs w:val="22"/>
                <w:lang w:val="en-IN" w:eastAsia="en-IN"/>
              </w:rPr>
              <w:t>Taiwan (294)</w:t>
            </w:r>
          </w:p>
        </w:tc>
        <w:tc>
          <w:tcPr>
            <w:tcW w:w="1560" w:type="dxa"/>
            <w:vAlign w:val="center"/>
          </w:tcPr>
          <w:p w14:paraId="0F08689C" w14:textId="35039735" w:rsidR="00A51555"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13%</w:t>
            </w:r>
          </w:p>
        </w:tc>
        <w:tc>
          <w:tcPr>
            <w:tcW w:w="1559" w:type="dxa"/>
            <w:vAlign w:val="center"/>
          </w:tcPr>
          <w:p w14:paraId="1549B79B" w14:textId="7762F482" w:rsidR="00A51555"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2%</w:t>
            </w:r>
          </w:p>
        </w:tc>
        <w:tc>
          <w:tcPr>
            <w:tcW w:w="1559" w:type="dxa"/>
            <w:vAlign w:val="center"/>
          </w:tcPr>
          <w:p w14:paraId="50A1E97C" w14:textId="4B87E32F" w:rsidR="00A51555"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19%</w:t>
            </w:r>
          </w:p>
        </w:tc>
        <w:tc>
          <w:tcPr>
            <w:tcW w:w="1559" w:type="dxa"/>
            <w:vAlign w:val="center"/>
          </w:tcPr>
          <w:p w14:paraId="6E871874" w14:textId="1362ACB2" w:rsidR="00A51555"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4%</w:t>
            </w:r>
          </w:p>
        </w:tc>
        <w:tc>
          <w:tcPr>
            <w:tcW w:w="1701" w:type="dxa"/>
            <w:vAlign w:val="center"/>
          </w:tcPr>
          <w:p w14:paraId="63B5FC82" w14:textId="77777777" w:rsidR="00A51555" w:rsidRPr="00A51555" w:rsidRDefault="00A51555" w:rsidP="00E207BA">
            <w:pPr>
              <w:jc w:val="center"/>
              <w:rPr>
                <w:rFonts w:asciiTheme="minorHAnsi" w:hAnsiTheme="minorHAnsi" w:cstheme="minorHAnsi"/>
                <w:i/>
                <w:iCs/>
                <w:kern w:val="24"/>
                <w:sz w:val="16"/>
                <w:szCs w:val="16"/>
                <w:lang w:val="en-IN" w:eastAsia="en-IN"/>
              </w:rPr>
            </w:pPr>
            <w:r w:rsidRPr="00A51555">
              <w:rPr>
                <w:rFonts w:asciiTheme="minorHAnsi" w:hAnsiTheme="minorHAnsi" w:cstheme="minorHAnsi"/>
                <w:i/>
                <w:iCs/>
                <w:kern w:val="24"/>
                <w:sz w:val="16"/>
                <w:szCs w:val="16"/>
                <w:lang w:val="en-IN" w:eastAsia="en-IN"/>
              </w:rPr>
              <w:fldChar w:fldCharType="begin"/>
            </w:r>
            <w:r w:rsidRPr="00A51555">
              <w:rPr>
                <w:rFonts w:asciiTheme="minorHAnsi" w:hAnsiTheme="minorHAnsi" w:cstheme="minorHAnsi"/>
                <w:i/>
                <w:iCs/>
                <w:kern w:val="24"/>
                <w:sz w:val="16"/>
                <w:szCs w:val="16"/>
                <w:lang w:val="en-IN" w:eastAsia="en-IN"/>
              </w:rPr>
              <w:instrText xml:space="preserve"> ADDIN ZOTERO_ITEM CSL_CITATION {"citationID":"7uW4TqGa","properties":{"formattedCitation":"[44]","plainCitation":"[44]","noteIndex":0},"citationItems":[{"id":957,"uris":["http://zotero.org/users/local/wJduMf1V/items/5EUB4FYX"],"uri":["http://zotero.org/users/local/wJduMf1V/items/5EUB4FYX"],"itemData":{"id":957,"type":"article-journal","abstract":"BACKGROUND: Mercaptopurine-induced neutropenia can interrupt chemotherapy and expose patients to infection during childhood acute lymphoblastic leukemia (ALL) treatment. Previously, six candidate gene variants associated with mercaptopurine intolerance were reported. Herein, we investigated the association between the mean tolerable dose of mercaptopurine and these genetic variants in Taiwanese patients.\nMETHODS: In total, 294 children with ALL were treated at the National Taiwan University Hospital from April 1997 to December 2017. Germline variants were analyzed for NUDT15, SUCLA2, TPMT, ITPA, PACSIN2, and MRP4. Mean daily tolerable doses of mercaptopurine in the continuation phase of treatment were correlated with these genetic variants.\nRESULTS: Mercaptopurine intolerance was significantly associated with polymorphisms in NUDT15 (P value &lt; 0.0001). Patients with SUCLA2 variants received lower mercaptopurine doses (P value = 0.0119). The mean mercaptopurine doses did not differ among patients with TPMT, ITPA, MRP4, and PACSIN2 polymorphisms (P value = 0.9461, 0.5818, and 0.7951, respectively). After multivariable linear regression analysis, only NUDT15 variants retained their clinically significant correlation with mercaptopurine intolerance (P value &lt; 0.0001).\nCONCLUSION: In this cohort, the major genetic determinant of mercaptopurine intolerance was NUDT15 in Taiwanese patients.\nIMPACT: NUDT15 causes mercaptopurine intolerance in children with ALL.The NUDT15 variant is a stronger predictor of mercaptopurine intolerance than TPMT in a Taiwanese cohort. This finding is similar with studies performed on Asian populations rather than Caucasians.Pre-emptive genotyping of the patients' NUDT15 before administering mercaptopurine may be more helpful than genotyping TPMT in Asians.","container-title":"Pediatric Research","DOI":"10.1038/s41390-020-0868-8","ISSN":"1530-0447","journalAbbreviation":"Pediatr Res","language":"eng","note":"PMID: 32221476","source":"PubMed","title":"Childhood acute lymphoblastic leukemia mercaptopurine intolerance is associated with NUDT15 variants","author":[{"family":"Wang","given":"Der-Shiun"},{"family":"Yu","given":"Chih-Hsiang"},{"family":"Lin","given":"Chien-Yu"},{"family":"Chang","given":"Ya-Hsuan"},{"family":"Lin","given":"Kai-Hsin"},{"family":"Lin","given":"Dong-Tsamn"},{"family":"Jou","given":"Shiann-Tarng"},{"family":"Lu","given":"Meng-Yao"},{"family":"Chang","given":"Hsiu-Hao"},{"family":"Lin","given":"Shu-Wha"},{"family":"Chen","given":"Hsuan-Yu"},{"family":"Yang","given":"Yung-Li"}],"issued":{"date-parts":[["2020",3,27]]}}}],"schema":"https://github.com/citation-style-language/schema/raw/master/csl-citation.json"} </w:instrText>
            </w:r>
            <w:r w:rsidRPr="00A51555">
              <w:rPr>
                <w:rFonts w:asciiTheme="minorHAnsi" w:hAnsiTheme="minorHAnsi" w:cstheme="minorHAnsi"/>
                <w:i/>
                <w:iCs/>
                <w:kern w:val="24"/>
                <w:sz w:val="16"/>
                <w:szCs w:val="16"/>
                <w:lang w:val="en-IN" w:eastAsia="en-IN"/>
              </w:rPr>
              <w:fldChar w:fldCharType="separate"/>
            </w:r>
            <w:r w:rsidRPr="00A51555">
              <w:rPr>
                <w:rFonts w:ascii="Calibri" w:hAnsi="Calibri" w:cs="Calibri"/>
                <w:sz w:val="16"/>
                <w:szCs w:val="16"/>
              </w:rPr>
              <w:t>[44]</w:t>
            </w:r>
            <w:r w:rsidRPr="00A51555">
              <w:rPr>
                <w:rFonts w:asciiTheme="minorHAnsi" w:hAnsiTheme="minorHAnsi" w:cstheme="minorHAnsi"/>
                <w:i/>
                <w:iCs/>
                <w:kern w:val="24"/>
                <w:sz w:val="16"/>
                <w:szCs w:val="16"/>
                <w:lang w:val="en-IN" w:eastAsia="en-IN"/>
              </w:rPr>
              <w:fldChar w:fldCharType="end"/>
            </w:r>
          </w:p>
        </w:tc>
      </w:tr>
      <w:tr w:rsidR="000F1B85" w:rsidRPr="00A51555" w14:paraId="01228493" w14:textId="77777777" w:rsidTr="00921113">
        <w:trPr>
          <w:trHeight w:val="267"/>
          <w:jc w:val="center"/>
        </w:trPr>
        <w:tc>
          <w:tcPr>
            <w:tcW w:w="709" w:type="dxa"/>
            <w:vAlign w:val="center"/>
          </w:tcPr>
          <w:p w14:paraId="4BEE5E4A" w14:textId="77777777" w:rsidR="00F73033" w:rsidRPr="00A51555" w:rsidRDefault="00F73033" w:rsidP="00E207BA">
            <w:pPr>
              <w:jc w:val="center"/>
              <w:rPr>
                <w:rFonts w:asciiTheme="minorHAnsi" w:hAnsiTheme="minorHAnsi" w:cstheme="minorHAnsi"/>
                <w:kern w:val="24"/>
                <w:sz w:val="22"/>
                <w:szCs w:val="22"/>
                <w:lang w:val="en-IN" w:eastAsia="en-IN"/>
              </w:rPr>
            </w:pPr>
            <w:r w:rsidRPr="00A51555">
              <w:rPr>
                <w:rFonts w:asciiTheme="minorHAnsi" w:hAnsiTheme="minorHAnsi" w:cstheme="minorHAnsi"/>
                <w:kern w:val="24"/>
                <w:sz w:val="22"/>
                <w:szCs w:val="22"/>
                <w:lang w:val="en-IN" w:eastAsia="en-IN"/>
              </w:rPr>
              <w:t>9</w:t>
            </w:r>
          </w:p>
        </w:tc>
        <w:tc>
          <w:tcPr>
            <w:tcW w:w="2121" w:type="dxa"/>
            <w:vAlign w:val="center"/>
          </w:tcPr>
          <w:p w14:paraId="12A4209E" w14:textId="77777777" w:rsidR="00F73033" w:rsidRPr="00A51555" w:rsidRDefault="00F73033" w:rsidP="00E207BA">
            <w:pPr>
              <w:jc w:val="center"/>
              <w:rPr>
                <w:rFonts w:asciiTheme="minorHAnsi" w:hAnsiTheme="minorHAnsi" w:cstheme="minorHAnsi"/>
                <w:kern w:val="24"/>
                <w:sz w:val="22"/>
                <w:szCs w:val="22"/>
                <w:lang w:val="en-IN" w:eastAsia="en-IN"/>
              </w:rPr>
            </w:pPr>
            <w:r w:rsidRPr="00A51555">
              <w:rPr>
                <w:rFonts w:asciiTheme="minorHAnsi" w:hAnsiTheme="minorHAnsi" w:cstheme="minorHAnsi"/>
                <w:kern w:val="24"/>
                <w:sz w:val="22"/>
                <w:szCs w:val="22"/>
                <w:lang w:val="en-IN" w:eastAsia="en-IN"/>
              </w:rPr>
              <w:t>India (73)</w:t>
            </w:r>
          </w:p>
        </w:tc>
        <w:tc>
          <w:tcPr>
            <w:tcW w:w="1560" w:type="dxa"/>
            <w:vAlign w:val="center"/>
          </w:tcPr>
          <w:p w14:paraId="3D83F7CF" w14:textId="61BDDADC" w:rsidR="00F73033"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9%</w:t>
            </w:r>
          </w:p>
        </w:tc>
        <w:tc>
          <w:tcPr>
            <w:tcW w:w="1559" w:type="dxa"/>
            <w:vAlign w:val="center"/>
          </w:tcPr>
          <w:p w14:paraId="381DE80B" w14:textId="596098C6" w:rsidR="00F73033"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1%</w:t>
            </w:r>
          </w:p>
        </w:tc>
        <w:tc>
          <w:tcPr>
            <w:tcW w:w="1559" w:type="dxa"/>
            <w:vAlign w:val="center"/>
          </w:tcPr>
          <w:p w14:paraId="0AC692B3" w14:textId="69D1C389" w:rsidR="00F73033"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w:t>
            </w:r>
          </w:p>
        </w:tc>
        <w:tc>
          <w:tcPr>
            <w:tcW w:w="1559" w:type="dxa"/>
            <w:vAlign w:val="center"/>
          </w:tcPr>
          <w:p w14:paraId="7EF68FFA" w14:textId="2F475648" w:rsidR="00F73033"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w:t>
            </w:r>
          </w:p>
        </w:tc>
        <w:tc>
          <w:tcPr>
            <w:tcW w:w="1701" w:type="dxa"/>
            <w:vAlign w:val="center"/>
          </w:tcPr>
          <w:p w14:paraId="5F6D59FF" w14:textId="77777777" w:rsidR="00F73033" w:rsidRPr="00A51555" w:rsidRDefault="00F73033" w:rsidP="00E207BA">
            <w:pPr>
              <w:jc w:val="center"/>
              <w:rPr>
                <w:rFonts w:asciiTheme="minorHAnsi" w:hAnsiTheme="minorHAnsi" w:cstheme="minorHAnsi"/>
                <w:kern w:val="24"/>
                <w:sz w:val="16"/>
                <w:szCs w:val="16"/>
                <w:lang w:val="en-IN" w:eastAsia="en-IN"/>
              </w:rPr>
            </w:pPr>
            <w:r w:rsidRPr="00A51555">
              <w:rPr>
                <w:rFonts w:asciiTheme="minorHAnsi" w:hAnsiTheme="minorHAnsi" w:cstheme="minorHAnsi"/>
                <w:kern w:val="24"/>
                <w:sz w:val="16"/>
                <w:szCs w:val="16"/>
                <w:lang w:val="en-IN" w:eastAsia="en-IN"/>
              </w:rPr>
              <w:fldChar w:fldCharType="begin"/>
            </w:r>
            <w:r w:rsidRPr="00A51555">
              <w:rPr>
                <w:rFonts w:asciiTheme="minorHAnsi" w:hAnsiTheme="minorHAnsi" w:cstheme="minorHAnsi"/>
                <w:kern w:val="24"/>
                <w:sz w:val="16"/>
                <w:szCs w:val="16"/>
                <w:lang w:val="en-IN" w:eastAsia="en-IN"/>
              </w:rPr>
              <w:instrText xml:space="preserve"> ADDIN ZOTERO_ITEM CSL_CITATION {"citationID":"WQ6XV3lJ","properties":{"formattedCitation":"[14]","plainCitation":"[14]","noteIndex":0},"citationItems":[{"id":607,"uris":["http://zotero.org/users/local/wJduMf1V/items/QBM4FI2Q"],"uri":["http://zotero.org/users/local/wJduMf1V/items/QBM4FI2Q"],"itemData":{"id":607,"type":"article-journal","abstract":"Genetic variants influencing the pharmacokinetics and/or pharmacodynamics of the chemotherapeutic drugs used in Acute Lymphoblastic Leukemia (ALL) therapy often contribute to the occurrence of treatment related toxicity (TRT). In this study, we explored the association of candidate genetic variants with early hematological TRT (grade 3–4) occurring within the first 100 days of low-dose methotrexate and 6-mercaptopurine based maintenance therapy (n = 73). Fourteen variants in the following candidate genes were genotyped using allele discrimination assay by real-time PCR: ABCB1, DHFR, GGH, FPGS, MTHFR, RFC1, SLCO1B1, TPMT, and NUDT15. Methotrexate polyglutamate (MTXPG3-5) levels in red blood cells were measured by LC-MS/MS. Early hematological TRT (grade 3–4) was seen in 54.9% of patients. The NUDT15c.415T allele was associated with early TRT occurrence [HR: 3.04 (95% CI: 1.5–6.1); p = 0.007]. Sensitivity of early TRT prediction improved (from 30.7% to 89.7%) by considering FPGS variant (rs1544105’T’) carrier status along with NUDT15c.415T allele [HR = 2.7 (1.5–4.7, p = 0.008)]. None of the considered genetic variants were associated with MTXPG3-5 levels, which in turn were not associated with early TRT. NUDT15c.415T allele carrier status could be used as a stratifying marker for Indian ALL patients to distinguish patients at high or low risk of developing early hematological TRT.","container-title":"Genes","DOI":"10.3390/genes11060594","ISSN":"2073-4425","issue":"6","journalAbbreviation":"Genes (Basel)","note":"PMID: 32481505\nPMCID: PMC7349017","source":"PubMed Central","title":"Association of NUDT15 c.415C&gt;T and FPGS 2572C&gt;T Variants with the Risk of Early Hematologic Toxicity During 6-MP and Low-Dose Methotrexate-Based Maintenance Therapy in Indian Patients with Acute Lymphoblastic Leukemia","URL":"https://www.ncbi.nlm.nih.gov/pmc/articles/PMC7349017/","volume":"11","author":[{"family":"Kodidela","given":"Sunitha"},{"family":"Dorababu","given":"Patchava"},{"family":"Thakkar","given":"Dimpal N."},{"family":"Dubashi","given":"Biswajit"},{"family":"Sundaram","given":"Rajan"},{"family":"Muralidharan","given":"Niveditha"},{"family":"Nidanapu","given":"Ravi Prasad"},{"family":"Aribandi","given":"Anil"},{"family":"Pradhan","given":"Suresh Chandra"},{"family":"Uppugunduri","given":"Chakradhara Rao Satyanarayana"}],"accessed":{"date-parts":[["2020",10,14]]},"issued":{"date-parts":[["2020",5,28]]}}}],"schema":"https://github.com/citation-style-language/schema/raw/master/csl-citation.json"} </w:instrText>
            </w:r>
            <w:r w:rsidRPr="00A51555">
              <w:rPr>
                <w:rFonts w:asciiTheme="minorHAnsi" w:hAnsiTheme="minorHAnsi" w:cstheme="minorHAnsi"/>
                <w:kern w:val="24"/>
                <w:sz w:val="16"/>
                <w:szCs w:val="16"/>
                <w:lang w:val="en-IN" w:eastAsia="en-IN"/>
              </w:rPr>
              <w:fldChar w:fldCharType="separate"/>
            </w:r>
            <w:r w:rsidRPr="00A51555">
              <w:rPr>
                <w:rFonts w:ascii="Calibri" w:hAnsi="Calibri" w:cs="Calibri"/>
                <w:sz w:val="16"/>
              </w:rPr>
              <w:t>[14]</w:t>
            </w:r>
            <w:r w:rsidRPr="00A51555">
              <w:rPr>
                <w:rFonts w:asciiTheme="minorHAnsi" w:hAnsiTheme="minorHAnsi" w:cstheme="minorHAnsi"/>
                <w:kern w:val="24"/>
                <w:sz w:val="16"/>
                <w:szCs w:val="16"/>
                <w:lang w:val="en-IN" w:eastAsia="en-IN"/>
              </w:rPr>
              <w:fldChar w:fldCharType="end"/>
            </w:r>
          </w:p>
        </w:tc>
      </w:tr>
      <w:tr w:rsidR="000F1B85" w:rsidRPr="00A51555" w14:paraId="1E3F58D8" w14:textId="77777777" w:rsidTr="00921113">
        <w:trPr>
          <w:trHeight w:val="271"/>
          <w:jc w:val="center"/>
        </w:trPr>
        <w:tc>
          <w:tcPr>
            <w:tcW w:w="709" w:type="dxa"/>
            <w:vAlign w:val="center"/>
          </w:tcPr>
          <w:p w14:paraId="4A9CBC32" w14:textId="77777777" w:rsidR="00F73033" w:rsidRPr="00A51555" w:rsidRDefault="00F73033" w:rsidP="00E207BA">
            <w:pPr>
              <w:jc w:val="center"/>
              <w:rPr>
                <w:rFonts w:asciiTheme="minorHAnsi" w:hAnsiTheme="minorHAnsi" w:cstheme="minorHAnsi"/>
                <w:kern w:val="24"/>
                <w:sz w:val="22"/>
                <w:szCs w:val="22"/>
                <w:lang w:val="en-IN" w:eastAsia="en-IN"/>
              </w:rPr>
            </w:pPr>
            <w:r w:rsidRPr="00A51555">
              <w:rPr>
                <w:rFonts w:asciiTheme="minorHAnsi" w:hAnsiTheme="minorHAnsi" w:cstheme="minorHAnsi"/>
                <w:kern w:val="24"/>
                <w:sz w:val="22"/>
                <w:szCs w:val="22"/>
                <w:lang w:val="en-IN" w:eastAsia="en-IN"/>
              </w:rPr>
              <w:t>10</w:t>
            </w:r>
          </w:p>
        </w:tc>
        <w:tc>
          <w:tcPr>
            <w:tcW w:w="2121" w:type="dxa"/>
            <w:vAlign w:val="center"/>
          </w:tcPr>
          <w:p w14:paraId="79ECAB61" w14:textId="77777777" w:rsidR="00F73033" w:rsidRPr="00A51555" w:rsidRDefault="00F73033" w:rsidP="00E207BA">
            <w:pPr>
              <w:jc w:val="center"/>
              <w:rPr>
                <w:rFonts w:asciiTheme="minorHAnsi" w:hAnsiTheme="minorHAnsi" w:cstheme="minorHAnsi"/>
                <w:kern w:val="24"/>
                <w:sz w:val="22"/>
                <w:szCs w:val="22"/>
                <w:lang w:val="en-IN" w:eastAsia="en-IN"/>
              </w:rPr>
            </w:pPr>
            <w:r w:rsidRPr="00A51555">
              <w:rPr>
                <w:rFonts w:asciiTheme="minorHAnsi" w:hAnsiTheme="minorHAnsi" w:cstheme="minorHAnsi"/>
                <w:kern w:val="24"/>
                <w:sz w:val="22"/>
                <w:szCs w:val="22"/>
                <w:lang w:val="en-IN" w:eastAsia="en-IN"/>
              </w:rPr>
              <w:t>India (63)</w:t>
            </w:r>
          </w:p>
        </w:tc>
        <w:tc>
          <w:tcPr>
            <w:tcW w:w="1560" w:type="dxa"/>
            <w:vAlign w:val="center"/>
          </w:tcPr>
          <w:p w14:paraId="0777AF43" w14:textId="68588FBB" w:rsidR="00F73033"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5%</w:t>
            </w:r>
          </w:p>
        </w:tc>
        <w:tc>
          <w:tcPr>
            <w:tcW w:w="1559" w:type="dxa"/>
            <w:vAlign w:val="center"/>
          </w:tcPr>
          <w:p w14:paraId="3C97D721" w14:textId="10268352" w:rsidR="00F73033"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2%</w:t>
            </w:r>
          </w:p>
        </w:tc>
        <w:tc>
          <w:tcPr>
            <w:tcW w:w="1559" w:type="dxa"/>
            <w:vAlign w:val="center"/>
          </w:tcPr>
          <w:p w14:paraId="158B5D1B" w14:textId="30889E9B" w:rsidR="00F73033"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w:t>
            </w:r>
          </w:p>
        </w:tc>
        <w:tc>
          <w:tcPr>
            <w:tcW w:w="1559" w:type="dxa"/>
            <w:vAlign w:val="center"/>
          </w:tcPr>
          <w:p w14:paraId="1E7F9E64" w14:textId="04397488" w:rsidR="00F73033"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w:t>
            </w:r>
          </w:p>
        </w:tc>
        <w:tc>
          <w:tcPr>
            <w:tcW w:w="1701" w:type="dxa"/>
            <w:vAlign w:val="center"/>
          </w:tcPr>
          <w:p w14:paraId="1E2F78F0" w14:textId="77777777" w:rsidR="00F73033" w:rsidRPr="00A51555" w:rsidRDefault="00F73033" w:rsidP="00E207BA">
            <w:pPr>
              <w:jc w:val="center"/>
              <w:rPr>
                <w:rFonts w:asciiTheme="minorHAnsi" w:hAnsiTheme="minorHAnsi" w:cstheme="minorHAnsi"/>
                <w:i/>
                <w:iCs/>
                <w:kern w:val="24"/>
                <w:sz w:val="16"/>
                <w:szCs w:val="16"/>
                <w:lang w:val="en-IN" w:eastAsia="en-IN"/>
              </w:rPr>
            </w:pPr>
            <w:r w:rsidRPr="00A51555">
              <w:rPr>
                <w:rFonts w:asciiTheme="minorHAnsi" w:hAnsiTheme="minorHAnsi" w:cstheme="minorHAnsi"/>
                <w:i/>
                <w:iCs/>
                <w:kern w:val="24"/>
                <w:sz w:val="16"/>
                <w:szCs w:val="16"/>
                <w:lang w:val="en-IN" w:eastAsia="en-IN"/>
              </w:rPr>
              <w:fldChar w:fldCharType="begin"/>
            </w:r>
            <w:r w:rsidRPr="00A51555">
              <w:rPr>
                <w:rFonts w:asciiTheme="minorHAnsi" w:hAnsiTheme="minorHAnsi" w:cstheme="minorHAnsi"/>
                <w:i/>
                <w:iCs/>
                <w:kern w:val="24"/>
                <w:sz w:val="16"/>
                <w:szCs w:val="16"/>
                <w:lang w:val="en-IN" w:eastAsia="en-IN"/>
              </w:rPr>
              <w:instrText xml:space="preserve"> ADDIN ZOTERO_ITEM CSL_CITATION {"citationID":"xQRIqjul","properties":{"formattedCitation":"[15]","plainCitation":"[15]","noteIndex":0},"citationItems":[{"id":700,"uris":["http://zotero.org/users/local/wJduMf1V/items/7TP5SCWE"],"uri":["http://zotero.org/users/local/wJduMf1V/items/7TP5SCWE"],"itemData":{"id":700,"type":"article-journal","abstract":"PURPOSE: Toxicity of 6-Mercaptopurine (6MP) is related to single nucleotide polymorphism (SNP) in genes coding for metabolizing enzymes, with TPMT analysis being recommended prior to maintenance therapy. However, ITPA and NUDT15 polymorphisms appear more important in the Asian population.\nMETHOD: In this study 63 consecutive patients with ALL, entering maintenance phase of therapy, were evaluated for TPMT, ITPA and NUDT15 polymorphisms by PCR RFLP and confirmed by sequencing. Hematological and hepatic toxicities were monitored for 36 weeks. The groups with and without any of the three studied polymorphisms (Risk SNP + and Risk SNP-) were compared.\nRESULTS: Eighteen (28.6%) patients had major polymorphisms, 17 being heterozygous. ITPA(198CA): 11(17.5%); NUDT (415CT): 6(9.5%) and TPMT*3C: in 2(3.1%). Mean cumulative dose of 6MP was lower: 10927 mg/m2 in group with one of the polymorphisms compared to 12533 mg/m2 in the group without a polymorphism (p = 0.009). The group with Risk SNP + tolerated lesser weeks of full-dose 6MP chemotherapy (20.81 vs 30.40 weeks; p = 0.001). Risk of neutropenia &gt; 3 weeks was pronounced in Risk SNP + group. The individual TPMT, ITPA and NUDT15 polymorphism subgroups had similar cumulative 6MP dose and chemotherapy interruptions. There was no difference in the average cumulative dose of methotrexate in the two groups. No significant hepatotoxicity was noted.\nCONCLUSION: Polymorphisms in ITPA and NUDT15 have a greater prevalence in the north Indian population. Patients with these SNPs tolerate lower doses of 6MP.","container-title":"Cancer Chemotherapy and Pharmacology","DOI":"10.1007/s00280-018-3732-3","ISSN":"1432-0843","issue":"2","journalAbbreviation":"Cancer Chemother Pharmacol","language":"eng","note":"PMID: 30474703","page":"341-348","source":"PubMed","title":"Prevalence of TPMT, ITPA and NUDT 15 genetic polymorphisms and their relation to 6MP toxicity in north Indian children with acute lymphoblastic leukemia","volume":"83","author":[{"family":"Khera","given":"Sanjeev"},{"family":"Trehan","given":"Amita"},{"family":"Bhatia","given":"Prateek"},{"family":"Singh","given":"Minu"},{"family":"Bansal","given":"Deepak"},{"family":"Varma","given":"Neelam"}],"issued":{"date-parts":[["2019"]]}}}],"schema":"https://github.com/citation-style-language/schema/raw/master/csl-citation.json"} </w:instrText>
            </w:r>
            <w:r w:rsidRPr="00A51555">
              <w:rPr>
                <w:rFonts w:asciiTheme="minorHAnsi" w:hAnsiTheme="minorHAnsi" w:cstheme="minorHAnsi"/>
                <w:i/>
                <w:iCs/>
                <w:kern w:val="24"/>
                <w:sz w:val="16"/>
                <w:szCs w:val="16"/>
                <w:lang w:val="en-IN" w:eastAsia="en-IN"/>
              </w:rPr>
              <w:fldChar w:fldCharType="separate"/>
            </w:r>
            <w:r w:rsidRPr="00A51555">
              <w:rPr>
                <w:rFonts w:ascii="Calibri" w:hAnsi="Calibri" w:cs="Calibri"/>
                <w:sz w:val="16"/>
              </w:rPr>
              <w:t>[15]</w:t>
            </w:r>
            <w:r w:rsidRPr="00A51555">
              <w:rPr>
                <w:rFonts w:asciiTheme="minorHAnsi" w:hAnsiTheme="minorHAnsi" w:cstheme="minorHAnsi"/>
                <w:i/>
                <w:iCs/>
                <w:kern w:val="24"/>
                <w:sz w:val="16"/>
                <w:szCs w:val="16"/>
                <w:lang w:val="en-IN" w:eastAsia="en-IN"/>
              </w:rPr>
              <w:fldChar w:fldCharType="end"/>
            </w:r>
          </w:p>
        </w:tc>
      </w:tr>
      <w:tr w:rsidR="000F1B85" w:rsidRPr="00A51555" w14:paraId="2029D357" w14:textId="77777777" w:rsidTr="00921113">
        <w:trPr>
          <w:trHeight w:val="700"/>
          <w:jc w:val="center"/>
        </w:trPr>
        <w:tc>
          <w:tcPr>
            <w:tcW w:w="709" w:type="dxa"/>
            <w:vAlign w:val="center"/>
          </w:tcPr>
          <w:p w14:paraId="072DB237" w14:textId="77777777" w:rsidR="00F73033" w:rsidRPr="00A51555" w:rsidRDefault="00F73033" w:rsidP="00E207BA">
            <w:pPr>
              <w:jc w:val="center"/>
              <w:rPr>
                <w:rFonts w:asciiTheme="minorHAnsi" w:hAnsiTheme="minorHAnsi" w:cstheme="minorHAnsi"/>
                <w:kern w:val="24"/>
                <w:sz w:val="22"/>
                <w:szCs w:val="22"/>
                <w:lang w:val="en-IN" w:eastAsia="en-IN"/>
              </w:rPr>
            </w:pPr>
            <w:r w:rsidRPr="00A51555">
              <w:rPr>
                <w:rFonts w:asciiTheme="minorHAnsi" w:hAnsiTheme="minorHAnsi" w:cstheme="minorHAnsi"/>
                <w:kern w:val="24"/>
                <w:sz w:val="22"/>
                <w:szCs w:val="22"/>
                <w:lang w:val="en-IN" w:eastAsia="en-IN"/>
              </w:rPr>
              <w:t>11</w:t>
            </w:r>
          </w:p>
        </w:tc>
        <w:tc>
          <w:tcPr>
            <w:tcW w:w="2121" w:type="dxa"/>
            <w:vAlign w:val="center"/>
          </w:tcPr>
          <w:p w14:paraId="7F1AA199" w14:textId="77777777" w:rsidR="00F73033" w:rsidRPr="00A51555" w:rsidRDefault="00F73033" w:rsidP="00E207BA">
            <w:pPr>
              <w:jc w:val="center"/>
              <w:rPr>
                <w:rFonts w:asciiTheme="minorHAnsi" w:hAnsiTheme="minorHAnsi" w:cstheme="minorHAnsi"/>
                <w:kern w:val="24"/>
                <w:sz w:val="22"/>
                <w:szCs w:val="22"/>
                <w:lang w:val="en-IN" w:eastAsia="en-IN"/>
              </w:rPr>
            </w:pPr>
            <w:r w:rsidRPr="00A51555">
              <w:rPr>
                <w:rFonts w:asciiTheme="minorHAnsi" w:hAnsiTheme="minorHAnsi" w:cstheme="minorHAnsi"/>
                <w:kern w:val="24"/>
                <w:sz w:val="22"/>
                <w:szCs w:val="22"/>
                <w:lang w:val="en-IN" w:eastAsia="en-IN"/>
              </w:rPr>
              <w:t>MedGenome Labs Pvt Ltd, India</w:t>
            </w:r>
          </w:p>
        </w:tc>
        <w:tc>
          <w:tcPr>
            <w:tcW w:w="1560" w:type="dxa"/>
            <w:vAlign w:val="center"/>
          </w:tcPr>
          <w:p w14:paraId="3BB65E92" w14:textId="27DC7CE9" w:rsidR="00F73033"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7%</w:t>
            </w:r>
          </w:p>
        </w:tc>
        <w:tc>
          <w:tcPr>
            <w:tcW w:w="1559" w:type="dxa"/>
            <w:vAlign w:val="center"/>
          </w:tcPr>
          <w:p w14:paraId="50B8181A" w14:textId="77588A5F" w:rsidR="00F73033"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2%</w:t>
            </w:r>
          </w:p>
        </w:tc>
        <w:tc>
          <w:tcPr>
            <w:tcW w:w="1559" w:type="dxa"/>
            <w:vAlign w:val="center"/>
          </w:tcPr>
          <w:p w14:paraId="5E56E7C5" w14:textId="36486FFC" w:rsidR="00F73033"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10%</w:t>
            </w:r>
          </w:p>
        </w:tc>
        <w:tc>
          <w:tcPr>
            <w:tcW w:w="1559" w:type="dxa"/>
            <w:vAlign w:val="center"/>
          </w:tcPr>
          <w:p w14:paraId="47065D83" w14:textId="508C6D42" w:rsidR="00F73033"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6%</w:t>
            </w:r>
          </w:p>
        </w:tc>
        <w:tc>
          <w:tcPr>
            <w:tcW w:w="1701" w:type="dxa"/>
            <w:vAlign w:val="center"/>
          </w:tcPr>
          <w:p w14:paraId="226F3AA7" w14:textId="46EA443C" w:rsidR="00F73033" w:rsidRPr="00A51555" w:rsidRDefault="000F1B85" w:rsidP="00E207BA">
            <w:pPr>
              <w:jc w:val="center"/>
              <w:rPr>
                <w:rFonts w:asciiTheme="minorHAnsi" w:hAnsiTheme="minorHAnsi" w:cstheme="minorHAnsi"/>
                <w:i/>
                <w:iCs/>
                <w:kern w:val="24"/>
                <w:sz w:val="16"/>
                <w:szCs w:val="16"/>
                <w:lang w:val="en-IN" w:eastAsia="en-IN"/>
              </w:rPr>
            </w:pPr>
            <w:r>
              <w:rPr>
                <w:rFonts w:asciiTheme="minorHAnsi" w:hAnsiTheme="minorHAnsi" w:cstheme="minorHAnsi"/>
                <w:i/>
                <w:iCs/>
                <w:kern w:val="24"/>
                <w:sz w:val="16"/>
                <w:szCs w:val="16"/>
                <w:lang w:val="en-IN" w:eastAsia="en-IN"/>
              </w:rPr>
              <w:t>*</w:t>
            </w:r>
          </w:p>
        </w:tc>
      </w:tr>
      <w:tr w:rsidR="000F1B85" w:rsidRPr="00A51555" w14:paraId="7504D7BB" w14:textId="77777777" w:rsidTr="00921113">
        <w:trPr>
          <w:trHeight w:val="412"/>
          <w:jc w:val="center"/>
        </w:trPr>
        <w:tc>
          <w:tcPr>
            <w:tcW w:w="709" w:type="dxa"/>
            <w:vAlign w:val="center"/>
          </w:tcPr>
          <w:p w14:paraId="110DFC39" w14:textId="77777777" w:rsidR="00F73033" w:rsidRPr="00A51555" w:rsidRDefault="00F73033" w:rsidP="00E207BA">
            <w:pPr>
              <w:jc w:val="center"/>
              <w:rPr>
                <w:rFonts w:asciiTheme="minorHAnsi" w:hAnsiTheme="minorHAnsi" w:cstheme="minorHAnsi"/>
                <w:kern w:val="24"/>
                <w:sz w:val="22"/>
                <w:szCs w:val="22"/>
                <w:lang w:val="en-IN" w:eastAsia="en-IN"/>
              </w:rPr>
            </w:pPr>
            <w:r w:rsidRPr="00A51555">
              <w:rPr>
                <w:rFonts w:asciiTheme="minorHAnsi" w:hAnsiTheme="minorHAnsi" w:cstheme="minorHAnsi"/>
                <w:kern w:val="24"/>
                <w:sz w:val="22"/>
                <w:szCs w:val="22"/>
                <w:lang w:val="en-IN" w:eastAsia="en-IN"/>
              </w:rPr>
              <w:t>12</w:t>
            </w:r>
          </w:p>
        </w:tc>
        <w:tc>
          <w:tcPr>
            <w:tcW w:w="2121" w:type="dxa"/>
            <w:vAlign w:val="center"/>
          </w:tcPr>
          <w:p w14:paraId="6091DA24" w14:textId="77777777" w:rsidR="00F73033" w:rsidRPr="00A51555" w:rsidRDefault="00F73033" w:rsidP="00E207BA">
            <w:pPr>
              <w:jc w:val="center"/>
              <w:rPr>
                <w:rFonts w:asciiTheme="minorHAnsi" w:hAnsiTheme="minorHAnsi" w:cstheme="minorHAnsi"/>
                <w:kern w:val="24"/>
                <w:sz w:val="22"/>
                <w:szCs w:val="22"/>
                <w:lang w:val="en-IN" w:eastAsia="en-IN"/>
              </w:rPr>
            </w:pPr>
            <w:r w:rsidRPr="00A51555">
              <w:rPr>
                <w:rFonts w:asciiTheme="minorHAnsi" w:hAnsiTheme="minorHAnsi" w:cstheme="minorHAnsi"/>
                <w:kern w:val="24"/>
                <w:sz w:val="22"/>
                <w:szCs w:val="22"/>
                <w:lang w:val="en-IN" w:eastAsia="en-IN"/>
              </w:rPr>
              <w:t>NIBMG, India</w:t>
            </w:r>
          </w:p>
        </w:tc>
        <w:tc>
          <w:tcPr>
            <w:tcW w:w="1560" w:type="dxa"/>
            <w:vAlign w:val="center"/>
          </w:tcPr>
          <w:p w14:paraId="566A8333" w14:textId="66491E0B" w:rsidR="00F73033"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6%</w:t>
            </w:r>
          </w:p>
        </w:tc>
        <w:tc>
          <w:tcPr>
            <w:tcW w:w="1559" w:type="dxa"/>
            <w:vAlign w:val="center"/>
          </w:tcPr>
          <w:p w14:paraId="718FD114" w14:textId="47FB3950" w:rsidR="00F73033"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2%</w:t>
            </w:r>
          </w:p>
        </w:tc>
        <w:tc>
          <w:tcPr>
            <w:tcW w:w="1559" w:type="dxa"/>
            <w:vAlign w:val="center"/>
          </w:tcPr>
          <w:p w14:paraId="4F38197D" w14:textId="26B59572" w:rsidR="00F73033"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9%</w:t>
            </w:r>
          </w:p>
        </w:tc>
        <w:tc>
          <w:tcPr>
            <w:tcW w:w="1559" w:type="dxa"/>
            <w:vAlign w:val="center"/>
          </w:tcPr>
          <w:p w14:paraId="3636A1B5" w14:textId="032ED45F" w:rsidR="00F73033"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6%</w:t>
            </w:r>
          </w:p>
        </w:tc>
        <w:tc>
          <w:tcPr>
            <w:tcW w:w="1701" w:type="dxa"/>
            <w:vAlign w:val="center"/>
          </w:tcPr>
          <w:p w14:paraId="6CD65196" w14:textId="24488C3D" w:rsidR="00F73033" w:rsidRPr="00A51555" w:rsidRDefault="000F1B85" w:rsidP="00E207BA">
            <w:pPr>
              <w:jc w:val="center"/>
              <w:rPr>
                <w:rFonts w:asciiTheme="minorHAnsi" w:hAnsiTheme="minorHAnsi" w:cstheme="minorHAnsi"/>
                <w:i/>
                <w:iCs/>
                <w:kern w:val="24"/>
                <w:sz w:val="16"/>
                <w:szCs w:val="16"/>
                <w:lang w:val="en-IN" w:eastAsia="en-IN"/>
              </w:rPr>
            </w:pPr>
            <w:r>
              <w:rPr>
                <w:rFonts w:asciiTheme="minorHAnsi" w:hAnsiTheme="minorHAnsi" w:cstheme="minorHAnsi"/>
                <w:i/>
                <w:iCs/>
                <w:kern w:val="24"/>
                <w:sz w:val="16"/>
                <w:szCs w:val="16"/>
                <w:lang w:val="en-IN" w:eastAsia="en-IN"/>
              </w:rPr>
              <w:t>*</w:t>
            </w:r>
          </w:p>
        </w:tc>
      </w:tr>
      <w:tr w:rsidR="000F1B85" w:rsidRPr="00A51555" w14:paraId="0F94BC1A" w14:textId="77777777" w:rsidTr="00921113">
        <w:trPr>
          <w:trHeight w:val="561"/>
          <w:jc w:val="center"/>
        </w:trPr>
        <w:tc>
          <w:tcPr>
            <w:tcW w:w="709" w:type="dxa"/>
            <w:vAlign w:val="center"/>
          </w:tcPr>
          <w:p w14:paraId="65DEDC48" w14:textId="77777777" w:rsidR="00F73033" w:rsidRPr="00A51555" w:rsidRDefault="00F73033" w:rsidP="00E207BA">
            <w:pPr>
              <w:jc w:val="center"/>
              <w:rPr>
                <w:rFonts w:asciiTheme="minorHAnsi" w:hAnsiTheme="minorHAnsi" w:cstheme="minorHAnsi"/>
                <w:kern w:val="24"/>
                <w:sz w:val="22"/>
                <w:szCs w:val="22"/>
                <w:lang w:val="en-IN" w:eastAsia="en-IN"/>
              </w:rPr>
            </w:pPr>
            <w:r w:rsidRPr="00A51555">
              <w:rPr>
                <w:rFonts w:asciiTheme="minorHAnsi" w:hAnsiTheme="minorHAnsi" w:cstheme="minorHAnsi"/>
                <w:kern w:val="24"/>
                <w:sz w:val="22"/>
                <w:szCs w:val="22"/>
                <w:lang w:val="en-IN" w:eastAsia="en-IN"/>
              </w:rPr>
              <w:t>13</w:t>
            </w:r>
          </w:p>
        </w:tc>
        <w:tc>
          <w:tcPr>
            <w:tcW w:w="2121" w:type="dxa"/>
            <w:vAlign w:val="center"/>
          </w:tcPr>
          <w:p w14:paraId="31B599BD" w14:textId="77777777" w:rsidR="00F73033" w:rsidRPr="00A51555" w:rsidRDefault="00F73033" w:rsidP="00E207BA">
            <w:pPr>
              <w:jc w:val="center"/>
              <w:rPr>
                <w:rFonts w:asciiTheme="minorHAnsi" w:hAnsiTheme="minorHAnsi" w:cstheme="minorHAnsi"/>
                <w:kern w:val="24"/>
                <w:sz w:val="22"/>
                <w:szCs w:val="22"/>
                <w:lang w:val="en-IN" w:eastAsia="en-IN"/>
              </w:rPr>
            </w:pPr>
            <w:r w:rsidRPr="00A51555">
              <w:rPr>
                <w:rFonts w:asciiTheme="minorHAnsi" w:hAnsiTheme="minorHAnsi" w:cstheme="minorHAnsi"/>
                <w:kern w:val="24"/>
                <w:sz w:val="22"/>
                <w:szCs w:val="22"/>
                <w:lang w:val="en-IN" w:eastAsia="en-IN"/>
              </w:rPr>
              <w:t>Present study (133)</w:t>
            </w:r>
          </w:p>
        </w:tc>
        <w:tc>
          <w:tcPr>
            <w:tcW w:w="1560" w:type="dxa"/>
            <w:vAlign w:val="center"/>
          </w:tcPr>
          <w:p w14:paraId="1ED7AA80" w14:textId="2EDB43D3" w:rsidR="00F73033"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7%</w:t>
            </w:r>
          </w:p>
        </w:tc>
        <w:tc>
          <w:tcPr>
            <w:tcW w:w="1559" w:type="dxa"/>
            <w:vAlign w:val="center"/>
          </w:tcPr>
          <w:p w14:paraId="70E5C7B6" w14:textId="37159BBA" w:rsidR="00F73033"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2%</w:t>
            </w:r>
          </w:p>
        </w:tc>
        <w:tc>
          <w:tcPr>
            <w:tcW w:w="1559" w:type="dxa"/>
            <w:vAlign w:val="center"/>
          </w:tcPr>
          <w:p w14:paraId="52B4A4E0" w14:textId="62CB6BEA" w:rsidR="00F73033"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10%</w:t>
            </w:r>
          </w:p>
        </w:tc>
        <w:tc>
          <w:tcPr>
            <w:tcW w:w="1559" w:type="dxa"/>
            <w:vAlign w:val="center"/>
          </w:tcPr>
          <w:p w14:paraId="7725FDF0" w14:textId="2CD0BDF6" w:rsidR="00F73033" w:rsidRPr="00A51555" w:rsidRDefault="006E2B1C" w:rsidP="00E207BA">
            <w:pPr>
              <w:jc w:val="center"/>
              <w:rPr>
                <w:rFonts w:asciiTheme="minorHAnsi" w:hAnsiTheme="minorHAnsi" w:cstheme="minorHAnsi"/>
                <w:kern w:val="24"/>
                <w:sz w:val="22"/>
                <w:szCs w:val="22"/>
                <w:lang w:val="en-IN" w:eastAsia="en-IN"/>
              </w:rPr>
            </w:pPr>
            <w:r>
              <w:rPr>
                <w:rFonts w:asciiTheme="minorHAnsi" w:hAnsiTheme="minorHAnsi" w:cstheme="minorHAnsi"/>
                <w:kern w:val="24"/>
                <w:sz w:val="22"/>
                <w:szCs w:val="22"/>
                <w:lang w:val="en-IN" w:eastAsia="en-IN"/>
              </w:rPr>
              <w:t>7%</w:t>
            </w:r>
          </w:p>
        </w:tc>
        <w:tc>
          <w:tcPr>
            <w:tcW w:w="1701" w:type="dxa"/>
            <w:vAlign w:val="center"/>
          </w:tcPr>
          <w:p w14:paraId="26F35F40" w14:textId="77777777" w:rsidR="000F1B85" w:rsidRPr="000F1B85" w:rsidRDefault="00F73033" w:rsidP="00E207BA">
            <w:pPr>
              <w:jc w:val="center"/>
              <w:rPr>
                <w:rFonts w:asciiTheme="minorHAnsi" w:hAnsiTheme="minorHAnsi" w:cstheme="minorHAnsi"/>
                <w:i/>
                <w:iCs/>
                <w:kern w:val="24"/>
                <w:sz w:val="18"/>
                <w:szCs w:val="18"/>
                <w:lang w:val="en-IN" w:eastAsia="en-IN"/>
              </w:rPr>
            </w:pPr>
            <w:r w:rsidRPr="000F1B85">
              <w:rPr>
                <w:rFonts w:asciiTheme="minorHAnsi" w:hAnsiTheme="minorHAnsi" w:cstheme="minorHAnsi"/>
                <w:i/>
                <w:iCs/>
                <w:kern w:val="24"/>
                <w:sz w:val="18"/>
                <w:szCs w:val="18"/>
                <w:lang w:val="en-IN" w:eastAsia="en-IN"/>
              </w:rPr>
              <w:t xml:space="preserve">Present study </w:t>
            </w:r>
          </w:p>
          <w:p w14:paraId="1A7181FE" w14:textId="7D46FA0A" w:rsidR="00F73033" w:rsidRPr="00A51555" w:rsidRDefault="00F73033" w:rsidP="00E207BA">
            <w:pPr>
              <w:jc w:val="center"/>
              <w:rPr>
                <w:rFonts w:asciiTheme="minorHAnsi" w:hAnsiTheme="minorHAnsi" w:cstheme="minorHAnsi"/>
                <w:i/>
                <w:iCs/>
                <w:kern w:val="24"/>
                <w:sz w:val="16"/>
                <w:szCs w:val="16"/>
                <w:lang w:val="en-IN" w:eastAsia="en-IN"/>
              </w:rPr>
            </w:pPr>
            <w:r w:rsidRPr="000F1B85">
              <w:rPr>
                <w:rFonts w:asciiTheme="minorHAnsi" w:hAnsiTheme="minorHAnsi" w:cstheme="minorHAnsi"/>
                <w:i/>
                <w:iCs/>
                <w:kern w:val="24"/>
                <w:sz w:val="18"/>
                <w:szCs w:val="18"/>
                <w:lang w:val="en-IN" w:eastAsia="en-IN"/>
              </w:rPr>
              <w:t>(Cohort-2)</w:t>
            </w:r>
          </w:p>
        </w:tc>
      </w:tr>
    </w:tbl>
    <w:p w14:paraId="4CC034E4" w14:textId="5BED3C20" w:rsidR="00A51555" w:rsidRDefault="00F73033" w:rsidP="00F73033">
      <w:pPr>
        <w:spacing w:after="160" w:line="259" w:lineRule="auto"/>
        <w:jc w:val="both"/>
        <w:rPr>
          <w:rFonts w:asciiTheme="minorHAnsi" w:hAnsiTheme="minorHAnsi" w:cstheme="minorHAnsi"/>
        </w:rPr>
      </w:pPr>
      <w:r w:rsidRPr="00F73033">
        <w:rPr>
          <w:rFonts w:asciiTheme="minorHAnsi" w:hAnsiTheme="minorHAnsi" w:cstheme="minorHAnsi"/>
        </w:rPr>
        <w:t>*- Variant allelic frequency in Indian Population provided by Dr. Partha Majumdar (NIBMG,</w:t>
      </w:r>
      <w:r>
        <w:rPr>
          <w:rFonts w:asciiTheme="minorHAnsi" w:hAnsiTheme="minorHAnsi" w:cstheme="minorHAnsi"/>
        </w:rPr>
        <w:t xml:space="preserve"> </w:t>
      </w:r>
      <w:r w:rsidRPr="00F73033">
        <w:rPr>
          <w:rFonts w:asciiTheme="minorHAnsi" w:hAnsiTheme="minorHAnsi" w:cstheme="minorHAnsi"/>
        </w:rPr>
        <w:t>Kalyani) and Dr. Ram Prasad (MedGenome Laboratories, Bengaluru)- Personal communication.</w:t>
      </w:r>
    </w:p>
    <w:p w14:paraId="37287942" w14:textId="26C0A674" w:rsidR="00F265B8" w:rsidRDefault="00F265B8" w:rsidP="00F73033">
      <w:pPr>
        <w:spacing w:after="160" w:line="259" w:lineRule="auto"/>
        <w:jc w:val="both"/>
        <w:rPr>
          <w:rFonts w:asciiTheme="minorHAnsi" w:hAnsiTheme="minorHAnsi" w:cstheme="minorHAnsi"/>
        </w:rPr>
      </w:pPr>
    </w:p>
    <w:p w14:paraId="1C7A42D2" w14:textId="77777777" w:rsidR="00A51555" w:rsidRDefault="00A51555" w:rsidP="00C94139">
      <w:pPr>
        <w:spacing w:after="160" w:line="259" w:lineRule="auto"/>
        <w:rPr>
          <w:rFonts w:asciiTheme="minorHAnsi" w:hAnsiTheme="minorHAnsi" w:cstheme="minorHAnsi"/>
          <w:b/>
          <w:bCs/>
        </w:rPr>
      </w:pPr>
    </w:p>
    <w:p w14:paraId="51DA49B3" w14:textId="77777777" w:rsidR="00C94139" w:rsidRDefault="00C94139" w:rsidP="00C94139">
      <w:pPr>
        <w:rPr>
          <w:rFonts w:asciiTheme="minorHAnsi" w:hAnsiTheme="minorHAnsi" w:cstheme="minorHAnsi"/>
          <w:b/>
          <w:bCs/>
        </w:rPr>
      </w:pPr>
    </w:p>
    <w:p w14:paraId="31B7503A" w14:textId="77777777" w:rsidR="00F265B8" w:rsidRDefault="00F265B8" w:rsidP="00C94139">
      <w:pPr>
        <w:spacing w:after="160" w:line="259" w:lineRule="auto"/>
        <w:rPr>
          <w:rFonts w:asciiTheme="minorHAnsi" w:hAnsiTheme="minorHAnsi" w:cstheme="minorHAnsi"/>
          <w:sz w:val="22"/>
          <w:szCs w:val="22"/>
        </w:rPr>
      </w:pPr>
    </w:p>
    <w:p w14:paraId="2B021E8E" w14:textId="5387967A" w:rsidR="006D11F3" w:rsidRDefault="006D11F3"/>
    <w:p w14:paraId="13A4A542" w14:textId="2E648DC6" w:rsidR="00C94139" w:rsidRDefault="00C94139"/>
    <w:p w14:paraId="629FB2A1" w14:textId="2394B231" w:rsidR="00C94139" w:rsidRDefault="00C94139"/>
    <w:p w14:paraId="45697119" w14:textId="77777777" w:rsidR="00921113" w:rsidRDefault="00921113" w:rsidP="00C94139">
      <w:pPr>
        <w:spacing w:after="160" w:line="259" w:lineRule="auto"/>
        <w:rPr>
          <w:rFonts w:asciiTheme="minorHAnsi" w:hAnsiTheme="minorHAnsi" w:cstheme="minorHAnsi"/>
          <w:b/>
          <w:bCs/>
        </w:rPr>
      </w:pPr>
    </w:p>
    <w:p w14:paraId="0E17FF3F" w14:textId="77777777" w:rsidR="00921113" w:rsidRDefault="00921113" w:rsidP="00C94139">
      <w:pPr>
        <w:spacing w:after="160" w:line="259" w:lineRule="auto"/>
        <w:rPr>
          <w:rFonts w:asciiTheme="minorHAnsi" w:hAnsiTheme="minorHAnsi" w:cstheme="minorHAnsi"/>
          <w:b/>
          <w:bCs/>
        </w:rPr>
      </w:pPr>
    </w:p>
    <w:p w14:paraId="44BA8AE8" w14:textId="77777777" w:rsidR="00921113" w:rsidRDefault="00921113" w:rsidP="00C94139">
      <w:pPr>
        <w:spacing w:after="160" w:line="259" w:lineRule="auto"/>
        <w:rPr>
          <w:rFonts w:asciiTheme="minorHAnsi" w:hAnsiTheme="minorHAnsi" w:cstheme="minorHAnsi"/>
          <w:b/>
          <w:bCs/>
        </w:rPr>
      </w:pPr>
    </w:p>
    <w:p w14:paraId="2F6F8ADA" w14:textId="77777777" w:rsidR="00921113" w:rsidRDefault="00921113" w:rsidP="00C94139">
      <w:pPr>
        <w:spacing w:after="160" w:line="259" w:lineRule="auto"/>
        <w:rPr>
          <w:rFonts w:asciiTheme="minorHAnsi" w:hAnsiTheme="minorHAnsi" w:cstheme="minorHAnsi"/>
          <w:b/>
          <w:bCs/>
        </w:rPr>
      </w:pPr>
    </w:p>
    <w:p w14:paraId="4718F4FB" w14:textId="77777777" w:rsidR="00921113" w:rsidRDefault="00921113" w:rsidP="00C94139">
      <w:pPr>
        <w:spacing w:after="160" w:line="259" w:lineRule="auto"/>
        <w:rPr>
          <w:rFonts w:asciiTheme="minorHAnsi" w:hAnsiTheme="minorHAnsi" w:cstheme="minorHAnsi"/>
          <w:b/>
          <w:bCs/>
        </w:rPr>
      </w:pPr>
    </w:p>
    <w:p w14:paraId="4375561D" w14:textId="77777777" w:rsidR="00921113" w:rsidRDefault="00921113" w:rsidP="00C94139">
      <w:pPr>
        <w:spacing w:after="160" w:line="259" w:lineRule="auto"/>
        <w:rPr>
          <w:rFonts w:asciiTheme="minorHAnsi" w:hAnsiTheme="minorHAnsi" w:cstheme="minorHAnsi"/>
          <w:b/>
          <w:bCs/>
        </w:rPr>
      </w:pPr>
    </w:p>
    <w:p w14:paraId="3D767ACB" w14:textId="77777777" w:rsidR="00921113" w:rsidRDefault="00921113" w:rsidP="00C94139">
      <w:pPr>
        <w:spacing w:after="160" w:line="259" w:lineRule="auto"/>
        <w:rPr>
          <w:rFonts w:asciiTheme="minorHAnsi" w:hAnsiTheme="minorHAnsi" w:cstheme="minorHAnsi"/>
          <w:b/>
          <w:bCs/>
        </w:rPr>
      </w:pPr>
    </w:p>
    <w:p w14:paraId="726A1C99" w14:textId="0775637E" w:rsidR="00C94139" w:rsidRDefault="00C94139" w:rsidP="00C94139">
      <w:pPr>
        <w:spacing w:after="160" w:line="259" w:lineRule="auto"/>
        <w:rPr>
          <w:rFonts w:asciiTheme="minorHAnsi" w:hAnsiTheme="minorHAnsi" w:cstheme="minorHAnsi"/>
          <w:b/>
          <w:bCs/>
        </w:rPr>
      </w:pPr>
      <w:r w:rsidRPr="0033461C">
        <w:rPr>
          <w:rFonts w:asciiTheme="minorHAnsi" w:hAnsiTheme="minorHAnsi" w:cstheme="minorHAnsi"/>
          <w:b/>
          <w:bCs/>
        </w:rPr>
        <w:lastRenderedPageBreak/>
        <w:t xml:space="preserve">Figure </w:t>
      </w:r>
      <w:r>
        <w:rPr>
          <w:rFonts w:asciiTheme="minorHAnsi" w:hAnsiTheme="minorHAnsi" w:cstheme="minorHAnsi"/>
          <w:b/>
          <w:bCs/>
        </w:rPr>
        <w:t>S1:</w:t>
      </w:r>
      <w:r w:rsidRPr="0033461C">
        <w:rPr>
          <w:rFonts w:asciiTheme="minorHAnsi" w:hAnsiTheme="minorHAnsi" w:cstheme="minorHAnsi"/>
          <w:b/>
          <w:bCs/>
        </w:rPr>
        <w:t xml:space="preserve"> Associations between</w:t>
      </w:r>
      <w:r>
        <w:rPr>
          <w:rFonts w:asciiTheme="minorHAnsi" w:hAnsiTheme="minorHAnsi" w:cstheme="minorHAnsi"/>
          <w:b/>
          <w:bCs/>
        </w:rPr>
        <w:t xml:space="preserve"> Myelotoxicity and </w:t>
      </w:r>
      <w:r w:rsidRPr="008376CD">
        <w:rPr>
          <w:rFonts w:asciiTheme="minorHAnsi" w:hAnsiTheme="minorHAnsi" w:cstheme="minorHAnsi"/>
          <w:b/>
          <w:bCs/>
          <w:i/>
          <w:iCs/>
        </w:rPr>
        <w:t>TPMT</w:t>
      </w:r>
      <w:r>
        <w:rPr>
          <w:rFonts w:asciiTheme="minorHAnsi" w:hAnsiTheme="minorHAnsi" w:cstheme="minorHAnsi"/>
          <w:b/>
          <w:bCs/>
        </w:rPr>
        <w:t xml:space="preserve">*3C (A), </w:t>
      </w:r>
      <w:r w:rsidRPr="008376CD">
        <w:rPr>
          <w:rFonts w:asciiTheme="minorHAnsi" w:hAnsiTheme="minorHAnsi" w:cstheme="minorHAnsi"/>
          <w:b/>
          <w:bCs/>
          <w:i/>
          <w:iCs/>
        </w:rPr>
        <w:t>ITPA</w:t>
      </w:r>
      <w:r>
        <w:rPr>
          <w:rFonts w:asciiTheme="minorHAnsi" w:hAnsiTheme="minorHAnsi" w:cstheme="minorHAnsi"/>
          <w:b/>
          <w:bCs/>
        </w:rPr>
        <w:t xml:space="preserve"> </w:t>
      </w:r>
      <w:r w:rsidR="00401CA4" w:rsidRPr="00401CA4">
        <w:rPr>
          <w:rFonts w:asciiTheme="minorHAnsi" w:hAnsiTheme="minorHAnsi" w:cstheme="minorHAnsi"/>
          <w:b/>
          <w:bCs/>
        </w:rPr>
        <w:t>94C &gt; A</w:t>
      </w:r>
      <w:r w:rsidR="00401CA4">
        <w:rPr>
          <w:rFonts w:asciiTheme="minorHAnsi" w:hAnsiTheme="minorHAnsi" w:cstheme="minorHAnsi"/>
          <w:b/>
          <w:bCs/>
        </w:rPr>
        <w:t xml:space="preserve"> </w:t>
      </w:r>
      <w:r>
        <w:rPr>
          <w:rFonts w:asciiTheme="minorHAnsi" w:hAnsiTheme="minorHAnsi" w:cstheme="minorHAnsi"/>
          <w:b/>
          <w:bCs/>
        </w:rPr>
        <w:t xml:space="preserve">(B) polymorphisms </w:t>
      </w:r>
    </w:p>
    <w:p w14:paraId="52E07454" w14:textId="77777777" w:rsidR="00C94139" w:rsidRDefault="00C94139" w:rsidP="00C94139">
      <w:pPr>
        <w:spacing w:after="160" w:line="259" w:lineRule="auto"/>
        <w:rPr>
          <w:rFonts w:asciiTheme="minorHAnsi" w:hAnsiTheme="minorHAnsi" w:cstheme="minorHAnsi"/>
          <w:b/>
          <w:bCs/>
        </w:rPr>
      </w:pPr>
    </w:p>
    <w:p w14:paraId="6BD806C0" w14:textId="77777777" w:rsidR="00C94139" w:rsidRDefault="00C94139" w:rsidP="00C94139">
      <w:pPr>
        <w:spacing w:after="160" w:line="259" w:lineRule="auto"/>
        <w:jc w:val="center"/>
        <w:rPr>
          <w:rFonts w:asciiTheme="minorHAnsi" w:hAnsiTheme="minorHAnsi" w:cstheme="minorHAnsi"/>
          <w:b/>
          <w:bCs/>
        </w:rPr>
      </w:pPr>
      <w:r>
        <w:rPr>
          <w:rFonts w:asciiTheme="minorHAnsi" w:hAnsiTheme="minorHAnsi" w:cstheme="minorHAnsi"/>
          <w:b/>
          <w:bCs/>
          <w:noProof/>
        </w:rPr>
        <w:drawing>
          <wp:inline distT="0" distB="0" distL="0" distR="0" wp14:anchorId="71BE4529" wp14:editId="2B70356D">
            <wp:extent cx="5048250" cy="1928578"/>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61244" cy="1933542"/>
                    </a:xfrm>
                    <a:prstGeom prst="rect">
                      <a:avLst/>
                    </a:prstGeom>
                    <a:noFill/>
                  </pic:spPr>
                </pic:pic>
              </a:graphicData>
            </a:graphic>
          </wp:inline>
        </w:drawing>
      </w:r>
    </w:p>
    <w:p w14:paraId="5987E69D" w14:textId="6C21EDCF" w:rsidR="00C94139" w:rsidRDefault="00C94139" w:rsidP="00C94139">
      <w:pPr>
        <w:spacing w:after="160" w:line="259" w:lineRule="auto"/>
        <w:jc w:val="center"/>
        <w:rPr>
          <w:rFonts w:asciiTheme="minorHAnsi" w:hAnsiTheme="minorHAnsi" w:cstheme="minorHAnsi"/>
          <w:b/>
          <w:bCs/>
        </w:rPr>
      </w:pPr>
    </w:p>
    <w:p w14:paraId="6CACFCAE" w14:textId="4366A15D" w:rsidR="00C94139" w:rsidRDefault="00C94139" w:rsidP="00C94139">
      <w:pPr>
        <w:spacing w:after="160" w:line="259" w:lineRule="auto"/>
        <w:jc w:val="center"/>
        <w:rPr>
          <w:rFonts w:asciiTheme="minorHAnsi" w:hAnsiTheme="minorHAnsi" w:cstheme="minorHAnsi"/>
          <w:b/>
          <w:bCs/>
        </w:rPr>
      </w:pPr>
    </w:p>
    <w:p w14:paraId="534933E4" w14:textId="3A589A21" w:rsidR="00C94139" w:rsidRDefault="00C94139" w:rsidP="00C94139">
      <w:pPr>
        <w:spacing w:after="160" w:line="259" w:lineRule="auto"/>
        <w:jc w:val="center"/>
        <w:rPr>
          <w:rFonts w:asciiTheme="minorHAnsi" w:hAnsiTheme="minorHAnsi" w:cstheme="minorHAnsi"/>
          <w:b/>
          <w:bCs/>
        </w:rPr>
      </w:pPr>
    </w:p>
    <w:p w14:paraId="741DB7D5" w14:textId="33224A09" w:rsidR="00C94139" w:rsidRDefault="00C94139" w:rsidP="00C94139">
      <w:pPr>
        <w:spacing w:after="160" w:line="259" w:lineRule="auto"/>
        <w:jc w:val="center"/>
        <w:rPr>
          <w:rFonts w:asciiTheme="minorHAnsi" w:hAnsiTheme="minorHAnsi" w:cstheme="minorHAnsi"/>
          <w:b/>
          <w:bCs/>
        </w:rPr>
      </w:pPr>
    </w:p>
    <w:p w14:paraId="457F0539" w14:textId="77777777" w:rsidR="00C94139" w:rsidRDefault="00C94139" w:rsidP="00C94139">
      <w:pPr>
        <w:spacing w:after="160" w:line="259" w:lineRule="auto"/>
        <w:jc w:val="center"/>
        <w:rPr>
          <w:rFonts w:asciiTheme="minorHAnsi" w:hAnsiTheme="minorHAnsi" w:cstheme="minorHAnsi"/>
          <w:b/>
          <w:bCs/>
        </w:rPr>
      </w:pPr>
    </w:p>
    <w:p w14:paraId="4DA70068" w14:textId="34F84043" w:rsidR="00C94139" w:rsidRDefault="00C94139" w:rsidP="00C94139">
      <w:pPr>
        <w:spacing w:after="160" w:line="259" w:lineRule="auto"/>
        <w:rPr>
          <w:rFonts w:asciiTheme="minorHAnsi" w:hAnsiTheme="minorHAnsi" w:cstheme="minorHAnsi"/>
          <w:b/>
          <w:bCs/>
        </w:rPr>
      </w:pPr>
      <w:r w:rsidRPr="0033461C">
        <w:rPr>
          <w:rFonts w:asciiTheme="minorHAnsi" w:hAnsiTheme="minorHAnsi" w:cstheme="minorHAnsi"/>
          <w:b/>
          <w:bCs/>
        </w:rPr>
        <w:t xml:space="preserve">Figure </w:t>
      </w:r>
      <w:r>
        <w:rPr>
          <w:rFonts w:asciiTheme="minorHAnsi" w:hAnsiTheme="minorHAnsi" w:cstheme="minorHAnsi"/>
          <w:b/>
          <w:bCs/>
        </w:rPr>
        <w:t>S2:</w:t>
      </w:r>
      <w:r w:rsidRPr="0033461C">
        <w:rPr>
          <w:rFonts w:asciiTheme="minorHAnsi" w:hAnsiTheme="minorHAnsi" w:cstheme="minorHAnsi"/>
          <w:b/>
          <w:bCs/>
        </w:rPr>
        <w:t xml:space="preserve"> </w:t>
      </w:r>
      <w:r w:rsidRPr="00510E64">
        <w:rPr>
          <w:rFonts w:asciiTheme="minorHAnsi" w:hAnsiTheme="minorHAnsi" w:cstheme="minorHAnsi"/>
          <w:b/>
          <w:bCs/>
        </w:rPr>
        <w:t xml:space="preserve">Kaplan-Meier survival curves showing associations between </w:t>
      </w:r>
      <w:r w:rsidRPr="008376CD">
        <w:rPr>
          <w:rFonts w:asciiTheme="minorHAnsi" w:hAnsiTheme="minorHAnsi" w:cstheme="minorHAnsi"/>
          <w:b/>
          <w:bCs/>
          <w:i/>
          <w:iCs/>
        </w:rPr>
        <w:t>NUDT15</w:t>
      </w:r>
      <w:r>
        <w:rPr>
          <w:rFonts w:asciiTheme="minorHAnsi" w:hAnsiTheme="minorHAnsi" w:cstheme="minorHAnsi"/>
          <w:b/>
          <w:bCs/>
        </w:rPr>
        <w:t xml:space="preserve"> </w:t>
      </w:r>
      <w:r w:rsidRPr="004637D3">
        <w:rPr>
          <w:rFonts w:asciiTheme="minorHAnsi" w:hAnsiTheme="minorHAnsi" w:cstheme="minorHAnsi"/>
          <w:b/>
          <w:bCs/>
        </w:rPr>
        <w:t xml:space="preserve">c.415C&gt;T </w:t>
      </w:r>
      <w:r>
        <w:rPr>
          <w:rFonts w:asciiTheme="minorHAnsi" w:hAnsiTheme="minorHAnsi" w:cstheme="minorHAnsi"/>
          <w:b/>
          <w:bCs/>
        </w:rPr>
        <w:t xml:space="preserve">(A) and </w:t>
      </w:r>
      <w:r w:rsidRPr="008376CD">
        <w:rPr>
          <w:rFonts w:asciiTheme="minorHAnsi" w:hAnsiTheme="minorHAnsi" w:cstheme="minorHAnsi"/>
          <w:b/>
          <w:bCs/>
          <w:i/>
          <w:iCs/>
        </w:rPr>
        <w:t>TPMT</w:t>
      </w:r>
      <w:r>
        <w:rPr>
          <w:rFonts w:asciiTheme="minorHAnsi" w:hAnsiTheme="minorHAnsi" w:cstheme="minorHAnsi"/>
          <w:b/>
          <w:bCs/>
        </w:rPr>
        <w:t xml:space="preserve">*3C polymorphism (B) </w:t>
      </w:r>
      <w:r w:rsidRPr="00510E64">
        <w:rPr>
          <w:rFonts w:asciiTheme="minorHAnsi" w:hAnsiTheme="minorHAnsi" w:cstheme="minorHAnsi"/>
          <w:b/>
          <w:bCs/>
        </w:rPr>
        <w:t xml:space="preserve">with </w:t>
      </w:r>
      <w:r>
        <w:rPr>
          <w:rFonts w:asciiTheme="minorHAnsi" w:hAnsiTheme="minorHAnsi" w:cstheme="minorHAnsi"/>
          <w:b/>
          <w:bCs/>
        </w:rPr>
        <w:t>Relapse free survival</w:t>
      </w:r>
    </w:p>
    <w:p w14:paraId="32C61B0A" w14:textId="77777777" w:rsidR="00C94139" w:rsidRDefault="00C94139" w:rsidP="00C94139">
      <w:pPr>
        <w:spacing w:after="160" w:line="259" w:lineRule="auto"/>
        <w:rPr>
          <w:rFonts w:asciiTheme="minorHAnsi" w:hAnsiTheme="minorHAnsi" w:cstheme="minorHAnsi"/>
          <w:b/>
          <w:bCs/>
        </w:rPr>
      </w:pPr>
    </w:p>
    <w:p w14:paraId="1AC77ACA" w14:textId="77777777" w:rsidR="00C94139" w:rsidRDefault="00C94139" w:rsidP="00C94139">
      <w:pPr>
        <w:spacing w:after="160" w:line="259" w:lineRule="auto"/>
        <w:jc w:val="center"/>
        <w:rPr>
          <w:rFonts w:asciiTheme="minorHAnsi" w:hAnsiTheme="minorHAnsi" w:cstheme="minorHAnsi"/>
          <w:b/>
          <w:bCs/>
        </w:rPr>
      </w:pPr>
      <w:r>
        <w:rPr>
          <w:rFonts w:asciiTheme="minorHAnsi" w:hAnsiTheme="minorHAnsi" w:cstheme="minorHAnsi"/>
          <w:b/>
          <w:bCs/>
          <w:noProof/>
        </w:rPr>
        <w:drawing>
          <wp:inline distT="0" distB="0" distL="0" distR="0" wp14:anchorId="0ABE5012" wp14:editId="4212823A">
            <wp:extent cx="5484888" cy="2559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95584" cy="2564040"/>
                    </a:xfrm>
                    <a:prstGeom prst="rect">
                      <a:avLst/>
                    </a:prstGeom>
                    <a:noFill/>
                  </pic:spPr>
                </pic:pic>
              </a:graphicData>
            </a:graphic>
          </wp:inline>
        </w:drawing>
      </w:r>
    </w:p>
    <w:p w14:paraId="1A84C444" w14:textId="77777777" w:rsidR="00C94139" w:rsidRDefault="00C94139"/>
    <w:sectPr w:rsidR="00C941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CwMDIxMTI2NTK2MLBQ0lEKTi0uzszPAymwqAUAwO7EfSwAAAA="/>
  </w:docVars>
  <w:rsids>
    <w:rsidRoot w:val="005A3D0A"/>
    <w:rsid w:val="000F1B85"/>
    <w:rsid w:val="001F5644"/>
    <w:rsid w:val="00401CA4"/>
    <w:rsid w:val="004A328F"/>
    <w:rsid w:val="00563231"/>
    <w:rsid w:val="005A3D0A"/>
    <w:rsid w:val="00604266"/>
    <w:rsid w:val="00604D14"/>
    <w:rsid w:val="006D11F3"/>
    <w:rsid w:val="006E2B1C"/>
    <w:rsid w:val="00765A61"/>
    <w:rsid w:val="007A0FB3"/>
    <w:rsid w:val="00921113"/>
    <w:rsid w:val="00960043"/>
    <w:rsid w:val="009633F2"/>
    <w:rsid w:val="00A45CC2"/>
    <w:rsid w:val="00A51555"/>
    <w:rsid w:val="00AA2016"/>
    <w:rsid w:val="00B81B89"/>
    <w:rsid w:val="00C94139"/>
    <w:rsid w:val="00D218BB"/>
    <w:rsid w:val="00D3648F"/>
    <w:rsid w:val="00D801E5"/>
    <w:rsid w:val="00F134C2"/>
    <w:rsid w:val="00F265B8"/>
    <w:rsid w:val="00F73033"/>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1D439"/>
  <w15:chartTrackingRefBased/>
  <w15:docId w15:val="{831D749E-6856-4184-8CC0-D353B371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13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
    <w:name w:val="Grid Table 4"/>
    <w:basedOn w:val="TableNormal"/>
    <w:uiPriority w:val="49"/>
    <w:rsid w:val="00C94139"/>
    <w:pPr>
      <w:spacing w:after="0" w:line="240" w:lineRule="auto"/>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96004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7Colorful">
    <w:name w:val="Grid Table 7 Colorful"/>
    <w:basedOn w:val="TableNormal"/>
    <w:uiPriority w:val="52"/>
    <w:rsid w:val="00A5155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
    <w:name w:val="Table Grid"/>
    <w:basedOn w:val="TableNormal"/>
    <w:uiPriority w:val="39"/>
    <w:rsid w:val="00A51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4965</Words>
  <Characters>28307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Aswin Anand Pai</dc:creator>
  <cp:keywords/>
  <dc:description/>
  <cp:lastModifiedBy>aswin.anand</cp:lastModifiedBy>
  <cp:revision>4</cp:revision>
  <dcterms:created xsi:type="dcterms:W3CDTF">2021-08-17T02:14:00Z</dcterms:created>
  <dcterms:modified xsi:type="dcterms:W3CDTF">2021-08-23T11:13:00Z</dcterms:modified>
</cp:coreProperties>
</file>