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0" distR="0">
            <wp:extent cx="5274310" cy="3433445"/>
            <wp:effectExtent l="0" t="0" r="8890" b="209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Times New Roman" w:hAnsi="Times New Roman" w:cs="Times New Roman"/>
          <w:color w:val="000000"/>
        </w:rPr>
      </w:pPr>
      <w:r>
        <w:rPr>
          <w:rFonts w:ascii="Times New Roman Bold" w:hAnsi="Times New Roman Bold" w:eastAsia="TimesNewRomanPSMT" w:cs="Times New Roman Bold"/>
          <w:b/>
          <w:bCs/>
          <w:color w:val="000000"/>
          <w:kern w:val="0"/>
          <w:szCs w:val="21"/>
          <w:lang w:bidi="ar"/>
        </w:rPr>
        <w:t>Supplementary Figure S1</w:t>
      </w:r>
      <w:r>
        <w:rPr>
          <w:rFonts w:ascii="Times New Roman" w:hAnsi="Times New Roman" w:cs="Times New Roman"/>
          <w:b/>
          <w:color w:val="000000"/>
        </w:rPr>
        <w:t xml:space="preserve"> </w:t>
      </w:r>
      <w:r>
        <w:rPr>
          <w:rFonts w:ascii="Times New Roman Regular" w:hAnsi="Times New Roman Regular" w:cs="Times New Roman Regular"/>
          <w:color w:val="000000"/>
        </w:rPr>
        <w:t xml:space="preserve">Collection and isolation of urinary cells. </w:t>
      </w:r>
      <w:r>
        <w:rPr>
          <w:rFonts w:ascii="Times New Roman Regular" w:hAnsi="Times New Roman Regular" w:eastAsia="宋体" w:cs="Times New Roman Regular"/>
          <w:color w:val="000000"/>
        </w:rPr>
        <w:t>Urine (</w:t>
      </w:r>
      <w:r>
        <w:rPr>
          <w:rFonts w:ascii="Times New Roman Regular" w:hAnsi="Times New Roman Regular" w:cs="Times New Roman Regular"/>
          <w:color w:val="000000"/>
        </w:rPr>
        <w:t>50–200 ml</w:t>
      </w:r>
      <w:r>
        <w:rPr>
          <w:rFonts w:ascii="Times New Roman Regular" w:hAnsi="Times New Roman Regular" w:eastAsia="宋体" w:cs="Times New Roman Regular"/>
          <w:color w:val="000000"/>
        </w:rPr>
        <w:t>)</w:t>
      </w:r>
      <w:r>
        <w:rPr>
          <w:rFonts w:ascii="Times New Roman Regular" w:hAnsi="Times New Roman Regular" w:cs="Times New Roman Regular"/>
          <w:color w:val="000000"/>
        </w:rPr>
        <w:t xml:space="preserve"> was collected </w:t>
      </w:r>
      <w:r>
        <w:rPr>
          <w:rFonts w:ascii="Times New Roman Regular" w:hAnsi="Times New Roman Regular" w:eastAsia="宋体" w:cs="Times New Roman Regular"/>
          <w:color w:val="000000"/>
        </w:rPr>
        <w:t>in</w:t>
      </w:r>
      <w:r>
        <w:rPr>
          <w:rFonts w:ascii="Times New Roman Regular" w:hAnsi="Times New Roman Regular" w:cs="Times New Roman Regular"/>
          <w:color w:val="000000"/>
        </w:rPr>
        <w:t xml:space="preserve"> a sterile container</w:t>
      </w:r>
      <w:r>
        <w:rPr>
          <w:rFonts w:ascii="Times New Roman Regular" w:hAnsi="Times New Roman Regular" w:eastAsia="宋体" w:cs="Times New Roman Regular"/>
          <w:color w:val="000000"/>
        </w:rPr>
        <w:t xml:space="preserve">, </w:t>
      </w:r>
      <w:r>
        <w:rPr>
          <w:rFonts w:ascii="Times New Roman Regular" w:hAnsi="Times New Roman Regular" w:cs="Times New Roman Regular"/>
          <w:color w:val="000000"/>
        </w:rPr>
        <w:t xml:space="preserve">evenly transferred to 15 ml tubes and centrifuged. The pellets </w:t>
      </w:r>
      <w:r>
        <w:rPr>
          <w:rFonts w:ascii="Times New Roman Regular" w:hAnsi="Times New Roman Regular" w:eastAsia="宋体" w:cs="Times New Roman Regular"/>
          <w:color w:val="000000"/>
        </w:rPr>
        <w:t>were</w:t>
      </w:r>
      <w:r>
        <w:rPr>
          <w:rFonts w:ascii="Times New Roman Regular" w:hAnsi="Times New Roman Regular" w:cs="Times New Roman Regular"/>
          <w:color w:val="000000"/>
        </w:rPr>
        <w:t xml:space="preserve"> resuspended </w:t>
      </w:r>
      <w:r>
        <w:rPr>
          <w:rFonts w:ascii="Times New Roman Regular" w:hAnsi="Times New Roman Regular" w:eastAsia="宋体" w:cs="Times New Roman Regular"/>
          <w:color w:val="000000"/>
        </w:rPr>
        <w:t>in</w:t>
      </w:r>
      <w:r>
        <w:rPr>
          <w:rFonts w:ascii="Times New Roman Regular" w:hAnsi="Times New Roman Regular" w:cs="Times New Roman Regular"/>
          <w:color w:val="000000"/>
        </w:rPr>
        <w:t xml:space="preserve"> PBS and centrifuged. Cells </w:t>
      </w:r>
      <w:r>
        <w:rPr>
          <w:rFonts w:ascii="Times New Roman Regular" w:hAnsi="Times New Roman Regular" w:eastAsia="宋体" w:cs="Times New Roman Regular"/>
          <w:color w:val="000000"/>
        </w:rPr>
        <w:t>were</w:t>
      </w:r>
      <w:r>
        <w:rPr>
          <w:rFonts w:ascii="Times New Roman Regular" w:hAnsi="Times New Roman Regular" w:cs="Times New Roman Regular"/>
          <w:color w:val="000000"/>
        </w:rPr>
        <w:t xml:space="preserve"> washed carefully and then transferred to one well of a 12-well plate in primary medium.</w:t>
      </w:r>
    </w:p>
    <w:p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4111625" cy="4319270"/>
            <wp:effectExtent l="0" t="0" r="3175" b="24130"/>
            <wp:docPr id="6" name="图片 6" descr="尿干外泌体提取过程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尿干外泌体提取过程示意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16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Times New Roman Regular" w:hAnsi="Times New Roman Regular" w:cs="Times New Roman Regular"/>
          <w:color w:val="000000"/>
        </w:rPr>
      </w:pPr>
      <w:r>
        <w:rPr>
          <w:rFonts w:ascii="Times New Roman Bold" w:hAnsi="Times New Roman Bold" w:eastAsia="TimesNewRomanPSMT" w:cs="Times New Roman Bold"/>
          <w:b/>
          <w:bCs/>
          <w:color w:val="000000"/>
          <w:kern w:val="0"/>
          <w:szCs w:val="21"/>
          <w:lang w:bidi="ar"/>
        </w:rPr>
        <w:t>Supplementary Figure S</w:t>
      </w:r>
      <w:r>
        <w:rPr>
          <w:rFonts w:ascii="Times New Roman" w:hAnsi="Times New Roman" w:cs="Times New Roman"/>
          <w:b/>
          <w:bCs/>
          <w:color w:val="000000"/>
        </w:rPr>
        <w:t xml:space="preserve">2 </w:t>
      </w:r>
      <w:r>
        <w:rPr>
          <w:rFonts w:ascii="Times New Roman Regular" w:hAnsi="Times New Roman Regular" w:cs="Times New Roman Regular"/>
          <w:bCs/>
          <w:color w:val="000000"/>
        </w:rPr>
        <w:t xml:space="preserve">Isolation and characterization of USC-EVs. </w:t>
      </w:r>
      <w:r>
        <w:rPr>
          <w:rFonts w:ascii="Times New Roman Bold" w:hAnsi="Times New Roman Bold" w:cs="Times New Roman Bold"/>
          <w:b/>
          <w:bCs/>
          <w:color w:val="000000"/>
        </w:rPr>
        <w:t>(A)</w:t>
      </w:r>
      <w:r>
        <w:rPr>
          <w:rFonts w:ascii="Times New Roman Regular" w:hAnsi="Times New Roman Regular" w:cs="Times New Roman Regular"/>
          <w:color w:val="000000"/>
        </w:rPr>
        <w:t xml:space="preserve"> Dead cells and cell debris were precleared from harvested CM. </w:t>
      </w:r>
      <w:r>
        <w:rPr>
          <w:rFonts w:ascii="Times New Roman Bold" w:hAnsi="Times New Roman Bold" w:cs="Times New Roman Bold"/>
          <w:b/>
          <w:bCs/>
          <w:color w:val="000000"/>
        </w:rPr>
        <w:t>(B)</w:t>
      </w:r>
      <w:r>
        <w:rPr>
          <w:rFonts w:ascii="Times New Roman Regular" w:hAnsi="Times New Roman Regular" w:cs="Times New Roman Regular"/>
          <w:color w:val="000000"/>
        </w:rPr>
        <w:t xml:space="preserve"> Supernatant was added to an Amicon Ultra15 Centrifugal Filter Unit tube. </w:t>
      </w:r>
      <w:r>
        <w:rPr>
          <w:rFonts w:ascii="Times New Roman Bold" w:hAnsi="Times New Roman Bold" w:cs="Times New Roman Bold"/>
          <w:b/>
          <w:bCs/>
          <w:color w:val="000000"/>
        </w:rPr>
        <w:t>(C)</w:t>
      </w:r>
      <w:r>
        <w:rPr>
          <w:rFonts w:ascii="Times New Roman Regular" w:hAnsi="Times New Roman Regular" w:cs="Times New Roman Regular"/>
          <w:color w:val="000000"/>
        </w:rPr>
        <w:t xml:space="preserve"> </w:t>
      </w:r>
      <w:r>
        <w:rPr>
          <w:rFonts w:ascii="Times New Roman Regular" w:hAnsi="Times New Roman Regular" w:eastAsia="宋体" w:cs="Times New Roman Regular"/>
          <w:color w:val="000000"/>
        </w:rPr>
        <w:t>EVs were isolated from CM using a</w:t>
      </w:r>
      <w:r>
        <w:rPr>
          <w:rFonts w:ascii="Times New Roman Regular" w:hAnsi="Times New Roman Regular" w:cs="Times New Roman Regular"/>
          <w:color w:val="000000"/>
        </w:rPr>
        <w:t xml:space="preserve"> commercial kit. </w:t>
      </w:r>
      <w:r>
        <w:rPr>
          <w:rFonts w:ascii="Times New Roman Bold" w:hAnsi="Times New Roman Bold" w:cs="Times New Roman Bold"/>
          <w:b/>
          <w:bCs/>
          <w:color w:val="000000"/>
        </w:rPr>
        <w:t>(D)</w:t>
      </w:r>
      <w:r>
        <w:rPr>
          <w:rFonts w:ascii="Times New Roman Regular" w:hAnsi="Times New Roman Regular" w:cs="Times New Roman Regular"/>
          <w:color w:val="000000"/>
        </w:rPr>
        <w:t xml:space="preserve"> Isolated EVs were then characterized.</w:t>
      </w:r>
    </w:p>
    <w:p>
      <w:pPr>
        <w:spacing w:line="480" w:lineRule="auto"/>
        <w:jc w:val="center"/>
        <w:rPr>
          <w:rFonts w:ascii="Times New Roman Regular" w:hAnsi="Times New Roman Regular" w:cs="Times New Roman Regular"/>
          <w:color w:val="000000"/>
        </w:rPr>
      </w:pPr>
      <w:r>
        <w:rPr>
          <w:rFonts w:ascii="Times New Roman" w:hAnsi="Times New Roman" w:eastAsia="宋体" w:cs="Times New Roman"/>
          <w:b/>
          <w:bCs/>
          <w:color w:val="000000" w:themeColor="text1"/>
          <w:kern w:val="24"/>
          <w:sz w:val="20"/>
          <w:szCs w:val="2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150870" cy="3599815"/>
            <wp:effectExtent l="0" t="0" r="2413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96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Times New Roman Regular" w:hAnsi="Times New Roman Regular" w:cs="Times New Roman Regular"/>
          <w:bCs/>
          <w:color w:val="000000"/>
        </w:rPr>
      </w:pPr>
      <w:r>
        <w:rPr>
          <w:rFonts w:ascii="Times New Roman Bold" w:hAnsi="Times New Roman Bold" w:eastAsia="TimesNewRomanPSMT" w:cs="Times New Roman Bold"/>
          <w:b/>
          <w:bCs/>
          <w:color w:val="000000"/>
          <w:kern w:val="0"/>
          <w:szCs w:val="21"/>
          <w:lang w:bidi="ar"/>
        </w:rPr>
        <w:t>Supplementary Figure S</w:t>
      </w:r>
      <w:r>
        <w:rPr>
          <w:rFonts w:ascii="Times New Roman" w:hAnsi="Times New Roman" w:cs="Times New Roman"/>
          <w:b/>
          <w:bCs/>
          <w:color w:val="000000"/>
        </w:rPr>
        <w:t xml:space="preserve">3 </w:t>
      </w:r>
      <w:r>
        <w:rPr>
          <w:rFonts w:ascii="Times New Roman Regular" w:hAnsi="Times New Roman Regular" w:eastAsia="宋体" w:cs="Times New Roman Regular"/>
          <w:bCs/>
          <w:color w:val="000000"/>
        </w:rPr>
        <w:t xml:space="preserve">Morphology </w:t>
      </w:r>
      <w:r>
        <w:rPr>
          <w:rFonts w:ascii="Times New Roman Regular" w:hAnsi="Times New Roman Regular" w:cs="Times New Roman Regular"/>
          <w:bCs/>
          <w:color w:val="000000"/>
        </w:rPr>
        <w:t xml:space="preserve">of USCs at different </w:t>
      </w:r>
      <w:r>
        <w:rPr>
          <w:rFonts w:ascii="Times New Roman Regular" w:hAnsi="Times New Roman Regular" w:eastAsia="宋体" w:cs="Times New Roman Regular"/>
          <w:bCs/>
          <w:color w:val="000000"/>
        </w:rPr>
        <w:t>time points</w:t>
      </w:r>
      <w:r>
        <w:rPr>
          <w:rFonts w:ascii="Times New Roman Regular" w:hAnsi="Times New Roman Regular" w:cs="Times New Roman Regular"/>
          <w:bCs/>
          <w:color w:val="000000"/>
        </w:rPr>
        <w:t xml:space="preserve"> after collection. </w:t>
      </w:r>
      <w:r>
        <w:rPr>
          <w:rFonts w:ascii="Times New Roman Bold" w:hAnsi="Times New Roman Bold" w:cs="Times New Roman Bold"/>
          <w:b/>
          <w:bCs/>
          <w:color w:val="000000"/>
        </w:rPr>
        <w:t>(a)</w:t>
      </w:r>
      <w:r>
        <w:rPr>
          <w:rFonts w:ascii="Times New Roman Regular" w:hAnsi="Times New Roman Regular" w:cs="Times New Roman Regular"/>
          <w:bCs/>
          <w:color w:val="000000"/>
        </w:rPr>
        <w:t xml:space="preserve"> Fresh male urine samples contained a few blood cells. </w:t>
      </w:r>
      <w:r>
        <w:rPr>
          <w:rFonts w:ascii="Times New Roman Bold" w:hAnsi="Times New Roman Bold" w:cs="Times New Roman Bold"/>
          <w:b/>
          <w:bCs/>
          <w:color w:val="000000"/>
        </w:rPr>
        <w:t>(b-f)</w:t>
      </w:r>
      <w:r>
        <w:rPr>
          <w:rFonts w:ascii="Times New Roman Regular" w:hAnsi="Times New Roman Regular" w:cs="Times New Roman Regular"/>
          <w:bCs/>
          <w:color w:val="000000"/>
        </w:rPr>
        <w:t xml:space="preserve"> Morphology and growth of USCs (arrowheads) on days 4 </w:t>
      </w:r>
      <w:r>
        <w:rPr>
          <w:rFonts w:ascii="Times New Roman Bold" w:hAnsi="Times New Roman Bold" w:cs="Times New Roman Bold"/>
          <w:b/>
          <w:bCs/>
          <w:color w:val="000000"/>
        </w:rPr>
        <w:t>(b)</w:t>
      </w:r>
      <w:r>
        <w:rPr>
          <w:rFonts w:ascii="Times New Roman Regular" w:hAnsi="Times New Roman Regular" w:cs="Times New Roman Regular"/>
          <w:bCs/>
          <w:color w:val="000000"/>
        </w:rPr>
        <w:t xml:space="preserve">, 5 </w:t>
      </w:r>
      <w:r>
        <w:rPr>
          <w:rFonts w:ascii="Times New Roman Bold" w:hAnsi="Times New Roman Bold" w:cs="Times New Roman Bold"/>
          <w:b/>
          <w:bCs/>
          <w:color w:val="000000"/>
        </w:rPr>
        <w:t>(c)</w:t>
      </w:r>
      <w:r>
        <w:rPr>
          <w:rFonts w:ascii="Times New Roman Regular" w:hAnsi="Times New Roman Regular" w:cs="Times New Roman Regular"/>
          <w:bCs/>
          <w:color w:val="000000"/>
        </w:rPr>
        <w:t>, 9</w:t>
      </w:r>
      <w:r>
        <w:rPr>
          <w:rFonts w:ascii="Times New Roman Bold" w:hAnsi="Times New Roman Bold" w:cs="Times New Roman Bold"/>
          <w:b/>
          <w:bCs/>
          <w:color w:val="000000"/>
        </w:rPr>
        <w:t xml:space="preserve"> (d)</w:t>
      </w:r>
      <w:r>
        <w:rPr>
          <w:rFonts w:ascii="Times New Roman Regular" w:hAnsi="Times New Roman Regular" w:cs="Times New Roman Regular"/>
          <w:bCs/>
          <w:color w:val="000000"/>
        </w:rPr>
        <w:t xml:space="preserve">, 10 </w:t>
      </w:r>
      <w:r>
        <w:rPr>
          <w:rFonts w:ascii="Times New Roman Bold" w:hAnsi="Times New Roman Bold" w:cs="Times New Roman Bold"/>
          <w:b/>
          <w:bCs/>
          <w:color w:val="000000"/>
        </w:rPr>
        <w:t>(e)</w:t>
      </w:r>
      <w:r>
        <w:rPr>
          <w:rFonts w:ascii="Times New Roman Regular" w:hAnsi="Times New Roman Regular" w:cs="Times New Roman Regular"/>
          <w:bCs/>
          <w:color w:val="000000"/>
        </w:rPr>
        <w:t xml:space="preserve"> and 12 </w:t>
      </w:r>
      <w:r>
        <w:rPr>
          <w:rFonts w:ascii="Times New Roman Bold" w:hAnsi="Times New Roman Bold" w:cs="Times New Roman Bold"/>
          <w:b/>
          <w:bCs/>
          <w:color w:val="000000"/>
        </w:rPr>
        <w:t>(f)</w:t>
      </w:r>
      <w:r>
        <w:rPr>
          <w:rFonts w:ascii="Times New Roman Regular" w:hAnsi="Times New Roman Regular" w:cs="Times New Roman Regular"/>
          <w:bCs/>
          <w:color w:val="000000"/>
        </w:rPr>
        <w:t>. Scale bars: 200 µm.</w:t>
      </w:r>
    </w:p>
    <w:p>
      <w:pPr>
        <w:spacing w:line="480" w:lineRule="auto"/>
        <w:rPr>
          <w:rFonts w:ascii="Times New Roman Regular" w:hAnsi="Times New Roman Regular" w:cs="Times New Roman Regular"/>
          <w:bCs/>
          <w:color w:val="000000"/>
        </w:rPr>
      </w:pP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drawing>
          <wp:inline distT="0" distB="0" distL="114300" distR="114300">
            <wp:extent cx="5236845" cy="3599815"/>
            <wp:effectExtent l="0" t="0" r="20955" b="6985"/>
            <wp:docPr id="2" name="图片 2" descr="脏器he染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脏器he染色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Times New Roman Regular" w:hAnsi="Times New Roman Regular" w:eastAsia="AdvGulliv-R" w:cs="Times New Roman Regular"/>
          <w:color w:val="000000"/>
          <w:kern w:val="0"/>
          <w:sz w:val="24"/>
          <w:szCs w:val="24"/>
          <w:lang w:bidi="ar"/>
        </w:rPr>
      </w:pPr>
      <w:r>
        <w:rPr>
          <w:rFonts w:ascii="Times New Roman Bold" w:hAnsi="Times New Roman Bold" w:eastAsia="TimesNewRomanPSMT" w:cs="Times New Roman Bold"/>
          <w:b/>
          <w:bCs/>
          <w:color w:val="000000"/>
          <w:kern w:val="0"/>
          <w:szCs w:val="21"/>
          <w:lang w:bidi="ar"/>
        </w:rPr>
        <w:t>Supplementary Figure S4</w:t>
      </w:r>
      <w:r>
        <w:rPr>
          <w:rFonts w:ascii="Times New Roman Regular" w:hAnsi="Times New Roman Regular" w:cs="Times New Roman Regular"/>
          <w:b/>
          <w:bCs/>
          <w:color w:val="000000"/>
          <w:szCs w:val="21"/>
        </w:rPr>
        <w:t xml:space="preserve"> </w:t>
      </w:r>
      <w:r>
        <w:rPr>
          <w:rFonts w:ascii="Times New Roman Regular" w:hAnsi="Times New Roman Regular" w:cs="Times New Roman Regular"/>
          <w:bCs/>
          <w:color w:val="000000"/>
          <w:szCs w:val="21"/>
        </w:rPr>
        <w:t xml:space="preserve">Biocompatibility and safety of USC-EVs. </w:t>
      </w:r>
      <w:r>
        <w:rPr>
          <w:rFonts w:ascii="Times New Roman Bold" w:hAnsi="Times New Roman Bold" w:cs="Times New Roman Bold"/>
          <w:b/>
          <w:color w:val="000000"/>
          <w:szCs w:val="21"/>
        </w:rPr>
        <w:t>(A)</w:t>
      </w:r>
      <w:r>
        <w:rPr>
          <w:rFonts w:ascii="Times New Roman Regular" w:hAnsi="Times New Roman Regular" w:cs="Times New Roman Regular"/>
          <w:bCs/>
          <w:color w:val="000000"/>
          <w:szCs w:val="21"/>
        </w:rPr>
        <w:t xml:space="preserve"> Complete cell counts in the control, UHMWPE and UHMWPE + USC-</w:t>
      </w:r>
      <w:r>
        <w:rPr>
          <w:rFonts w:ascii="Times New Roman Regular" w:hAnsi="Times New Roman Regular" w:eastAsia="宋体" w:cs="Times New Roman Regular"/>
          <w:bCs/>
          <w:color w:val="000000"/>
          <w:szCs w:val="21"/>
        </w:rPr>
        <w:t>EV</w:t>
      </w:r>
      <w:r>
        <w:rPr>
          <w:rFonts w:ascii="Times New Roman Regular" w:hAnsi="Times New Roman Regular" w:cs="Times New Roman Regular"/>
          <w:bCs/>
          <w:color w:val="000000"/>
          <w:szCs w:val="21"/>
        </w:rPr>
        <w:t xml:space="preserve"> groups. n=10 samples per group. </w:t>
      </w:r>
      <w:r>
        <w:rPr>
          <w:rFonts w:ascii="Times New Roman Bold" w:hAnsi="Times New Roman Bold" w:cs="Times New Roman Bold"/>
          <w:b/>
          <w:color w:val="000000"/>
          <w:szCs w:val="21"/>
        </w:rPr>
        <w:t>(B)</w:t>
      </w:r>
      <w:r>
        <w:rPr>
          <w:rFonts w:ascii="Times New Roman Regular" w:hAnsi="Times New Roman Regular" w:cs="Times New Roman Regular"/>
          <w:bCs/>
          <w:color w:val="000000"/>
          <w:szCs w:val="21"/>
        </w:rPr>
        <w:t xml:space="preserve"> Proportions of differential white blood cell counts among the groups. n=10 samples per group. </w:t>
      </w:r>
      <w:r>
        <w:rPr>
          <w:rFonts w:ascii="Times New Roman Bold" w:hAnsi="Times New Roman Bold" w:cs="Times New Roman Bold"/>
          <w:b/>
          <w:color w:val="000000"/>
          <w:szCs w:val="21"/>
        </w:rPr>
        <w:t>(C)</w:t>
      </w:r>
      <w:r>
        <w:rPr>
          <w:rFonts w:ascii="Times New Roman Regular" w:hAnsi="Times New Roman Regular" w:cs="Times New Roman Regular"/>
          <w:bCs/>
          <w:color w:val="000000"/>
          <w:szCs w:val="21"/>
        </w:rPr>
        <w:t xml:space="preserve"> </w:t>
      </w:r>
      <w:r>
        <w:rPr>
          <w:rFonts w:ascii="Times New Roman Regular" w:hAnsi="Times New Roman Regular" w:eastAsia="宋体" w:cs="Times New Roman Regular"/>
          <w:bCs/>
          <w:color w:val="000000"/>
          <w:szCs w:val="21"/>
        </w:rPr>
        <w:t>Routine blood</w:t>
      </w:r>
      <w:r>
        <w:rPr>
          <w:rFonts w:ascii="Times New Roman Regular" w:hAnsi="Times New Roman Regular" w:cs="Times New Roman Regular"/>
          <w:bCs/>
          <w:color w:val="000000"/>
          <w:szCs w:val="21"/>
        </w:rPr>
        <w:t xml:space="preserve"> examination parameters among the groups. n=10 samples per group. </w:t>
      </w:r>
      <w:r>
        <w:rPr>
          <w:rFonts w:ascii="Times New Roman Bold" w:hAnsi="Times New Roman Bold" w:cs="Times New Roman Bold"/>
          <w:b/>
          <w:color w:val="000000"/>
          <w:szCs w:val="21"/>
        </w:rPr>
        <w:t>(D)</w:t>
      </w:r>
      <w:r>
        <w:rPr>
          <w:rFonts w:ascii="Times New Roman Regular" w:hAnsi="Times New Roman Regular" w:cs="Times New Roman Regular"/>
          <w:bCs/>
          <w:color w:val="000000"/>
          <w:szCs w:val="21"/>
        </w:rPr>
        <w:t xml:space="preserve"> H&amp;E staining of major organs from the different groups. Scale bar: 100 μm.</w:t>
      </w:r>
    </w:p>
    <w:p>
      <w:pPr>
        <w:rPr>
          <w:rFonts w:ascii="Times New Roman" w:hAnsi="Times New Roman" w:cs="Times New Roman"/>
          <w:b/>
          <w:bCs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Arial-BoldMT">
    <w:panose1 w:val="020B0604020202090204"/>
    <w:charset w:val="00"/>
    <w:family w:val="roman"/>
    <w:pitch w:val="default"/>
    <w:sig w:usb0="E0000AFF" w:usb1="00007843" w:usb2="00000001" w:usb3="00000000" w:csb0="400001BF" w:csb1="DFF70000"/>
  </w:font>
  <w:font w:name="ArialMT">
    <w:panose1 w:val="020B0604020202090204"/>
    <w:charset w:val="00"/>
    <w:family w:val="roman"/>
    <w:pitch w:val="default"/>
    <w:sig w:usb0="E0000AFF" w:usb1="00007843" w:usb2="00000001" w:usb3="00000000" w:csb0="400001BF" w:csb1="DFF70000"/>
  </w:font>
  <w:font w:name="AdvP3F4C13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dvTTab7e17f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dvOT65f8a23b.I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dvTT6780a46b+20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GillSansMT-Bold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illSansM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AdvOTb92eb7df.I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dvOT863180fb+fb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dvOT863180fb+20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dvOT46dcae81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TimesNewRomanPS-BoldMT">
    <w:panose1 w:val="02020503050405090304"/>
    <w:charset w:val="00"/>
    <w:family w:val="roman"/>
    <w:pitch w:val="default"/>
    <w:sig w:usb0="E0000AFF" w:usb1="00007843" w:usb2="00000001" w:usb3="00000000" w:csb0="400001BF" w:csb1="DFF70000"/>
  </w:font>
  <w:font w:name="TimesNewRomanPSMT">
    <w:panose1 w:val="02020503050405090304"/>
    <w:charset w:val="00"/>
    <w:family w:val="roman"/>
    <w:pitch w:val="default"/>
    <w:sig w:usb0="E0000AFF" w:usb1="00007843" w:usb2="00000001" w:usb3="00000000" w:csb0="400001BF" w:csb1="DFF70000"/>
  </w:font>
  <w:font w:name="AdvTimes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PalatinoLinotype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dvOT863180fb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dvGulliv-R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Times New Roman Italic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BookAntiqua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P4DF60E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ource Sans Pro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stem-ui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77db9845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c09f7cf3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AdvOT863180fb + fb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ce3d9a73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dvOT2e364b11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dvOT2e364b11+20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dvOT2e364b11+fb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dvOTdd3b7348.I+03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dvOT8608a8d1+22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dvOT8608a8d1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dvOT02ce3bbb.I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TimesNewRoman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dvOT1efcda3b.B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l Nile Regular">
    <w:panose1 w:val="00000400000000000000"/>
    <w:charset w:val="00"/>
    <w:family w:val="auto"/>
    <w:pitch w:val="default"/>
    <w:sig w:usb0="00000003" w:usb1="00000000" w:usb2="00000000" w:usb3="00000000" w:csb0="00000001" w:csb1="00000000"/>
  </w:font>
  <w:font w:name="AdvGulliv-I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b92eb7df . I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ookAntiqua-Itali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46dcae81 + 03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P4C4E74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 Regular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AdvPS3F4C13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596495f2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Times New Roman Bold Italic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AdvPS44A44B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iti SC Light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Heiti SC Medium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AdvTT86d47313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ulliver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ulliver-Itali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erdana Bold Italic">
    <w:panose1 w:val="020B0804030504040204"/>
    <w:charset w:val="00"/>
    <w:family w:val="auto"/>
    <w:pitch w:val="default"/>
    <w:sig w:usb0="A10006FF" w:usb1="4000205B" w:usb2="00000010" w:usb3="00000000" w:csb0="2000019F" w:csb1="00000000"/>
  </w:font>
  <w:font w:name="AdvGulliv-B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b0c9bf5d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TT6780a46b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PSMP13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2c8ce45a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AdvOT2e364b11 + fb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51c1769e + fb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51c1769e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PTimes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ulliver-Bold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-Roman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JansonText-Roman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65f8a23b . I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TTab7e17fd + 20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ookAntiqua-Bold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yriadPro-Semibold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yriadPro-SemiboldSemiCn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yriadPro-SemiCn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nionPro-Regular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yriadPro-Bold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yriadPro-BoldI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yriadPro-SemiboldI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TT0459e7ca . B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AdvTTa9c1b374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iwan Thuluth">
    <w:panose1 w:val="00000400000000000000"/>
    <w:charset w:val="00"/>
    <w:family w:val="auto"/>
    <w:pitch w:val="default"/>
    <w:sig w:usb0="00000003" w:usb1="00000000" w:usb2="00000000" w:usb3="00000000" w:csb0="00000001" w:csb1="00000000"/>
  </w:font>
  <w:font w:name="AdvTTeb5f0e55 . I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TT6071803a . B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TT99c4c969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TTb5929f4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rddmbAdvTTb5929f4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bshxfAdvTT99c4c969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stoMTStd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TenLTStd-Roman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409020205090404"/>
    <w:charset w:val="00"/>
    <w:family w:val="auto"/>
    <w:pitch w:val="default"/>
    <w:sig w:usb0="E0000AFF" w:usb1="40007843" w:usb2="00000001" w:usb3="00000000" w:csb0="400001BF" w:csb1="DFF70000"/>
  </w:font>
  <w:font w:name="verdana">
    <w:panose1 w:val="020B0804030504040204"/>
    <w:charset w:val="00"/>
    <w:family w:val="auto"/>
    <w:pitch w:val="default"/>
    <w:sig w:usb0="A10006FF" w:usb1="4000205B" w:usb2="00000010" w:usb3="00000000" w:csb0="2000019F" w:csb1="00000000"/>
  </w:font>
  <w:font w:name="Times Regular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Telugu Sangam MN Regular">
    <w:panose1 w:val="00000500000000000000"/>
    <w:charset w:val="00"/>
    <w:family w:val="auto"/>
    <w:pitch w:val="default"/>
    <w:sig w:usb0="00200001" w:usb1="00000000" w:usb2="00000000" w:usb3="00000000" w:csb0="00000001" w:csb1="00000000"/>
  </w:font>
  <w:font w:name="Zapf Dingbats">
    <w:panose1 w:val="05020102010704020609"/>
    <w:charset w:val="00"/>
    <w:family w:val="auto"/>
    <w:pitch w:val="default"/>
    <w:sig w:usb0="00000000" w:usb1="00000000" w:usb2="00000000" w:usb3="00000000" w:csb0="00000000" w:csb1="00000000"/>
  </w:font>
  <w:font w:name="Zapfino">
    <w:panose1 w:val="03030300040707070C03"/>
    <w:charset w:val="00"/>
    <w:family w:val="auto"/>
    <w:pitch w:val="default"/>
    <w:sig w:usb0="80000067" w:usb1="40000041" w:usb2="00000000" w:usb3="00000000" w:csb0="20000093" w:csb1="00000000"/>
  </w:font>
  <w:font w:name="Telugu MN Regular">
    <w:panose1 w:val="00000500000000000000"/>
    <w:charset w:val="00"/>
    <w:family w:val="auto"/>
    <w:pitch w:val="default"/>
    <w:sig w:usb0="00200001" w:usb1="00000000" w:usb2="00000000" w:usb3="00000000" w:csb0="00000001" w:csb1="00000000"/>
  </w:font>
  <w:font w:name="Lucida Grande Regular">
    <w:panose1 w:val="020B0600040502020204"/>
    <w:charset w:val="00"/>
    <w:family w:val="auto"/>
    <w:pitch w:val="default"/>
    <w:sig w:usb0="E1000AEF" w:usb1="5000A1FF" w:usb2="00000000" w:usb3="00000000" w:csb0="200001BF" w:csb1="4F010000"/>
  </w:font>
  <w:font w:name="Arial Bold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Arial Narrow Regular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OpenSansRegular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harisSIL-Bold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harisSIL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Bold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Helvetica Neue Bold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-apple-system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iragino sans GB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AdvOT46dcae81 + fb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999035f4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a20b42a7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a20b42a7 + fb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P5D8B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UI-Bold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UI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illSansMT-Itali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9b12cd41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833fb896 + 20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d3a5f740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Europa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aisonNeue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ewCenturySchlbk-Bold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 Bold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Times Bold Italic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OpenSans-Semibold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Roboto Condensed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iragino Sans GB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AdvTT577c760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TTa351d857 . B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TT3713a231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altName w:val="Kingsoft Sig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Segoe UI">
    <w:altName w:val="苹方-简"/>
    <w:panose1 w:val="020B0502040204020203"/>
    <w:charset w:val="00"/>
    <w:family w:val="swiss"/>
    <w:pitch w:val="default"/>
    <w:sig w:usb0="00000000" w:usb1="00000000" w:usb2="00000009" w:usb3="00000000" w:csb0="000001FF" w:csb1="00000000"/>
  </w:font>
  <w:font w:name="AdvPSA183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Mincho">
    <w:altName w:val="Hiragino Sans"/>
    <w:panose1 w:val="02020609040205080304"/>
    <w:charset w:val="80"/>
    <w:family w:val="roman"/>
    <w:pitch w:val="default"/>
    <w:sig w:usb0="00000000" w:usb1="00000000" w:usb2="00000010" w:usb3="00000000" w:csb0="00020000" w:csb1="00000000"/>
  </w:font>
  <w:font w:name="AdvOTaa6301a5.B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athematicalPiLTSt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Hiragino Sans">
    <w:panose1 w:val="020B0300000000000000"/>
    <w:charset w:val="80"/>
    <w:family w:val="auto"/>
    <w:pitch w:val="default"/>
    <w:sig w:usb0="E00002FF" w:usb1="7AE7FFFF" w:usb2="00000012" w:usb3="00000000" w:csb0="0002000D" w:csb1="00000000"/>
  </w:font>
  <w:font w:name="Arial-ItalicMT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Helvetica Oblique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AdvPTimesB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ato-Regular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TIX-Regular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ato-Bold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ato-Itali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TGU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NeueLTStd-MdI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NeueLTStd-Bd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46dcae81 + 20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TTab7e17fd + 22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3b30f6db . B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Tamil MN Regular">
    <w:panose1 w:val="00000500000000000000"/>
    <w:charset w:val="00"/>
    <w:family w:val="auto"/>
    <w:pitch w:val="default"/>
    <w:sig w:usb0="00100001" w:usb1="00000000" w:usb2="00000000" w:usb3="00000000" w:csb0="00000001" w:csb1="00000000"/>
  </w:font>
  <w:font w:name="Trebuchet MS Regular">
    <w:panose1 w:val="020B0703020202090204"/>
    <w:charset w:val="00"/>
    <w:family w:val="auto"/>
    <w:pitch w:val="default"/>
    <w:sig w:usb0="00000287" w:usb1="00000000" w:usb2="00000000" w:usb3="00000000" w:csb0="2000009F" w:csb1="00000000"/>
  </w:font>
  <w:font w:name="Symbol Regular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YaHei-Bold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yriadPro-Ligh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arnockPro-Regular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rutigerLTStd-Bold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-Bold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rutigerLTStd-Roman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-Bold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URWPalladioL-Roma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URWPalladioL-Ital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TSY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Garamond-Regular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OpenSans-Ligh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Rockwell">
    <w:panose1 w:val="02060503020205020403"/>
    <w:charset w:val="00"/>
    <w:family w:val="roman"/>
    <w:pitch w:val="default"/>
    <w:sig w:usb0="810002EF" w:usb1="0000000A" w:usb2="00000000" w:usb3="00000000" w:csb0="0000019F" w:csb1="00000000"/>
  </w:font>
  <w:font w:name="OpenSans-Regular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RfhwwtAdvTTb5929f4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行楷">
    <w:altName w:val="宋体-简"/>
    <w:panose1 w:val="02010800040101010101"/>
    <w:charset w:val="00"/>
    <w:family w:val="auto"/>
    <w:pitch w:val="default"/>
    <w:sig w:usb0="00000000" w:usb1="00000000" w:usb2="00000010" w:usb3="00000000" w:csb0="00040000" w:csb1="00000000"/>
  </w:font>
  <w:font w:name="DxsdwhAdvTT99c4c969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aison Neue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calaPro-Regular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calaSansPro-Itali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7b515deb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DF73C63"/>
    <w:rsid w:val="7F9F5580"/>
    <w:rsid w:val="BDF73C63"/>
    <w:rsid w:val="DDF79045"/>
    <w:rsid w:val="EEEF676C"/>
    <w:rsid w:val="EF6BCCBE"/>
    <w:rsid w:val="FF6B3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Office_3.8.0.6081_F1E327BC-269C-435d-A152-05C5408002CA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2021-08-22T20:18:00Z</dcterms:created>
  <dc:creator>lihui</dc:creator>
  <cp:lastModifiedBy>lihui</cp:lastModifiedBy>
  <dcterms:modified xsi:type="dcterms:W3CDTF">2021-09-06T21:11:57Z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2052-3.8.0.6081</vt:lpwstr>
  </property>
</Properties>
</file>